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auto"/>
          <w:sz w:val="20"/>
        </w:rPr>
        <w:id w:val="1792633033"/>
        <w:docPartObj>
          <w:docPartGallery w:val="Cover Pages"/>
          <w:docPartUnique/>
        </w:docPartObj>
      </w:sdtPr>
      <w:sdtEndPr>
        <w:rPr>
          <w:color w:val="FFFFFF" w:themeColor="background1"/>
          <w:sz w:val="28"/>
          <w:szCs w:val="28"/>
        </w:rPr>
      </w:sdtEndPr>
      <w:sdtContent>
        <w:p w14:paraId="43C4B705" w14:textId="50CBBA3B" w:rsidR="005C4123" w:rsidRPr="00042ADB" w:rsidRDefault="00B70222" w:rsidP="005C4123">
          <w:pPr>
            <w:jc w:val="right"/>
            <w:rPr>
              <w:rStyle w:val="TitleChar"/>
              <w:sz w:val="40"/>
              <w:szCs w:val="18"/>
            </w:rPr>
          </w:pPr>
          <w:r w:rsidRPr="0047003A">
            <w:rPr>
              <w:rStyle w:val="TitleChar"/>
            </w:rPr>
            <w:drawing>
              <wp:anchor distT="0" distB="0" distL="114300" distR="114300" simplePos="0" relativeHeight="251658240" behindDoc="1" locked="0" layoutInCell="1" allowOverlap="1" wp14:anchorId="36E4A9B6" wp14:editId="17339C4C">
                <wp:simplePos x="0" y="0"/>
                <wp:positionH relativeFrom="page">
                  <wp:posOffset>0</wp:posOffset>
                </wp:positionH>
                <wp:positionV relativeFrom="paragraph">
                  <wp:posOffset>-2421229</wp:posOffset>
                </wp:positionV>
                <wp:extent cx="7559040" cy="10684290"/>
                <wp:effectExtent l="0" t="0" r="3810" b="317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59040" cy="10684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C4123" w:rsidRPr="00042ADB">
            <w:rPr>
              <w:rStyle w:val="TitleChar"/>
              <w:sz w:val="40"/>
              <w:szCs w:val="18"/>
            </w:rPr>
            <w:t xml:space="preserve">Local jobs first </w:t>
          </w:r>
        </w:p>
        <w:p w14:paraId="6CAE054B" w14:textId="66BE3BA0" w:rsidR="005C4123" w:rsidRPr="00042ADB" w:rsidRDefault="009D0838" w:rsidP="005C4123">
          <w:pPr>
            <w:jc w:val="right"/>
            <w:rPr>
              <w:rStyle w:val="TitleChar"/>
              <w:sz w:val="40"/>
              <w:szCs w:val="18"/>
            </w:rPr>
          </w:pPr>
          <w:r w:rsidRPr="00042ADB">
            <w:rPr>
              <w:rStyle w:val="TitleChar"/>
              <w:sz w:val="40"/>
              <w:szCs w:val="18"/>
            </w:rPr>
            <w:t>Supplier</w:t>
          </w:r>
          <w:r w:rsidR="005C4123" w:rsidRPr="00042ADB">
            <w:rPr>
              <w:rStyle w:val="TitleChar"/>
              <w:sz w:val="40"/>
              <w:szCs w:val="18"/>
            </w:rPr>
            <w:t xml:space="preserve"> Guidelines</w:t>
          </w:r>
        </w:p>
        <w:p w14:paraId="6B0DFD36" w14:textId="77777777" w:rsidR="005C4123" w:rsidRDefault="005C4123" w:rsidP="000210EA">
          <w:pPr>
            <w:pStyle w:val="Subtitle"/>
          </w:pPr>
          <w:r>
            <w:t xml:space="preserve">Under the </w:t>
          </w:r>
          <w:r w:rsidRPr="00042ADB">
            <w:rPr>
              <w:i/>
              <w:iCs/>
            </w:rPr>
            <w:t>Local Jobs First Act 2003</w:t>
          </w:r>
          <w:r>
            <w:t xml:space="preserve"> </w:t>
          </w:r>
        </w:p>
        <w:p w14:paraId="12B80146" w14:textId="22887C6A" w:rsidR="004371F6" w:rsidRPr="00042ADB" w:rsidRDefault="00A117D9" w:rsidP="005C4123">
          <w:pPr>
            <w:jc w:val="right"/>
            <w:rPr>
              <w:color w:val="FFFFFF" w:themeColor="background1"/>
              <w:sz w:val="28"/>
              <w:szCs w:val="28"/>
            </w:rPr>
          </w:pPr>
          <w:r>
            <w:rPr>
              <w:color w:val="FFFFFF" w:themeColor="background1"/>
              <w:sz w:val="28"/>
              <w:szCs w:val="28"/>
            </w:rPr>
            <w:t xml:space="preserve">October </w:t>
          </w:r>
          <w:r w:rsidRPr="00042ADB">
            <w:rPr>
              <w:color w:val="FFFFFF" w:themeColor="background1"/>
              <w:sz w:val="28"/>
              <w:szCs w:val="28"/>
            </w:rPr>
            <w:t>202</w:t>
          </w:r>
          <w:r>
            <w:rPr>
              <w:color w:val="FFFFFF" w:themeColor="background1"/>
              <w:sz w:val="28"/>
              <w:szCs w:val="28"/>
            </w:rPr>
            <w:t>5</w:t>
          </w:r>
        </w:p>
      </w:sdtContent>
    </w:sdt>
    <w:p w14:paraId="38158943" w14:textId="77777777" w:rsidR="004371F6" w:rsidRDefault="004371F6" w:rsidP="00D96C1E">
      <w:pPr>
        <w:rPr>
          <w:rFonts w:ascii="Verdana" w:hAnsi="Verdana"/>
        </w:rPr>
        <w:sectPr w:rsidR="004371F6" w:rsidSect="00D0537A">
          <w:headerReference w:type="even" r:id="rId12"/>
          <w:headerReference w:type="default" r:id="rId13"/>
          <w:footerReference w:type="even" r:id="rId14"/>
          <w:footerReference w:type="default" r:id="rId15"/>
          <w:headerReference w:type="first" r:id="rId16"/>
          <w:footerReference w:type="first" r:id="rId17"/>
          <w:pgSz w:w="11906" w:h="16838"/>
          <w:pgMar w:top="3818" w:right="1440" w:bottom="1440" w:left="1440" w:header="703" w:footer="137" w:gutter="0"/>
          <w:pgNumType w:start="0"/>
          <w:cols w:space="708"/>
          <w:docGrid w:linePitch="360"/>
        </w:sectPr>
      </w:pPr>
    </w:p>
    <w:p w14:paraId="2F5560E3" w14:textId="146F4993" w:rsidR="00207157" w:rsidRPr="00DD69E1" w:rsidRDefault="00EA4063" w:rsidP="00042ADB">
      <w:pPr>
        <w:pStyle w:val="TOCHeading"/>
        <w:rPr>
          <w:color w:val="C00000"/>
        </w:rPr>
      </w:pPr>
      <w:r w:rsidRPr="00DD69E1">
        <w:rPr>
          <w:color w:val="C00000"/>
        </w:rPr>
        <w:lastRenderedPageBreak/>
        <w:t>contents</w:t>
      </w:r>
    </w:p>
    <w:p w14:paraId="0C95173C" w14:textId="0598CD12" w:rsidR="00FE0E63" w:rsidRDefault="00445FE4">
      <w:pPr>
        <w:pStyle w:val="TOC1"/>
        <w:rPr>
          <w:rFonts w:asciiTheme="minorHAnsi" w:eastAsiaTheme="minorEastAsia" w:hAnsiTheme="minorHAnsi" w:cstheme="minorBidi"/>
          <w:b w:val="0"/>
          <w:color w:val="auto"/>
          <w:kern w:val="2"/>
          <w:sz w:val="24"/>
          <w:szCs w:val="24"/>
          <w:lang w:eastAsia="en-AU"/>
          <w14:ligatures w14:val="standardContextual"/>
        </w:rPr>
      </w:pPr>
      <w:r>
        <w:rPr>
          <w:color w:val="auto"/>
          <w:lang w:eastAsia="en-AU"/>
        </w:rPr>
        <w:fldChar w:fldCharType="begin"/>
      </w:r>
      <w:r>
        <w:rPr>
          <w:color w:val="auto"/>
          <w:lang w:eastAsia="en-AU"/>
        </w:rPr>
        <w:instrText xml:space="preserve"> TOC \o "1-2" \h \z \u </w:instrText>
      </w:r>
      <w:r>
        <w:rPr>
          <w:color w:val="auto"/>
          <w:lang w:eastAsia="en-AU"/>
        </w:rPr>
        <w:fldChar w:fldCharType="separate"/>
      </w:r>
      <w:hyperlink w:anchor="_Toc207867984" w:history="1">
        <w:r w:rsidR="00FE0E63" w:rsidRPr="00D8176E">
          <w:rPr>
            <w:rStyle w:val="Hyperlink"/>
            <w:lang w:bidi="x-none"/>
          </w:rPr>
          <w:t>1</w:t>
        </w:r>
        <w:r w:rsidR="00FE0E63">
          <w:rPr>
            <w:rFonts w:asciiTheme="minorHAnsi" w:eastAsiaTheme="minorEastAsia" w:hAnsiTheme="minorHAnsi" w:cstheme="minorBidi"/>
            <w:b w:val="0"/>
            <w:color w:val="auto"/>
            <w:kern w:val="2"/>
            <w:sz w:val="24"/>
            <w:szCs w:val="24"/>
            <w:lang w:eastAsia="en-AU"/>
            <w14:ligatures w14:val="standardContextual"/>
          </w:rPr>
          <w:tab/>
        </w:r>
        <w:r w:rsidR="00FE0E63" w:rsidRPr="00D8176E">
          <w:rPr>
            <w:rStyle w:val="Hyperlink"/>
          </w:rPr>
          <w:t>Before you start</w:t>
        </w:r>
        <w:r w:rsidR="00FE0E63">
          <w:rPr>
            <w:webHidden/>
          </w:rPr>
          <w:tab/>
        </w:r>
        <w:r w:rsidR="00FE0E63">
          <w:rPr>
            <w:webHidden/>
          </w:rPr>
          <w:fldChar w:fldCharType="begin"/>
        </w:r>
        <w:r w:rsidR="00FE0E63">
          <w:rPr>
            <w:webHidden/>
          </w:rPr>
          <w:instrText xml:space="preserve"> PAGEREF _Toc207867984 \h </w:instrText>
        </w:r>
        <w:r w:rsidR="00FE0E63">
          <w:rPr>
            <w:webHidden/>
          </w:rPr>
        </w:r>
        <w:r w:rsidR="00FE0E63">
          <w:rPr>
            <w:webHidden/>
          </w:rPr>
          <w:fldChar w:fldCharType="separate"/>
        </w:r>
        <w:r w:rsidR="00FF5EAF">
          <w:rPr>
            <w:webHidden/>
          </w:rPr>
          <w:t>2</w:t>
        </w:r>
        <w:r w:rsidR="00FE0E63">
          <w:rPr>
            <w:webHidden/>
          </w:rPr>
          <w:fldChar w:fldCharType="end"/>
        </w:r>
      </w:hyperlink>
    </w:p>
    <w:p w14:paraId="4EA91078" w14:textId="3A3076DB" w:rsidR="00FE0E63" w:rsidRDefault="00FE0E63">
      <w:pPr>
        <w:pStyle w:val="TOC2"/>
        <w:rPr>
          <w:rFonts w:asciiTheme="minorHAnsi" w:eastAsiaTheme="minorEastAsia" w:hAnsiTheme="minorHAnsi" w:cstheme="minorBidi"/>
          <w:noProof/>
          <w:color w:val="auto"/>
          <w:kern w:val="2"/>
          <w:sz w:val="24"/>
          <w:szCs w:val="24"/>
          <w:lang w:eastAsia="en-AU"/>
          <w14:ligatures w14:val="standardContextual"/>
        </w:rPr>
      </w:pPr>
      <w:hyperlink w:anchor="_Toc207867985" w:history="1">
        <w:r w:rsidRPr="00D8176E">
          <w:rPr>
            <w:rStyle w:val="Hyperlink"/>
            <w:noProof/>
          </w:rPr>
          <w:t>1.1</w:t>
        </w:r>
        <w:r>
          <w:rPr>
            <w:rFonts w:asciiTheme="minorHAnsi" w:eastAsiaTheme="minorEastAsia" w:hAnsiTheme="minorHAnsi" w:cstheme="minorBidi"/>
            <w:noProof/>
            <w:color w:val="auto"/>
            <w:kern w:val="2"/>
            <w:sz w:val="24"/>
            <w:szCs w:val="24"/>
            <w:lang w:eastAsia="en-AU"/>
            <w14:ligatures w14:val="standardContextual"/>
          </w:rPr>
          <w:tab/>
        </w:r>
        <w:r w:rsidRPr="00D8176E">
          <w:rPr>
            <w:rStyle w:val="Hyperlink"/>
            <w:noProof/>
          </w:rPr>
          <w:t>Introduction</w:t>
        </w:r>
        <w:r>
          <w:rPr>
            <w:noProof/>
            <w:webHidden/>
          </w:rPr>
          <w:tab/>
        </w:r>
        <w:r>
          <w:rPr>
            <w:noProof/>
            <w:webHidden/>
          </w:rPr>
          <w:fldChar w:fldCharType="begin"/>
        </w:r>
        <w:r>
          <w:rPr>
            <w:noProof/>
            <w:webHidden/>
          </w:rPr>
          <w:instrText xml:space="preserve"> PAGEREF _Toc207867985 \h </w:instrText>
        </w:r>
        <w:r>
          <w:rPr>
            <w:noProof/>
            <w:webHidden/>
          </w:rPr>
        </w:r>
        <w:r>
          <w:rPr>
            <w:noProof/>
            <w:webHidden/>
          </w:rPr>
          <w:fldChar w:fldCharType="separate"/>
        </w:r>
        <w:r w:rsidR="00FF5EAF">
          <w:rPr>
            <w:noProof/>
            <w:webHidden/>
          </w:rPr>
          <w:t>2</w:t>
        </w:r>
        <w:r>
          <w:rPr>
            <w:noProof/>
            <w:webHidden/>
          </w:rPr>
          <w:fldChar w:fldCharType="end"/>
        </w:r>
      </w:hyperlink>
    </w:p>
    <w:p w14:paraId="46E9A3DC" w14:textId="4439F47A" w:rsidR="00FE0E63" w:rsidRDefault="00FE0E63">
      <w:pPr>
        <w:pStyle w:val="TOC2"/>
        <w:rPr>
          <w:rFonts w:asciiTheme="minorHAnsi" w:eastAsiaTheme="minorEastAsia" w:hAnsiTheme="minorHAnsi" w:cstheme="minorBidi"/>
          <w:noProof/>
          <w:color w:val="auto"/>
          <w:kern w:val="2"/>
          <w:sz w:val="24"/>
          <w:szCs w:val="24"/>
          <w:lang w:eastAsia="en-AU"/>
          <w14:ligatures w14:val="standardContextual"/>
        </w:rPr>
      </w:pPr>
      <w:hyperlink w:anchor="_Toc207867986" w:history="1">
        <w:r w:rsidRPr="00D8176E">
          <w:rPr>
            <w:rStyle w:val="Hyperlink"/>
            <w:noProof/>
          </w:rPr>
          <w:t>1.2</w:t>
        </w:r>
        <w:r>
          <w:rPr>
            <w:rFonts w:asciiTheme="minorHAnsi" w:eastAsiaTheme="minorEastAsia" w:hAnsiTheme="minorHAnsi" w:cstheme="minorBidi"/>
            <w:noProof/>
            <w:color w:val="auto"/>
            <w:kern w:val="2"/>
            <w:sz w:val="24"/>
            <w:szCs w:val="24"/>
            <w:lang w:eastAsia="en-AU"/>
            <w14:ligatures w14:val="standardContextual"/>
          </w:rPr>
          <w:tab/>
        </w:r>
        <w:r w:rsidRPr="00D8176E">
          <w:rPr>
            <w:rStyle w:val="Hyperlink"/>
            <w:noProof/>
          </w:rPr>
          <w:t>Overview</w:t>
        </w:r>
        <w:r>
          <w:rPr>
            <w:noProof/>
            <w:webHidden/>
          </w:rPr>
          <w:tab/>
        </w:r>
        <w:r>
          <w:rPr>
            <w:noProof/>
            <w:webHidden/>
          </w:rPr>
          <w:fldChar w:fldCharType="begin"/>
        </w:r>
        <w:r>
          <w:rPr>
            <w:noProof/>
            <w:webHidden/>
          </w:rPr>
          <w:instrText xml:space="preserve"> PAGEREF _Toc207867986 \h </w:instrText>
        </w:r>
        <w:r>
          <w:rPr>
            <w:noProof/>
            <w:webHidden/>
          </w:rPr>
        </w:r>
        <w:r>
          <w:rPr>
            <w:noProof/>
            <w:webHidden/>
          </w:rPr>
          <w:fldChar w:fldCharType="separate"/>
        </w:r>
        <w:r w:rsidR="00FF5EAF">
          <w:rPr>
            <w:noProof/>
            <w:webHidden/>
          </w:rPr>
          <w:t>2</w:t>
        </w:r>
        <w:r>
          <w:rPr>
            <w:noProof/>
            <w:webHidden/>
          </w:rPr>
          <w:fldChar w:fldCharType="end"/>
        </w:r>
      </w:hyperlink>
    </w:p>
    <w:p w14:paraId="0C4007B7" w14:textId="7907BC1A" w:rsidR="00FE0E63" w:rsidRDefault="00FE0E63">
      <w:pPr>
        <w:pStyle w:val="TOC2"/>
        <w:rPr>
          <w:rFonts w:asciiTheme="minorHAnsi" w:eastAsiaTheme="minorEastAsia" w:hAnsiTheme="minorHAnsi" w:cstheme="minorBidi"/>
          <w:noProof/>
          <w:color w:val="auto"/>
          <w:kern w:val="2"/>
          <w:sz w:val="24"/>
          <w:szCs w:val="24"/>
          <w:lang w:eastAsia="en-AU"/>
          <w14:ligatures w14:val="standardContextual"/>
        </w:rPr>
      </w:pPr>
      <w:hyperlink w:anchor="_Toc207867987" w:history="1">
        <w:r w:rsidRPr="00D8176E">
          <w:rPr>
            <w:rStyle w:val="Hyperlink"/>
            <w:noProof/>
          </w:rPr>
          <w:t>1.3</w:t>
        </w:r>
        <w:r>
          <w:rPr>
            <w:rFonts w:asciiTheme="minorHAnsi" w:eastAsiaTheme="minorEastAsia" w:hAnsiTheme="minorHAnsi" w:cstheme="minorBidi"/>
            <w:noProof/>
            <w:color w:val="auto"/>
            <w:kern w:val="2"/>
            <w:sz w:val="24"/>
            <w:szCs w:val="24"/>
            <w:lang w:eastAsia="en-AU"/>
            <w14:ligatures w14:val="standardContextual"/>
          </w:rPr>
          <w:tab/>
        </w:r>
        <w:r w:rsidRPr="00D8176E">
          <w:rPr>
            <w:rStyle w:val="Hyperlink"/>
            <w:noProof/>
          </w:rPr>
          <w:t>Victorian Management Centre (VMC)</w:t>
        </w:r>
        <w:r>
          <w:rPr>
            <w:noProof/>
            <w:webHidden/>
          </w:rPr>
          <w:tab/>
        </w:r>
        <w:r>
          <w:rPr>
            <w:noProof/>
            <w:webHidden/>
          </w:rPr>
          <w:fldChar w:fldCharType="begin"/>
        </w:r>
        <w:r>
          <w:rPr>
            <w:noProof/>
            <w:webHidden/>
          </w:rPr>
          <w:instrText xml:space="preserve"> PAGEREF _Toc207867987 \h </w:instrText>
        </w:r>
        <w:r>
          <w:rPr>
            <w:noProof/>
            <w:webHidden/>
          </w:rPr>
        </w:r>
        <w:r>
          <w:rPr>
            <w:noProof/>
            <w:webHidden/>
          </w:rPr>
          <w:fldChar w:fldCharType="separate"/>
        </w:r>
        <w:r w:rsidR="00FF5EAF">
          <w:rPr>
            <w:noProof/>
            <w:webHidden/>
          </w:rPr>
          <w:t>2</w:t>
        </w:r>
        <w:r>
          <w:rPr>
            <w:noProof/>
            <w:webHidden/>
          </w:rPr>
          <w:fldChar w:fldCharType="end"/>
        </w:r>
      </w:hyperlink>
    </w:p>
    <w:p w14:paraId="0F74B453" w14:textId="707F1D92" w:rsidR="00FE0E63" w:rsidRDefault="00FE0E63">
      <w:pPr>
        <w:pStyle w:val="TOC2"/>
        <w:rPr>
          <w:rFonts w:asciiTheme="minorHAnsi" w:eastAsiaTheme="minorEastAsia" w:hAnsiTheme="minorHAnsi" w:cstheme="minorBidi"/>
          <w:noProof/>
          <w:color w:val="auto"/>
          <w:kern w:val="2"/>
          <w:sz w:val="24"/>
          <w:szCs w:val="24"/>
          <w:lang w:eastAsia="en-AU"/>
          <w14:ligatures w14:val="standardContextual"/>
        </w:rPr>
      </w:pPr>
      <w:hyperlink w:anchor="_Toc207867988" w:history="1">
        <w:r w:rsidRPr="00D8176E">
          <w:rPr>
            <w:rStyle w:val="Hyperlink"/>
            <w:noProof/>
          </w:rPr>
          <w:t>1.4</w:t>
        </w:r>
        <w:r>
          <w:rPr>
            <w:rFonts w:asciiTheme="minorHAnsi" w:eastAsiaTheme="minorEastAsia" w:hAnsiTheme="minorHAnsi" w:cstheme="minorBidi"/>
            <w:noProof/>
            <w:color w:val="auto"/>
            <w:kern w:val="2"/>
            <w:sz w:val="24"/>
            <w:szCs w:val="24"/>
            <w:lang w:eastAsia="en-AU"/>
            <w14:ligatures w14:val="standardContextual"/>
          </w:rPr>
          <w:tab/>
        </w:r>
        <w:r w:rsidRPr="00D8176E">
          <w:rPr>
            <w:rStyle w:val="Hyperlink"/>
            <w:noProof/>
          </w:rPr>
          <w:t>Industry Capability Network Victoria (ICN)</w:t>
        </w:r>
        <w:r>
          <w:rPr>
            <w:noProof/>
            <w:webHidden/>
          </w:rPr>
          <w:tab/>
        </w:r>
        <w:r>
          <w:rPr>
            <w:noProof/>
            <w:webHidden/>
          </w:rPr>
          <w:fldChar w:fldCharType="begin"/>
        </w:r>
        <w:r>
          <w:rPr>
            <w:noProof/>
            <w:webHidden/>
          </w:rPr>
          <w:instrText xml:space="preserve"> PAGEREF _Toc207867988 \h </w:instrText>
        </w:r>
        <w:r>
          <w:rPr>
            <w:noProof/>
            <w:webHidden/>
          </w:rPr>
        </w:r>
        <w:r>
          <w:rPr>
            <w:noProof/>
            <w:webHidden/>
          </w:rPr>
          <w:fldChar w:fldCharType="separate"/>
        </w:r>
        <w:r w:rsidR="00FF5EAF">
          <w:rPr>
            <w:noProof/>
            <w:webHidden/>
          </w:rPr>
          <w:t>3</w:t>
        </w:r>
        <w:r>
          <w:rPr>
            <w:noProof/>
            <w:webHidden/>
          </w:rPr>
          <w:fldChar w:fldCharType="end"/>
        </w:r>
      </w:hyperlink>
    </w:p>
    <w:p w14:paraId="0B369A83" w14:textId="709E5E07" w:rsidR="00FE0E63" w:rsidRDefault="00FE0E63">
      <w:pPr>
        <w:pStyle w:val="TOC2"/>
        <w:rPr>
          <w:rFonts w:asciiTheme="minorHAnsi" w:eastAsiaTheme="minorEastAsia" w:hAnsiTheme="minorHAnsi" w:cstheme="minorBidi"/>
          <w:noProof/>
          <w:color w:val="auto"/>
          <w:kern w:val="2"/>
          <w:sz w:val="24"/>
          <w:szCs w:val="24"/>
          <w:lang w:eastAsia="en-AU"/>
          <w14:ligatures w14:val="standardContextual"/>
        </w:rPr>
      </w:pPr>
      <w:hyperlink w:anchor="_Toc207867989" w:history="1">
        <w:r w:rsidRPr="00D8176E">
          <w:rPr>
            <w:rStyle w:val="Hyperlink"/>
            <w:noProof/>
          </w:rPr>
          <w:t>1.5</w:t>
        </w:r>
        <w:r>
          <w:rPr>
            <w:rFonts w:asciiTheme="minorHAnsi" w:eastAsiaTheme="minorEastAsia" w:hAnsiTheme="minorHAnsi" w:cstheme="minorBidi"/>
            <w:noProof/>
            <w:color w:val="auto"/>
            <w:kern w:val="2"/>
            <w:sz w:val="24"/>
            <w:szCs w:val="24"/>
            <w:lang w:eastAsia="en-AU"/>
            <w14:ligatures w14:val="standardContextual"/>
          </w:rPr>
          <w:tab/>
        </w:r>
        <w:r w:rsidRPr="00D8176E">
          <w:rPr>
            <w:rStyle w:val="Hyperlink"/>
            <w:noProof/>
          </w:rPr>
          <w:t>Gateway by ICN</w:t>
        </w:r>
        <w:r>
          <w:rPr>
            <w:noProof/>
            <w:webHidden/>
          </w:rPr>
          <w:tab/>
        </w:r>
        <w:r>
          <w:rPr>
            <w:noProof/>
            <w:webHidden/>
          </w:rPr>
          <w:fldChar w:fldCharType="begin"/>
        </w:r>
        <w:r>
          <w:rPr>
            <w:noProof/>
            <w:webHidden/>
          </w:rPr>
          <w:instrText xml:space="preserve"> PAGEREF _Toc207867989 \h </w:instrText>
        </w:r>
        <w:r>
          <w:rPr>
            <w:noProof/>
            <w:webHidden/>
          </w:rPr>
        </w:r>
        <w:r>
          <w:rPr>
            <w:noProof/>
            <w:webHidden/>
          </w:rPr>
          <w:fldChar w:fldCharType="separate"/>
        </w:r>
        <w:r w:rsidR="00FF5EAF">
          <w:rPr>
            <w:noProof/>
            <w:webHidden/>
          </w:rPr>
          <w:t>3</w:t>
        </w:r>
        <w:r>
          <w:rPr>
            <w:noProof/>
            <w:webHidden/>
          </w:rPr>
          <w:fldChar w:fldCharType="end"/>
        </w:r>
      </w:hyperlink>
    </w:p>
    <w:p w14:paraId="48D25C92" w14:textId="7CE3D110" w:rsidR="00FE0E63" w:rsidRDefault="00FE0E63">
      <w:pPr>
        <w:pStyle w:val="TOC2"/>
        <w:rPr>
          <w:rFonts w:asciiTheme="minorHAnsi" w:eastAsiaTheme="minorEastAsia" w:hAnsiTheme="minorHAnsi" w:cstheme="minorBidi"/>
          <w:noProof/>
          <w:color w:val="auto"/>
          <w:kern w:val="2"/>
          <w:sz w:val="24"/>
          <w:szCs w:val="24"/>
          <w:lang w:eastAsia="en-AU"/>
          <w14:ligatures w14:val="standardContextual"/>
        </w:rPr>
      </w:pPr>
      <w:hyperlink w:anchor="_Toc207867990" w:history="1">
        <w:r w:rsidRPr="00D8176E">
          <w:rPr>
            <w:rStyle w:val="Hyperlink"/>
            <w:noProof/>
          </w:rPr>
          <w:t>1.6</w:t>
        </w:r>
        <w:r>
          <w:rPr>
            <w:rFonts w:asciiTheme="minorHAnsi" w:eastAsiaTheme="minorEastAsia" w:hAnsiTheme="minorHAnsi" w:cstheme="minorBidi"/>
            <w:noProof/>
            <w:color w:val="auto"/>
            <w:kern w:val="2"/>
            <w:sz w:val="24"/>
            <w:szCs w:val="24"/>
            <w:lang w:eastAsia="en-AU"/>
            <w14:ligatures w14:val="standardContextual"/>
          </w:rPr>
          <w:tab/>
        </w:r>
        <w:r w:rsidRPr="00D8176E">
          <w:rPr>
            <w:rStyle w:val="Hyperlink"/>
            <w:noProof/>
          </w:rPr>
          <w:t>Local Jobs First Commissioner</w:t>
        </w:r>
        <w:r>
          <w:rPr>
            <w:noProof/>
            <w:webHidden/>
          </w:rPr>
          <w:tab/>
        </w:r>
        <w:r>
          <w:rPr>
            <w:noProof/>
            <w:webHidden/>
          </w:rPr>
          <w:fldChar w:fldCharType="begin"/>
        </w:r>
        <w:r>
          <w:rPr>
            <w:noProof/>
            <w:webHidden/>
          </w:rPr>
          <w:instrText xml:space="preserve"> PAGEREF _Toc207867990 \h </w:instrText>
        </w:r>
        <w:r>
          <w:rPr>
            <w:noProof/>
            <w:webHidden/>
          </w:rPr>
        </w:r>
        <w:r>
          <w:rPr>
            <w:noProof/>
            <w:webHidden/>
          </w:rPr>
          <w:fldChar w:fldCharType="separate"/>
        </w:r>
        <w:r w:rsidR="00FF5EAF">
          <w:rPr>
            <w:noProof/>
            <w:webHidden/>
          </w:rPr>
          <w:t>3</w:t>
        </w:r>
        <w:r>
          <w:rPr>
            <w:noProof/>
            <w:webHidden/>
          </w:rPr>
          <w:fldChar w:fldCharType="end"/>
        </w:r>
      </w:hyperlink>
    </w:p>
    <w:p w14:paraId="493623BB" w14:textId="651E52FE" w:rsidR="00FE0E63" w:rsidRDefault="00FE0E63">
      <w:pPr>
        <w:pStyle w:val="TOC1"/>
        <w:rPr>
          <w:rFonts w:asciiTheme="minorHAnsi" w:eastAsiaTheme="minorEastAsia" w:hAnsiTheme="minorHAnsi" w:cstheme="minorBidi"/>
          <w:b w:val="0"/>
          <w:color w:val="auto"/>
          <w:kern w:val="2"/>
          <w:sz w:val="24"/>
          <w:szCs w:val="24"/>
          <w:lang w:eastAsia="en-AU"/>
          <w14:ligatures w14:val="standardContextual"/>
        </w:rPr>
      </w:pPr>
      <w:hyperlink w:anchor="_Toc207867991" w:history="1">
        <w:r w:rsidRPr="00D8176E">
          <w:rPr>
            <w:rStyle w:val="Hyperlink"/>
            <w:lang w:bidi="x-none"/>
          </w:rPr>
          <w:t>2</w:t>
        </w:r>
        <w:r>
          <w:rPr>
            <w:rFonts w:asciiTheme="minorHAnsi" w:eastAsiaTheme="minorEastAsia" w:hAnsiTheme="minorHAnsi" w:cstheme="minorBidi"/>
            <w:b w:val="0"/>
            <w:color w:val="auto"/>
            <w:kern w:val="2"/>
            <w:sz w:val="24"/>
            <w:szCs w:val="24"/>
            <w:lang w:eastAsia="en-AU"/>
            <w14:ligatures w14:val="standardContextual"/>
          </w:rPr>
          <w:tab/>
        </w:r>
        <w:r w:rsidRPr="00D8176E">
          <w:rPr>
            <w:rStyle w:val="Hyperlink"/>
          </w:rPr>
          <w:t>How to apply Local Jobs First to Standard Projects and Strategic Projects</w:t>
        </w:r>
        <w:r>
          <w:rPr>
            <w:webHidden/>
          </w:rPr>
          <w:tab/>
        </w:r>
        <w:r>
          <w:rPr>
            <w:webHidden/>
          </w:rPr>
          <w:fldChar w:fldCharType="begin"/>
        </w:r>
        <w:r>
          <w:rPr>
            <w:webHidden/>
          </w:rPr>
          <w:instrText xml:space="preserve"> PAGEREF _Toc207867991 \h </w:instrText>
        </w:r>
        <w:r>
          <w:rPr>
            <w:webHidden/>
          </w:rPr>
        </w:r>
        <w:r>
          <w:rPr>
            <w:webHidden/>
          </w:rPr>
          <w:fldChar w:fldCharType="separate"/>
        </w:r>
        <w:r w:rsidR="00FF5EAF">
          <w:rPr>
            <w:webHidden/>
          </w:rPr>
          <w:t>3</w:t>
        </w:r>
        <w:r>
          <w:rPr>
            <w:webHidden/>
          </w:rPr>
          <w:fldChar w:fldCharType="end"/>
        </w:r>
      </w:hyperlink>
    </w:p>
    <w:p w14:paraId="3D059CD8" w14:textId="03AF8B2A" w:rsidR="00FE0E63" w:rsidRDefault="00FE0E63">
      <w:pPr>
        <w:pStyle w:val="TOC2"/>
        <w:rPr>
          <w:rFonts w:asciiTheme="minorHAnsi" w:eastAsiaTheme="minorEastAsia" w:hAnsiTheme="minorHAnsi" w:cstheme="minorBidi"/>
          <w:noProof/>
          <w:color w:val="auto"/>
          <w:kern w:val="2"/>
          <w:sz w:val="24"/>
          <w:szCs w:val="24"/>
          <w:lang w:eastAsia="en-AU"/>
          <w14:ligatures w14:val="standardContextual"/>
        </w:rPr>
      </w:pPr>
      <w:hyperlink w:anchor="_Toc207867992" w:history="1">
        <w:r w:rsidRPr="00D8176E">
          <w:rPr>
            <w:rStyle w:val="Hyperlink"/>
            <w:noProof/>
          </w:rPr>
          <w:t>2.1</w:t>
        </w:r>
        <w:r>
          <w:rPr>
            <w:rFonts w:asciiTheme="minorHAnsi" w:eastAsiaTheme="minorEastAsia" w:hAnsiTheme="minorHAnsi" w:cstheme="minorBidi"/>
            <w:noProof/>
            <w:color w:val="auto"/>
            <w:kern w:val="2"/>
            <w:sz w:val="24"/>
            <w:szCs w:val="24"/>
            <w:lang w:eastAsia="en-AU"/>
            <w14:ligatures w14:val="standardContextual"/>
          </w:rPr>
          <w:tab/>
        </w:r>
        <w:r w:rsidRPr="00D8176E">
          <w:rPr>
            <w:rStyle w:val="Hyperlink"/>
            <w:noProof/>
          </w:rPr>
          <w:t>Step 1 - Review Local Jobs First requirements in tender documentation issued by agency</w:t>
        </w:r>
        <w:r>
          <w:rPr>
            <w:noProof/>
            <w:webHidden/>
          </w:rPr>
          <w:tab/>
        </w:r>
        <w:r>
          <w:rPr>
            <w:noProof/>
            <w:webHidden/>
          </w:rPr>
          <w:fldChar w:fldCharType="begin"/>
        </w:r>
        <w:r>
          <w:rPr>
            <w:noProof/>
            <w:webHidden/>
          </w:rPr>
          <w:instrText xml:space="preserve"> PAGEREF _Toc207867992 \h </w:instrText>
        </w:r>
        <w:r>
          <w:rPr>
            <w:noProof/>
            <w:webHidden/>
          </w:rPr>
        </w:r>
        <w:r>
          <w:rPr>
            <w:noProof/>
            <w:webHidden/>
          </w:rPr>
          <w:fldChar w:fldCharType="separate"/>
        </w:r>
        <w:r w:rsidR="00FF5EAF">
          <w:rPr>
            <w:noProof/>
            <w:webHidden/>
          </w:rPr>
          <w:t>4</w:t>
        </w:r>
        <w:r>
          <w:rPr>
            <w:noProof/>
            <w:webHidden/>
          </w:rPr>
          <w:fldChar w:fldCharType="end"/>
        </w:r>
      </w:hyperlink>
    </w:p>
    <w:p w14:paraId="1B5ED121" w14:textId="75814F1D" w:rsidR="00FE0E63" w:rsidRDefault="00FE0E63">
      <w:pPr>
        <w:pStyle w:val="TOC2"/>
        <w:rPr>
          <w:rFonts w:asciiTheme="minorHAnsi" w:eastAsiaTheme="minorEastAsia" w:hAnsiTheme="minorHAnsi" w:cstheme="minorBidi"/>
          <w:noProof/>
          <w:color w:val="auto"/>
          <w:kern w:val="2"/>
          <w:sz w:val="24"/>
          <w:szCs w:val="24"/>
          <w:lang w:eastAsia="en-AU"/>
          <w14:ligatures w14:val="standardContextual"/>
        </w:rPr>
      </w:pPr>
      <w:hyperlink w:anchor="_Toc207867993" w:history="1">
        <w:r w:rsidRPr="00D8176E">
          <w:rPr>
            <w:rStyle w:val="Hyperlink"/>
            <w:noProof/>
          </w:rPr>
          <w:t>2.2</w:t>
        </w:r>
        <w:r>
          <w:rPr>
            <w:rFonts w:asciiTheme="minorHAnsi" w:eastAsiaTheme="minorEastAsia" w:hAnsiTheme="minorHAnsi" w:cstheme="minorBidi"/>
            <w:noProof/>
            <w:color w:val="auto"/>
            <w:kern w:val="2"/>
            <w:sz w:val="24"/>
            <w:szCs w:val="24"/>
            <w:lang w:eastAsia="en-AU"/>
            <w14:ligatures w14:val="standardContextual"/>
          </w:rPr>
          <w:tab/>
        </w:r>
        <w:r w:rsidRPr="00D8176E">
          <w:rPr>
            <w:rStyle w:val="Hyperlink"/>
            <w:noProof/>
          </w:rPr>
          <w:t>Step 2 - Prepare and submit Local Industry Development Plan (LIDP) in consultation with ICN</w:t>
        </w:r>
        <w:r>
          <w:rPr>
            <w:noProof/>
            <w:webHidden/>
          </w:rPr>
          <w:tab/>
        </w:r>
        <w:r>
          <w:rPr>
            <w:noProof/>
            <w:webHidden/>
          </w:rPr>
          <w:fldChar w:fldCharType="begin"/>
        </w:r>
        <w:r>
          <w:rPr>
            <w:noProof/>
            <w:webHidden/>
          </w:rPr>
          <w:instrText xml:space="preserve"> PAGEREF _Toc207867993 \h </w:instrText>
        </w:r>
        <w:r>
          <w:rPr>
            <w:noProof/>
            <w:webHidden/>
          </w:rPr>
        </w:r>
        <w:r>
          <w:rPr>
            <w:noProof/>
            <w:webHidden/>
          </w:rPr>
          <w:fldChar w:fldCharType="separate"/>
        </w:r>
        <w:r w:rsidR="00FF5EAF">
          <w:rPr>
            <w:noProof/>
            <w:webHidden/>
          </w:rPr>
          <w:t>5</w:t>
        </w:r>
        <w:r>
          <w:rPr>
            <w:noProof/>
            <w:webHidden/>
          </w:rPr>
          <w:fldChar w:fldCharType="end"/>
        </w:r>
      </w:hyperlink>
    </w:p>
    <w:p w14:paraId="1F899D7B" w14:textId="2CF8DF0A" w:rsidR="00FE0E63" w:rsidRDefault="00FE0E63">
      <w:pPr>
        <w:pStyle w:val="TOC2"/>
        <w:rPr>
          <w:rFonts w:asciiTheme="minorHAnsi" w:eastAsiaTheme="minorEastAsia" w:hAnsiTheme="minorHAnsi" w:cstheme="minorBidi"/>
          <w:noProof/>
          <w:color w:val="auto"/>
          <w:kern w:val="2"/>
          <w:sz w:val="24"/>
          <w:szCs w:val="24"/>
          <w:lang w:eastAsia="en-AU"/>
          <w14:ligatures w14:val="standardContextual"/>
        </w:rPr>
      </w:pPr>
      <w:hyperlink w:anchor="_Toc207867994" w:history="1">
        <w:r w:rsidRPr="00D8176E">
          <w:rPr>
            <w:rStyle w:val="Hyperlink"/>
            <w:noProof/>
          </w:rPr>
          <w:t>2.3</w:t>
        </w:r>
        <w:r>
          <w:rPr>
            <w:rFonts w:asciiTheme="minorHAnsi" w:eastAsiaTheme="minorEastAsia" w:hAnsiTheme="minorHAnsi" w:cstheme="minorBidi"/>
            <w:noProof/>
            <w:color w:val="auto"/>
            <w:kern w:val="2"/>
            <w:sz w:val="24"/>
            <w:szCs w:val="24"/>
            <w:lang w:eastAsia="en-AU"/>
            <w14:ligatures w14:val="standardContextual"/>
          </w:rPr>
          <w:tab/>
        </w:r>
        <w:r w:rsidRPr="00D8176E">
          <w:rPr>
            <w:rStyle w:val="Hyperlink"/>
            <w:noProof/>
          </w:rPr>
          <w:t>Step 3 - Submit LIDP and Acknowledgement Letter to the agency</w:t>
        </w:r>
        <w:r>
          <w:rPr>
            <w:noProof/>
            <w:webHidden/>
          </w:rPr>
          <w:tab/>
        </w:r>
        <w:r>
          <w:rPr>
            <w:noProof/>
            <w:webHidden/>
          </w:rPr>
          <w:fldChar w:fldCharType="begin"/>
        </w:r>
        <w:r>
          <w:rPr>
            <w:noProof/>
            <w:webHidden/>
          </w:rPr>
          <w:instrText xml:space="preserve"> PAGEREF _Toc207867994 \h </w:instrText>
        </w:r>
        <w:r>
          <w:rPr>
            <w:noProof/>
            <w:webHidden/>
          </w:rPr>
        </w:r>
        <w:r>
          <w:rPr>
            <w:noProof/>
            <w:webHidden/>
          </w:rPr>
          <w:fldChar w:fldCharType="separate"/>
        </w:r>
        <w:r w:rsidR="00FF5EAF">
          <w:rPr>
            <w:noProof/>
            <w:webHidden/>
          </w:rPr>
          <w:t>7</w:t>
        </w:r>
        <w:r>
          <w:rPr>
            <w:noProof/>
            <w:webHidden/>
          </w:rPr>
          <w:fldChar w:fldCharType="end"/>
        </w:r>
      </w:hyperlink>
    </w:p>
    <w:p w14:paraId="7D6B3DE3" w14:textId="7A1487FA" w:rsidR="00FE0E63" w:rsidRDefault="00FE0E63">
      <w:pPr>
        <w:pStyle w:val="TOC2"/>
        <w:rPr>
          <w:rFonts w:asciiTheme="minorHAnsi" w:eastAsiaTheme="minorEastAsia" w:hAnsiTheme="minorHAnsi" w:cstheme="minorBidi"/>
          <w:noProof/>
          <w:color w:val="auto"/>
          <w:kern w:val="2"/>
          <w:sz w:val="24"/>
          <w:szCs w:val="24"/>
          <w:lang w:eastAsia="en-AU"/>
          <w14:ligatures w14:val="standardContextual"/>
        </w:rPr>
      </w:pPr>
      <w:hyperlink w:anchor="_Toc207867995" w:history="1">
        <w:r w:rsidRPr="00D8176E">
          <w:rPr>
            <w:rStyle w:val="Hyperlink"/>
            <w:noProof/>
          </w:rPr>
          <w:t>2.4</w:t>
        </w:r>
        <w:r>
          <w:rPr>
            <w:rFonts w:asciiTheme="minorHAnsi" w:eastAsiaTheme="minorEastAsia" w:hAnsiTheme="minorHAnsi" w:cstheme="minorBidi"/>
            <w:noProof/>
            <w:color w:val="auto"/>
            <w:kern w:val="2"/>
            <w:sz w:val="24"/>
            <w:szCs w:val="24"/>
            <w:lang w:eastAsia="en-AU"/>
            <w14:ligatures w14:val="standardContextual"/>
          </w:rPr>
          <w:tab/>
        </w:r>
        <w:r w:rsidRPr="00D8176E">
          <w:rPr>
            <w:rStyle w:val="Hyperlink"/>
            <w:noProof/>
          </w:rPr>
          <w:t>Step 4 - Preferred bidder selected and contract awarded</w:t>
        </w:r>
        <w:r>
          <w:rPr>
            <w:noProof/>
            <w:webHidden/>
          </w:rPr>
          <w:tab/>
        </w:r>
        <w:r>
          <w:rPr>
            <w:noProof/>
            <w:webHidden/>
          </w:rPr>
          <w:fldChar w:fldCharType="begin"/>
        </w:r>
        <w:r>
          <w:rPr>
            <w:noProof/>
            <w:webHidden/>
          </w:rPr>
          <w:instrText xml:space="preserve"> PAGEREF _Toc207867995 \h </w:instrText>
        </w:r>
        <w:r>
          <w:rPr>
            <w:noProof/>
            <w:webHidden/>
          </w:rPr>
        </w:r>
        <w:r>
          <w:rPr>
            <w:noProof/>
            <w:webHidden/>
          </w:rPr>
          <w:fldChar w:fldCharType="separate"/>
        </w:r>
        <w:r w:rsidR="00FF5EAF">
          <w:rPr>
            <w:noProof/>
            <w:webHidden/>
          </w:rPr>
          <w:t>8</w:t>
        </w:r>
        <w:r>
          <w:rPr>
            <w:noProof/>
            <w:webHidden/>
          </w:rPr>
          <w:fldChar w:fldCharType="end"/>
        </w:r>
      </w:hyperlink>
    </w:p>
    <w:p w14:paraId="1632353D" w14:textId="31FBD2C7" w:rsidR="00FE0E63" w:rsidRDefault="00FE0E63">
      <w:pPr>
        <w:pStyle w:val="TOC2"/>
        <w:rPr>
          <w:rFonts w:asciiTheme="minorHAnsi" w:eastAsiaTheme="minorEastAsia" w:hAnsiTheme="minorHAnsi" w:cstheme="minorBidi"/>
          <w:noProof/>
          <w:color w:val="auto"/>
          <w:kern w:val="2"/>
          <w:sz w:val="24"/>
          <w:szCs w:val="24"/>
          <w:lang w:eastAsia="en-AU"/>
          <w14:ligatures w14:val="standardContextual"/>
        </w:rPr>
      </w:pPr>
      <w:hyperlink w:anchor="_Toc207867996" w:history="1">
        <w:r w:rsidRPr="00D8176E">
          <w:rPr>
            <w:rStyle w:val="Hyperlink"/>
            <w:noProof/>
          </w:rPr>
          <w:t>2.5</w:t>
        </w:r>
        <w:r>
          <w:rPr>
            <w:rFonts w:asciiTheme="minorHAnsi" w:eastAsiaTheme="minorEastAsia" w:hAnsiTheme="minorHAnsi" w:cstheme="minorBidi"/>
            <w:noProof/>
            <w:color w:val="auto"/>
            <w:kern w:val="2"/>
            <w:sz w:val="24"/>
            <w:szCs w:val="24"/>
            <w:lang w:eastAsia="en-AU"/>
            <w14:ligatures w14:val="standardContextual"/>
          </w:rPr>
          <w:tab/>
        </w:r>
        <w:r w:rsidRPr="00D8176E">
          <w:rPr>
            <w:rStyle w:val="Hyperlink"/>
            <w:noProof/>
          </w:rPr>
          <w:t>Step 5 - Monitor and report on Local Jobs First outcomes during project delivery</w:t>
        </w:r>
        <w:r>
          <w:rPr>
            <w:noProof/>
            <w:webHidden/>
          </w:rPr>
          <w:tab/>
        </w:r>
        <w:r>
          <w:rPr>
            <w:noProof/>
            <w:webHidden/>
          </w:rPr>
          <w:fldChar w:fldCharType="begin"/>
        </w:r>
        <w:r>
          <w:rPr>
            <w:noProof/>
            <w:webHidden/>
          </w:rPr>
          <w:instrText xml:space="preserve"> PAGEREF _Toc207867996 \h </w:instrText>
        </w:r>
        <w:r>
          <w:rPr>
            <w:noProof/>
            <w:webHidden/>
          </w:rPr>
        </w:r>
        <w:r>
          <w:rPr>
            <w:noProof/>
            <w:webHidden/>
          </w:rPr>
          <w:fldChar w:fldCharType="separate"/>
        </w:r>
        <w:r w:rsidR="00FF5EAF">
          <w:rPr>
            <w:noProof/>
            <w:webHidden/>
          </w:rPr>
          <w:t>9</w:t>
        </w:r>
        <w:r>
          <w:rPr>
            <w:noProof/>
            <w:webHidden/>
          </w:rPr>
          <w:fldChar w:fldCharType="end"/>
        </w:r>
      </w:hyperlink>
    </w:p>
    <w:p w14:paraId="1F311DBC" w14:textId="22BA579C" w:rsidR="00FE0E63" w:rsidRDefault="00FE0E63">
      <w:pPr>
        <w:pStyle w:val="TOC2"/>
        <w:rPr>
          <w:rFonts w:asciiTheme="minorHAnsi" w:eastAsiaTheme="minorEastAsia" w:hAnsiTheme="minorHAnsi" w:cstheme="minorBidi"/>
          <w:noProof/>
          <w:color w:val="auto"/>
          <w:kern w:val="2"/>
          <w:sz w:val="24"/>
          <w:szCs w:val="24"/>
          <w:lang w:eastAsia="en-AU"/>
          <w14:ligatures w14:val="standardContextual"/>
        </w:rPr>
      </w:pPr>
      <w:hyperlink w:anchor="_Toc207867997" w:history="1">
        <w:r w:rsidRPr="00D8176E">
          <w:rPr>
            <w:rStyle w:val="Hyperlink"/>
            <w:noProof/>
          </w:rPr>
          <w:t>2.6</w:t>
        </w:r>
        <w:r>
          <w:rPr>
            <w:rFonts w:asciiTheme="minorHAnsi" w:eastAsiaTheme="minorEastAsia" w:hAnsiTheme="minorHAnsi" w:cstheme="minorBidi"/>
            <w:noProof/>
            <w:color w:val="auto"/>
            <w:kern w:val="2"/>
            <w:sz w:val="24"/>
            <w:szCs w:val="24"/>
            <w:lang w:eastAsia="en-AU"/>
            <w14:ligatures w14:val="standardContextual"/>
          </w:rPr>
          <w:tab/>
        </w:r>
        <w:r w:rsidRPr="00D8176E">
          <w:rPr>
            <w:rStyle w:val="Hyperlink"/>
            <w:noProof/>
          </w:rPr>
          <w:t>Step 6 - Consider Local Jobs First if the project changes during delivery</w:t>
        </w:r>
        <w:r>
          <w:rPr>
            <w:noProof/>
            <w:webHidden/>
          </w:rPr>
          <w:tab/>
        </w:r>
        <w:r>
          <w:rPr>
            <w:noProof/>
            <w:webHidden/>
          </w:rPr>
          <w:fldChar w:fldCharType="begin"/>
        </w:r>
        <w:r>
          <w:rPr>
            <w:noProof/>
            <w:webHidden/>
          </w:rPr>
          <w:instrText xml:space="preserve"> PAGEREF _Toc207867997 \h </w:instrText>
        </w:r>
        <w:r>
          <w:rPr>
            <w:noProof/>
            <w:webHidden/>
          </w:rPr>
        </w:r>
        <w:r>
          <w:rPr>
            <w:noProof/>
            <w:webHidden/>
          </w:rPr>
          <w:fldChar w:fldCharType="separate"/>
        </w:r>
        <w:r w:rsidR="00FF5EAF">
          <w:rPr>
            <w:noProof/>
            <w:webHidden/>
          </w:rPr>
          <w:t>10</w:t>
        </w:r>
        <w:r>
          <w:rPr>
            <w:noProof/>
            <w:webHidden/>
          </w:rPr>
          <w:fldChar w:fldCharType="end"/>
        </w:r>
      </w:hyperlink>
    </w:p>
    <w:p w14:paraId="3A4E6E18" w14:textId="13A4AFEA" w:rsidR="00FE0E63" w:rsidRDefault="00FE0E63">
      <w:pPr>
        <w:pStyle w:val="TOC2"/>
        <w:rPr>
          <w:rFonts w:asciiTheme="minorHAnsi" w:eastAsiaTheme="minorEastAsia" w:hAnsiTheme="minorHAnsi" w:cstheme="minorBidi"/>
          <w:noProof/>
          <w:color w:val="auto"/>
          <w:kern w:val="2"/>
          <w:sz w:val="24"/>
          <w:szCs w:val="24"/>
          <w:lang w:eastAsia="en-AU"/>
          <w14:ligatures w14:val="standardContextual"/>
        </w:rPr>
      </w:pPr>
      <w:hyperlink w:anchor="_Toc207867998" w:history="1">
        <w:r w:rsidRPr="00D8176E">
          <w:rPr>
            <w:rStyle w:val="Hyperlink"/>
            <w:noProof/>
          </w:rPr>
          <w:t>2.7</w:t>
        </w:r>
        <w:r>
          <w:rPr>
            <w:rFonts w:asciiTheme="minorHAnsi" w:eastAsiaTheme="minorEastAsia" w:hAnsiTheme="minorHAnsi" w:cstheme="minorBidi"/>
            <w:noProof/>
            <w:color w:val="auto"/>
            <w:kern w:val="2"/>
            <w:sz w:val="24"/>
            <w:szCs w:val="24"/>
            <w:lang w:eastAsia="en-AU"/>
            <w14:ligatures w14:val="standardContextual"/>
          </w:rPr>
          <w:tab/>
        </w:r>
        <w:r w:rsidRPr="00D8176E">
          <w:rPr>
            <w:rStyle w:val="Hyperlink"/>
            <w:noProof/>
          </w:rPr>
          <w:t>Step 7 - Submit project completion reporting</w:t>
        </w:r>
        <w:r>
          <w:rPr>
            <w:noProof/>
            <w:webHidden/>
          </w:rPr>
          <w:tab/>
        </w:r>
        <w:r>
          <w:rPr>
            <w:noProof/>
            <w:webHidden/>
          </w:rPr>
          <w:fldChar w:fldCharType="begin"/>
        </w:r>
        <w:r>
          <w:rPr>
            <w:noProof/>
            <w:webHidden/>
          </w:rPr>
          <w:instrText xml:space="preserve"> PAGEREF _Toc207867998 \h </w:instrText>
        </w:r>
        <w:r>
          <w:rPr>
            <w:noProof/>
            <w:webHidden/>
          </w:rPr>
        </w:r>
        <w:r>
          <w:rPr>
            <w:noProof/>
            <w:webHidden/>
          </w:rPr>
          <w:fldChar w:fldCharType="separate"/>
        </w:r>
        <w:r w:rsidR="00FF5EAF">
          <w:rPr>
            <w:noProof/>
            <w:webHidden/>
          </w:rPr>
          <w:t>10</w:t>
        </w:r>
        <w:r>
          <w:rPr>
            <w:noProof/>
            <w:webHidden/>
          </w:rPr>
          <w:fldChar w:fldCharType="end"/>
        </w:r>
      </w:hyperlink>
    </w:p>
    <w:p w14:paraId="6DE25C6B" w14:textId="239972AA" w:rsidR="00FE0E63" w:rsidRDefault="00FE0E63">
      <w:pPr>
        <w:pStyle w:val="TOC1"/>
        <w:rPr>
          <w:rFonts w:asciiTheme="minorHAnsi" w:eastAsiaTheme="minorEastAsia" w:hAnsiTheme="minorHAnsi" w:cstheme="minorBidi"/>
          <w:b w:val="0"/>
          <w:color w:val="auto"/>
          <w:kern w:val="2"/>
          <w:sz w:val="24"/>
          <w:szCs w:val="24"/>
          <w:lang w:eastAsia="en-AU"/>
          <w14:ligatures w14:val="standardContextual"/>
        </w:rPr>
      </w:pPr>
      <w:hyperlink w:anchor="_Toc207867999" w:history="1">
        <w:r w:rsidRPr="00D8176E">
          <w:rPr>
            <w:rStyle w:val="Hyperlink"/>
            <w:lang w:val="en-US" w:bidi="x-none"/>
          </w:rPr>
          <w:t>3</w:t>
        </w:r>
        <w:r>
          <w:rPr>
            <w:rFonts w:asciiTheme="minorHAnsi" w:eastAsiaTheme="minorEastAsia" w:hAnsiTheme="minorHAnsi" w:cstheme="minorBidi"/>
            <w:b w:val="0"/>
            <w:color w:val="auto"/>
            <w:kern w:val="2"/>
            <w:sz w:val="24"/>
            <w:szCs w:val="24"/>
            <w:lang w:eastAsia="en-AU"/>
            <w14:ligatures w14:val="standardContextual"/>
          </w:rPr>
          <w:tab/>
        </w:r>
        <w:r w:rsidRPr="00D8176E">
          <w:rPr>
            <w:rStyle w:val="Hyperlink"/>
            <w:lang w:val="en-US"/>
          </w:rPr>
          <w:t>Additional Guidance for Major Projects Skills Guarantee (MPSG) Projects</w:t>
        </w:r>
        <w:r>
          <w:rPr>
            <w:webHidden/>
          </w:rPr>
          <w:tab/>
        </w:r>
        <w:r>
          <w:rPr>
            <w:webHidden/>
          </w:rPr>
          <w:fldChar w:fldCharType="begin"/>
        </w:r>
        <w:r>
          <w:rPr>
            <w:webHidden/>
          </w:rPr>
          <w:instrText xml:space="preserve"> PAGEREF _Toc207867999 \h </w:instrText>
        </w:r>
        <w:r>
          <w:rPr>
            <w:webHidden/>
          </w:rPr>
        </w:r>
        <w:r>
          <w:rPr>
            <w:webHidden/>
          </w:rPr>
          <w:fldChar w:fldCharType="separate"/>
        </w:r>
        <w:r w:rsidR="00FF5EAF">
          <w:rPr>
            <w:webHidden/>
          </w:rPr>
          <w:t>11</w:t>
        </w:r>
        <w:r>
          <w:rPr>
            <w:webHidden/>
          </w:rPr>
          <w:fldChar w:fldCharType="end"/>
        </w:r>
      </w:hyperlink>
    </w:p>
    <w:p w14:paraId="20005C93" w14:textId="6D9FC675" w:rsidR="00FE0E63" w:rsidRDefault="00FE0E63">
      <w:pPr>
        <w:pStyle w:val="TOC2"/>
        <w:rPr>
          <w:rFonts w:asciiTheme="minorHAnsi" w:eastAsiaTheme="minorEastAsia" w:hAnsiTheme="minorHAnsi" w:cstheme="minorBidi"/>
          <w:noProof/>
          <w:color w:val="auto"/>
          <w:kern w:val="2"/>
          <w:sz w:val="24"/>
          <w:szCs w:val="24"/>
          <w:lang w:eastAsia="en-AU"/>
          <w14:ligatures w14:val="standardContextual"/>
        </w:rPr>
      </w:pPr>
      <w:hyperlink w:anchor="_Toc207868000" w:history="1">
        <w:r w:rsidRPr="00D8176E">
          <w:rPr>
            <w:rStyle w:val="Hyperlink"/>
            <w:noProof/>
          </w:rPr>
          <w:t>3.1</w:t>
        </w:r>
        <w:r>
          <w:rPr>
            <w:rFonts w:asciiTheme="minorHAnsi" w:eastAsiaTheme="minorEastAsia" w:hAnsiTheme="minorHAnsi" w:cstheme="minorBidi"/>
            <w:noProof/>
            <w:color w:val="auto"/>
            <w:kern w:val="2"/>
            <w:sz w:val="24"/>
            <w:szCs w:val="24"/>
            <w:lang w:eastAsia="en-AU"/>
            <w14:ligatures w14:val="standardContextual"/>
          </w:rPr>
          <w:tab/>
        </w:r>
        <w:r w:rsidRPr="00D8176E">
          <w:rPr>
            <w:rStyle w:val="Hyperlink"/>
            <w:noProof/>
          </w:rPr>
          <w:t>Calculating MPSG commitments</w:t>
        </w:r>
        <w:r>
          <w:rPr>
            <w:noProof/>
            <w:webHidden/>
          </w:rPr>
          <w:tab/>
        </w:r>
        <w:r>
          <w:rPr>
            <w:noProof/>
            <w:webHidden/>
          </w:rPr>
          <w:fldChar w:fldCharType="begin"/>
        </w:r>
        <w:r>
          <w:rPr>
            <w:noProof/>
            <w:webHidden/>
          </w:rPr>
          <w:instrText xml:space="preserve"> PAGEREF _Toc207868000 \h </w:instrText>
        </w:r>
        <w:r>
          <w:rPr>
            <w:noProof/>
            <w:webHidden/>
          </w:rPr>
        </w:r>
        <w:r>
          <w:rPr>
            <w:noProof/>
            <w:webHidden/>
          </w:rPr>
          <w:fldChar w:fldCharType="separate"/>
        </w:r>
        <w:r w:rsidR="00FF5EAF">
          <w:rPr>
            <w:noProof/>
            <w:webHidden/>
          </w:rPr>
          <w:t>12</w:t>
        </w:r>
        <w:r>
          <w:rPr>
            <w:noProof/>
            <w:webHidden/>
          </w:rPr>
          <w:fldChar w:fldCharType="end"/>
        </w:r>
      </w:hyperlink>
    </w:p>
    <w:p w14:paraId="48EC35DD" w14:textId="3D18C60F" w:rsidR="00FE0E63" w:rsidRDefault="00FE0E63">
      <w:pPr>
        <w:pStyle w:val="TOC2"/>
        <w:rPr>
          <w:rFonts w:asciiTheme="minorHAnsi" w:eastAsiaTheme="minorEastAsia" w:hAnsiTheme="minorHAnsi" w:cstheme="minorBidi"/>
          <w:noProof/>
          <w:color w:val="auto"/>
          <w:kern w:val="2"/>
          <w:sz w:val="24"/>
          <w:szCs w:val="24"/>
          <w:lang w:eastAsia="en-AU"/>
          <w14:ligatures w14:val="standardContextual"/>
        </w:rPr>
      </w:pPr>
      <w:hyperlink w:anchor="_Toc207868001" w:history="1">
        <w:r w:rsidRPr="00D8176E">
          <w:rPr>
            <w:rStyle w:val="Hyperlink"/>
            <w:noProof/>
          </w:rPr>
          <w:t>3.2</w:t>
        </w:r>
        <w:r>
          <w:rPr>
            <w:rFonts w:asciiTheme="minorHAnsi" w:eastAsiaTheme="minorEastAsia" w:hAnsiTheme="minorHAnsi" w:cstheme="minorBidi"/>
            <w:noProof/>
            <w:color w:val="auto"/>
            <w:kern w:val="2"/>
            <w:sz w:val="24"/>
            <w:szCs w:val="24"/>
            <w:lang w:eastAsia="en-AU"/>
            <w14:ligatures w14:val="standardContextual"/>
          </w:rPr>
          <w:tab/>
        </w:r>
        <w:r w:rsidRPr="00D8176E">
          <w:rPr>
            <w:rStyle w:val="Hyperlink"/>
            <w:noProof/>
          </w:rPr>
          <w:t>Eligible apprentices, trainees and cadets (ATCs)</w:t>
        </w:r>
        <w:r>
          <w:rPr>
            <w:noProof/>
            <w:webHidden/>
          </w:rPr>
          <w:tab/>
        </w:r>
        <w:r>
          <w:rPr>
            <w:noProof/>
            <w:webHidden/>
          </w:rPr>
          <w:fldChar w:fldCharType="begin"/>
        </w:r>
        <w:r>
          <w:rPr>
            <w:noProof/>
            <w:webHidden/>
          </w:rPr>
          <w:instrText xml:space="preserve"> PAGEREF _Toc207868001 \h </w:instrText>
        </w:r>
        <w:r>
          <w:rPr>
            <w:noProof/>
            <w:webHidden/>
          </w:rPr>
        </w:r>
        <w:r>
          <w:rPr>
            <w:noProof/>
            <w:webHidden/>
          </w:rPr>
          <w:fldChar w:fldCharType="separate"/>
        </w:r>
        <w:r w:rsidR="00FF5EAF">
          <w:rPr>
            <w:noProof/>
            <w:webHidden/>
          </w:rPr>
          <w:t>12</w:t>
        </w:r>
        <w:r>
          <w:rPr>
            <w:noProof/>
            <w:webHidden/>
          </w:rPr>
          <w:fldChar w:fldCharType="end"/>
        </w:r>
      </w:hyperlink>
    </w:p>
    <w:p w14:paraId="28DB3D8C" w14:textId="28B221A7" w:rsidR="00FE0E63" w:rsidRDefault="00FE0E63">
      <w:pPr>
        <w:pStyle w:val="TOC2"/>
        <w:rPr>
          <w:rFonts w:asciiTheme="minorHAnsi" w:eastAsiaTheme="minorEastAsia" w:hAnsiTheme="minorHAnsi" w:cstheme="minorBidi"/>
          <w:noProof/>
          <w:color w:val="auto"/>
          <w:kern w:val="2"/>
          <w:sz w:val="24"/>
          <w:szCs w:val="24"/>
          <w:lang w:eastAsia="en-AU"/>
          <w14:ligatures w14:val="standardContextual"/>
        </w:rPr>
      </w:pPr>
      <w:hyperlink w:anchor="_Toc207868002" w:history="1">
        <w:r w:rsidRPr="00D8176E">
          <w:rPr>
            <w:rStyle w:val="Hyperlink"/>
            <w:noProof/>
          </w:rPr>
          <w:t>3.3</w:t>
        </w:r>
        <w:r>
          <w:rPr>
            <w:rFonts w:asciiTheme="minorHAnsi" w:eastAsiaTheme="minorEastAsia" w:hAnsiTheme="minorHAnsi" w:cstheme="minorBidi"/>
            <w:noProof/>
            <w:color w:val="auto"/>
            <w:kern w:val="2"/>
            <w:sz w:val="24"/>
            <w:szCs w:val="24"/>
            <w:lang w:eastAsia="en-AU"/>
            <w14:ligatures w14:val="standardContextual"/>
          </w:rPr>
          <w:tab/>
        </w:r>
        <w:r w:rsidRPr="00D8176E">
          <w:rPr>
            <w:rStyle w:val="Hyperlink"/>
            <w:noProof/>
          </w:rPr>
          <w:t>Eligible labour hours</w:t>
        </w:r>
        <w:r>
          <w:rPr>
            <w:noProof/>
            <w:webHidden/>
          </w:rPr>
          <w:tab/>
        </w:r>
        <w:r>
          <w:rPr>
            <w:noProof/>
            <w:webHidden/>
          </w:rPr>
          <w:fldChar w:fldCharType="begin"/>
        </w:r>
        <w:r>
          <w:rPr>
            <w:noProof/>
            <w:webHidden/>
          </w:rPr>
          <w:instrText xml:space="preserve"> PAGEREF _Toc207868002 \h </w:instrText>
        </w:r>
        <w:r>
          <w:rPr>
            <w:noProof/>
            <w:webHidden/>
          </w:rPr>
        </w:r>
        <w:r>
          <w:rPr>
            <w:noProof/>
            <w:webHidden/>
          </w:rPr>
          <w:fldChar w:fldCharType="separate"/>
        </w:r>
        <w:r w:rsidR="00FF5EAF">
          <w:rPr>
            <w:noProof/>
            <w:webHidden/>
          </w:rPr>
          <w:t>12</w:t>
        </w:r>
        <w:r>
          <w:rPr>
            <w:noProof/>
            <w:webHidden/>
          </w:rPr>
          <w:fldChar w:fldCharType="end"/>
        </w:r>
      </w:hyperlink>
    </w:p>
    <w:p w14:paraId="7DD4EAAA" w14:textId="2AA0E9D1" w:rsidR="00FE0E63" w:rsidRDefault="00FE0E63">
      <w:pPr>
        <w:pStyle w:val="TOC1"/>
        <w:rPr>
          <w:rFonts w:asciiTheme="minorHAnsi" w:eastAsiaTheme="minorEastAsia" w:hAnsiTheme="minorHAnsi" w:cstheme="minorBidi"/>
          <w:b w:val="0"/>
          <w:color w:val="auto"/>
          <w:kern w:val="2"/>
          <w:sz w:val="24"/>
          <w:szCs w:val="24"/>
          <w:lang w:eastAsia="en-AU"/>
          <w14:ligatures w14:val="standardContextual"/>
        </w:rPr>
      </w:pPr>
      <w:hyperlink w:anchor="_Toc207868003" w:history="1">
        <w:r w:rsidRPr="00D8176E">
          <w:rPr>
            <w:rStyle w:val="Hyperlink"/>
            <w:lang w:bidi="x-none"/>
          </w:rPr>
          <w:t>4</w:t>
        </w:r>
        <w:r>
          <w:rPr>
            <w:rFonts w:asciiTheme="minorHAnsi" w:eastAsiaTheme="minorEastAsia" w:hAnsiTheme="minorHAnsi" w:cstheme="minorBidi"/>
            <w:b w:val="0"/>
            <w:color w:val="auto"/>
            <w:kern w:val="2"/>
            <w:sz w:val="24"/>
            <w:szCs w:val="24"/>
            <w:lang w:eastAsia="en-AU"/>
            <w14:ligatures w14:val="standardContextual"/>
          </w:rPr>
          <w:tab/>
        </w:r>
        <w:r w:rsidRPr="00D8176E">
          <w:rPr>
            <w:rStyle w:val="Hyperlink"/>
          </w:rPr>
          <w:t>How to apply Local Jobs First to grants and loans</w:t>
        </w:r>
        <w:r>
          <w:rPr>
            <w:webHidden/>
          </w:rPr>
          <w:tab/>
        </w:r>
        <w:r>
          <w:rPr>
            <w:webHidden/>
          </w:rPr>
          <w:fldChar w:fldCharType="begin"/>
        </w:r>
        <w:r>
          <w:rPr>
            <w:webHidden/>
          </w:rPr>
          <w:instrText xml:space="preserve"> PAGEREF _Toc207868003 \h </w:instrText>
        </w:r>
        <w:r>
          <w:rPr>
            <w:webHidden/>
          </w:rPr>
        </w:r>
        <w:r>
          <w:rPr>
            <w:webHidden/>
          </w:rPr>
          <w:fldChar w:fldCharType="separate"/>
        </w:r>
        <w:r w:rsidR="00FF5EAF">
          <w:rPr>
            <w:webHidden/>
          </w:rPr>
          <w:t>13</w:t>
        </w:r>
        <w:r>
          <w:rPr>
            <w:webHidden/>
          </w:rPr>
          <w:fldChar w:fldCharType="end"/>
        </w:r>
      </w:hyperlink>
    </w:p>
    <w:p w14:paraId="6C3B6E8C" w14:textId="2141DFEA" w:rsidR="00FE0E63" w:rsidRDefault="00FE0E63">
      <w:pPr>
        <w:pStyle w:val="TOC2"/>
        <w:rPr>
          <w:rFonts w:asciiTheme="minorHAnsi" w:eastAsiaTheme="minorEastAsia" w:hAnsiTheme="minorHAnsi" w:cstheme="minorBidi"/>
          <w:noProof/>
          <w:color w:val="auto"/>
          <w:kern w:val="2"/>
          <w:sz w:val="24"/>
          <w:szCs w:val="24"/>
          <w:lang w:eastAsia="en-AU"/>
          <w14:ligatures w14:val="standardContextual"/>
        </w:rPr>
      </w:pPr>
      <w:hyperlink w:anchor="_Toc207868004" w:history="1">
        <w:r w:rsidRPr="00D8176E">
          <w:rPr>
            <w:rStyle w:val="Hyperlink"/>
            <w:noProof/>
          </w:rPr>
          <w:t>4.1</w:t>
        </w:r>
        <w:r>
          <w:rPr>
            <w:rFonts w:asciiTheme="minorHAnsi" w:eastAsiaTheme="minorEastAsia" w:hAnsiTheme="minorHAnsi" w:cstheme="minorBidi"/>
            <w:noProof/>
            <w:color w:val="auto"/>
            <w:kern w:val="2"/>
            <w:sz w:val="24"/>
            <w:szCs w:val="24"/>
            <w:lang w:eastAsia="en-AU"/>
            <w14:ligatures w14:val="standardContextual"/>
          </w:rPr>
          <w:tab/>
        </w:r>
        <w:r w:rsidRPr="00D8176E">
          <w:rPr>
            <w:rStyle w:val="Hyperlink"/>
            <w:noProof/>
          </w:rPr>
          <w:t>Step 1 - Review Local Jobs First Requirements in grant documents issued by agency</w:t>
        </w:r>
        <w:r>
          <w:rPr>
            <w:noProof/>
            <w:webHidden/>
          </w:rPr>
          <w:tab/>
        </w:r>
        <w:r>
          <w:rPr>
            <w:noProof/>
            <w:webHidden/>
          </w:rPr>
          <w:fldChar w:fldCharType="begin"/>
        </w:r>
        <w:r>
          <w:rPr>
            <w:noProof/>
            <w:webHidden/>
          </w:rPr>
          <w:instrText xml:space="preserve"> PAGEREF _Toc207868004 \h </w:instrText>
        </w:r>
        <w:r>
          <w:rPr>
            <w:noProof/>
            <w:webHidden/>
          </w:rPr>
        </w:r>
        <w:r>
          <w:rPr>
            <w:noProof/>
            <w:webHidden/>
          </w:rPr>
          <w:fldChar w:fldCharType="separate"/>
        </w:r>
        <w:r w:rsidR="00FF5EAF">
          <w:rPr>
            <w:noProof/>
            <w:webHidden/>
          </w:rPr>
          <w:t>13</w:t>
        </w:r>
        <w:r>
          <w:rPr>
            <w:noProof/>
            <w:webHidden/>
          </w:rPr>
          <w:fldChar w:fldCharType="end"/>
        </w:r>
      </w:hyperlink>
    </w:p>
    <w:p w14:paraId="3F0CD530" w14:textId="365EFE82" w:rsidR="00FE0E63" w:rsidRDefault="00FE0E63">
      <w:pPr>
        <w:pStyle w:val="TOC2"/>
        <w:rPr>
          <w:rFonts w:asciiTheme="minorHAnsi" w:eastAsiaTheme="minorEastAsia" w:hAnsiTheme="minorHAnsi" w:cstheme="minorBidi"/>
          <w:noProof/>
          <w:color w:val="auto"/>
          <w:kern w:val="2"/>
          <w:sz w:val="24"/>
          <w:szCs w:val="24"/>
          <w:lang w:eastAsia="en-AU"/>
          <w14:ligatures w14:val="standardContextual"/>
        </w:rPr>
      </w:pPr>
      <w:hyperlink w:anchor="_Toc207868005" w:history="1">
        <w:r w:rsidRPr="00D8176E">
          <w:rPr>
            <w:rStyle w:val="Hyperlink"/>
            <w:noProof/>
          </w:rPr>
          <w:t>4.2</w:t>
        </w:r>
        <w:r>
          <w:rPr>
            <w:rFonts w:asciiTheme="minorHAnsi" w:eastAsiaTheme="minorEastAsia" w:hAnsiTheme="minorHAnsi" w:cstheme="minorBidi"/>
            <w:noProof/>
            <w:color w:val="auto"/>
            <w:kern w:val="2"/>
            <w:sz w:val="24"/>
            <w:szCs w:val="24"/>
            <w:lang w:eastAsia="en-AU"/>
            <w14:ligatures w14:val="standardContextual"/>
          </w:rPr>
          <w:tab/>
        </w:r>
        <w:r w:rsidRPr="00D8176E">
          <w:rPr>
            <w:rStyle w:val="Hyperlink"/>
            <w:noProof/>
          </w:rPr>
          <w:t>Step 2 - Submit Interaction Reference Number (IRN) form to the ICN when grant is awarded</w:t>
        </w:r>
        <w:r>
          <w:rPr>
            <w:noProof/>
            <w:webHidden/>
          </w:rPr>
          <w:tab/>
        </w:r>
        <w:r>
          <w:rPr>
            <w:noProof/>
            <w:webHidden/>
          </w:rPr>
          <w:fldChar w:fldCharType="begin"/>
        </w:r>
        <w:r>
          <w:rPr>
            <w:noProof/>
            <w:webHidden/>
          </w:rPr>
          <w:instrText xml:space="preserve"> PAGEREF _Toc207868005 \h </w:instrText>
        </w:r>
        <w:r>
          <w:rPr>
            <w:noProof/>
            <w:webHidden/>
          </w:rPr>
        </w:r>
        <w:r>
          <w:rPr>
            <w:noProof/>
            <w:webHidden/>
          </w:rPr>
          <w:fldChar w:fldCharType="separate"/>
        </w:r>
        <w:r w:rsidR="00FF5EAF">
          <w:rPr>
            <w:noProof/>
            <w:webHidden/>
          </w:rPr>
          <w:t>13</w:t>
        </w:r>
        <w:r>
          <w:rPr>
            <w:noProof/>
            <w:webHidden/>
          </w:rPr>
          <w:fldChar w:fldCharType="end"/>
        </w:r>
      </w:hyperlink>
    </w:p>
    <w:p w14:paraId="6A5B74AB" w14:textId="1362D110" w:rsidR="00FE0E63" w:rsidRDefault="00FE0E63">
      <w:pPr>
        <w:pStyle w:val="TOC2"/>
        <w:rPr>
          <w:rFonts w:asciiTheme="minorHAnsi" w:eastAsiaTheme="minorEastAsia" w:hAnsiTheme="minorHAnsi" w:cstheme="minorBidi"/>
          <w:noProof/>
          <w:color w:val="auto"/>
          <w:kern w:val="2"/>
          <w:sz w:val="24"/>
          <w:szCs w:val="24"/>
          <w:lang w:eastAsia="en-AU"/>
          <w14:ligatures w14:val="standardContextual"/>
        </w:rPr>
      </w:pPr>
      <w:hyperlink w:anchor="_Toc207868006" w:history="1">
        <w:r w:rsidRPr="00D8176E">
          <w:rPr>
            <w:rStyle w:val="Hyperlink"/>
            <w:noProof/>
          </w:rPr>
          <w:t>4.3</w:t>
        </w:r>
        <w:r>
          <w:rPr>
            <w:rFonts w:asciiTheme="minorHAnsi" w:eastAsiaTheme="minorEastAsia" w:hAnsiTheme="minorHAnsi" w:cstheme="minorBidi"/>
            <w:noProof/>
            <w:color w:val="auto"/>
            <w:kern w:val="2"/>
            <w:sz w:val="24"/>
            <w:szCs w:val="24"/>
            <w:lang w:eastAsia="en-AU"/>
            <w14:ligatures w14:val="standardContextual"/>
          </w:rPr>
          <w:tab/>
        </w:r>
        <w:r w:rsidRPr="00D8176E">
          <w:rPr>
            <w:rStyle w:val="Hyperlink"/>
            <w:noProof/>
          </w:rPr>
          <w:t>Step 3 - Consult with the ICN on opportunities for local industry</w:t>
        </w:r>
        <w:r>
          <w:rPr>
            <w:noProof/>
            <w:webHidden/>
          </w:rPr>
          <w:tab/>
        </w:r>
        <w:r>
          <w:rPr>
            <w:noProof/>
            <w:webHidden/>
          </w:rPr>
          <w:fldChar w:fldCharType="begin"/>
        </w:r>
        <w:r>
          <w:rPr>
            <w:noProof/>
            <w:webHidden/>
          </w:rPr>
          <w:instrText xml:space="preserve"> PAGEREF _Toc207868006 \h </w:instrText>
        </w:r>
        <w:r>
          <w:rPr>
            <w:noProof/>
            <w:webHidden/>
          </w:rPr>
        </w:r>
        <w:r>
          <w:rPr>
            <w:noProof/>
            <w:webHidden/>
          </w:rPr>
          <w:fldChar w:fldCharType="separate"/>
        </w:r>
        <w:r w:rsidR="00FF5EAF">
          <w:rPr>
            <w:noProof/>
            <w:webHidden/>
          </w:rPr>
          <w:t>14</w:t>
        </w:r>
        <w:r>
          <w:rPr>
            <w:noProof/>
            <w:webHidden/>
          </w:rPr>
          <w:fldChar w:fldCharType="end"/>
        </w:r>
      </w:hyperlink>
    </w:p>
    <w:p w14:paraId="5197A2FB" w14:textId="499491E6" w:rsidR="00FE0E63" w:rsidRDefault="00FE0E63">
      <w:pPr>
        <w:pStyle w:val="TOC2"/>
        <w:rPr>
          <w:rFonts w:asciiTheme="minorHAnsi" w:eastAsiaTheme="minorEastAsia" w:hAnsiTheme="minorHAnsi" w:cstheme="minorBidi"/>
          <w:noProof/>
          <w:color w:val="auto"/>
          <w:kern w:val="2"/>
          <w:sz w:val="24"/>
          <w:szCs w:val="24"/>
          <w:lang w:eastAsia="en-AU"/>
          <w14:ligatures w14:val="standardContextual"/>
        </w:rPr>
      </w:pPr>
      <w:hyperlink w:anchor="_Toc207868007" w:history="1">
        <w:r w:rsidRPr="00D8176E">
          <w:rPr>
            <w:rStyle w:val="Hyperlink"/>
            <w:noProof/>
          </w:rPr>
          <w:t>4.4</w:t>
        </w:r>
        <w:r>
          <w:rPr>
            <w:rFonts w:asciiTheme="minorHAnsi" w:eastAsiaTheme="minorEastAsia" w:hAnsiTheme="minorHAnsi" w:cstheme="minorBidi"/>
            <w:noProof/>
            <w:color w:val="auto"/>
            <w:kern w:val="2"/>
            <w:sz w:val="24"/>
            <w:szCs w:val="24"/>
            <w:lang w:eastAsia="en-AU"/>
            <w14:ligatures w14:val="standardContextual"/>
          </w:rPr>
          <w:tab/>
        </w:r>
        <w:r w:rsidRPr="00D8176E">
          <w:rPr>
            <w:rStyle w:val="Hyperlink"/>
            <w:noProof/>
          </w:rPr>
          <w:t>Step 4 - Provide IRN and Reference Letter to agency contract manager</w:t>
        </w:r>
        <w:r>
          <w:rPr>
            <w:noProof/>
            <w:webHidden/>
          </w:rPr>
          <w:tab/>
        </w:r>
        <w:r>
          <w:rPr>
            <w:noProof/>
            <w:webHidden/>
          </w:rPr>
          <w:fldChar w:fldCharType="begin"/>
        </w:r>
        <w:r>
          <w:rPr>
            <w:noProof/>
            <w:webHidden/>
          </w:rPr>
          <w:instrText xml:space="preserve"> PAGEREF _Toc207868007 \h </w:instrText>
        </w:r>
        <w:r>
          <w:rPr>
            <w:noProof/>
            <w:webHidden/>
          </w:rPr>
        </w:r>
        <w:r>
          <w:rPr>
            <w:noProof/>
            <w:webHidden/>
          </w:rPr>
          <w:fldChar w:fldCharType="separate"/>
        </w:r>
        <w:r w:rsidR="00FF5EAF">
          <w:rPr>
            <w:noProof/>
            <w:webHidden/>
          </w:rPr>
          <w:t>14</w:t>
        </w:r>
        <w:r>
          <w:rPr>
            <w:noProof/>
            <w:webHidden/>
          </w:rPr>
          <w:fldChar w:fldCharType="end"/>
        </w:r>
      </w:hyperlink>
    </w:p>
    <w:p w14:paraId="41544F60" w14:textId="25B77259" w:rsidR="00FE0E63" w:rsidRDefault="00FE0E63">
      <w:pPr>
        <w:pStyle w:val="TOC2"/>
        <w:rPr>
          <w:rFonts w:asciiTheme="minorHAnsi" w:eastAsiaTheme="minorEastAsia" w:hAnsiTheme="minorHAnsi" w:cstheme="minorBidi"/>
          <w:noProof/>
          <w:color w:val="auto"/>
          <w:kern w:val="2"/>
          <w:sz w:val="24"/>
          <w:szCs w:val="24"/>
          <w:lang w:eastAsia="en-AU"/>
          <w14:ligatures w14:val="standardContextual"/>
        </w:rPr>
      </w:pPr>
      <w:hyperlink w:anchor="_Toc207868008" w:history="1">
        <w:r w:rsidRPr="00D8176E">
          <w:rPr>
            <w:rStyle w:val="Hyperlink"/>
            <w:noProof/>
          </w:rPr>
          <w:t>4.5</w:t>
        </w:r>
        <w:r>
          <w:rPr>
            <w:rFonts w:asciiTheme="minorHAnsi" w:eastAsiaTheme="minorEastAsia" w:hAnsiTheme="minorHAnsi" w:cstheme="minorBidi"/>
            <w:noProof/>
            <w:color w:val="auto"/>
            <w:kern w:val="2"/>
            <w:sz w:val="24"/>
            <w:szCs w:val="24"/>
            <w:lang w:eastAsia="en-AU"/>
            <w14:ligatures w14:val="standardContextual"/>
          </w:rPr>
          <w:tab/>
        </w:r>
        <w:r w:rsidRPr="00D8176E">
          <w:rPr>
            <w:rStyle w:val="Hyperlink"/>
            <w:noProof/>
          </w:rPr>
          <w:t>Step 5 – Monitor compliance with Local Jobs First commitments</w:t>
        </w:r>
        <w:r>
          <w:rPr>
            <w:noProof/>
            <w:webHidden/>
          </w:rPr>
          <w:tab/>
        </w:r>
        <w:r>
          <w:rPr>
            <w:noProof/>
            <w:webHidden/>
          </w:rPr>
          <w:fldChar w:fldCharType="begin"/>
        </w:r>
        <w:r>
          <w:rPr>
            <w:noProof/>
            <w:webHidden/>
          </w:rPr>
          <w:instrText xml:space="preserve"> PAGEREF _Toc207868008 \h </w:instrText>
        </w:r>
        <w:r>
          <w:rPr>
            <w:noProof/>
            <w:webHidden/>
          </w:rPr>
        </w:r>
        <w:r>
          <w:rPr>
            <w:noProof/>
            <w:webHidden/>
          </w:rPr>
          <w:fldChar w:fldCharType="separate"/>
        </w:r>
        <w:r w:rsidR="00FF5EAF">
          <w:rPr>
            <w:noProof/>
            <w:webHidden/>
          </w:rPr>
          <w:t>14</w:t>
        </w:r>
        <w:r>
          <w:rPr>
            <w:noProof/>
            <w:webHidden/>
          </w:rPr>
          <w:fldChar w:fldCharType="end"/>
        </w:r>
      </w:hyperlink>
    </w:p>
    <w:p w14:paraId="5A75E7B2" w14:textId="6D0C8824" w:rsidR="00FE0E63" w:rsidRDefault="00FE0E63">
      <w:pPr>
        <w:pStyle w:val="TOC1"/>
        <w:rPr>
          <w:rFonts w:asciiTheme="minorHAnsi" w:eastAsiaTheme="minorEastAsia" w:hAnsiTheme="minorHAnsi" w:cstheme="minorBidi"/>
          <w:b w:val="0"/>
          <w:color w:val="auto"/>
          <w:kern w:val="2"/>
          <w:sz w:val="24"/>
          <w:szCs w:val="24"/>
          <w:lang w:eastAsia="en-AU"/>
          <w14:ligatures w14:val="standardContextual"/>
        </w:rPr>
      </w:pPr>
      <w:hyperlink w:anchor="_Toc207868009" w:history="1">
        <w:r w:rsidRPr="00D8176E">
          <w:rPr>
            <w:rStyle w:val="Hyperlink"/>
            <w:lang w:bidi="x-none"/>
          </w:rPr>
          <w:t>5</w:t>
        </w:r>
        <w:r>
          <w:rPr>
            <w:rFonts w:asciiTheme="minorHAnsi" w:eastAsiaTheme="minorEastAsia" w:hAnsiTheme="minorHAnsi" w:cstheme="minorBidi"/>
            <w:b w:val="0"/>
            <w:color w:val="auto"/>
            <w:kern w:val="2"/>
            <w:sz w:val="24"/>
            <w:szCs w:val="24"/>
            <w:lang w:eastAsia="en-AU"/>
            <w14:ligatures w14:val="standardContextual"/>
          </w:rPr>
          <w:tab/>
        </w:r>
        <w:r w:rsidRPr="00D8176E">
          <w:rPr>
            <w:rStyle w:val="Hyperlink"/>
          </w:rPr>
          <w:t>How to apply Local Jobs First to panels</w:t>
        </w:r>
        <w:r>
          <w:rPr>
            <w:webHidden/>
          </w:rPr>
          <w:tab/>
        </w:r>
        <w:r>
          <w:rPr>
            <w:webHidden/>
          </w:rPr>
          <w:fldChar w:fldCharType="begin"/>
        </w:r>
        <w:r>
          <w:rPr>
            <w:webHidden/>
          </w:rPr>
          <w:instrText xml:space="preserve"> PAGEREF _Toc207868009 \h </w:instrText>
        </w:r>
        <w:r>
          <w:rPr>
            <w:webHidden/>
          </w:rPr>
        </w:r>
        <w:r>
          <w:rPr>
            <w:webHidden/>
          </w:rPr>
          <w:fldChar w:fldCharType="separate"/>
        </w:r>
        <w:r w:rsidR="00FF5EAF">
          <w:rPr>
            <w:webHidden/>
          </w:rPr>
          <w:t>14</w:t>
        </w:r>
        <w:r>
          <w:rPr>
            <w:webHidden/>
          </w:rPr>
          <w:fldChar w:fldCharType="end"/>
        </w:r>
      </w:hyperlink>
    </w:p>
    <w:p w14:paraId="78467EFD" w14:textId="02ACD8C9" w:rsidR="00FE0E63" w:rsidRDefault="00FE0E63">
      <w:pPr>
        <w:pStyle w:val="TOC2"/>
        <w:rPr>
          <w:rFonts w:asciiTheme="minorHAnsi" w:eastAsiaTheme="minorEastAsia" w:hAnsiTheme="minorHAnsi" w:cstheme="minorBidi"/>
          <w:noProof/>
          <w:color w:val="auto"/>
          <w:kern w:val="2"/>
          <w:sz w:val="24"/>
          <w:szCs w:val="24"/>
          <w:lang w:eastAsia="en-AU"/>
          <w14:ligatures w14:val="standardContextual"/>
        </w:rPr>
      </w:pPr>
      <w:hyperlink w:anchor="_Toc207868010" w:history="1">
        <w:r w:rsidRPr="00D8176E">
          <w:rPr>
            <w:rStyle w:val="Hyperlink"/>
            <w:noProof/>
          </w:rPr>
          <w:t>5.1</w:t>
        </w:r>
        <w:r>
          <w:rPr>
            <w:rFonts w:asciiTheme="minorHAnsi" w:eastAsiaTheme="minorEastAsia" w:hAnsiTheme="minorHAnsi" w:cstheme="minorBidi"/>
            <w:noProof/>
            <w:color w:val="auto"/>
            <w:kern w:val="2"/>
            <w:sz w:val="24"/>
            <w:szCs w:val="24"/>
            <w:lang w:eastAsia="en-AU"/>
            <w14:ligatures w14:val="standardContextual"/>
          </w:rPr>
          <w:tab/>
        </w:r>
        <w:r w:rsidRPr="00D8176E">
          <w:rPr>
            <w:rStyle w:val="Hyperlink"/>
            <w:noProof/>
          </w:rPr>
          <w:t>Joining a panel</w:t>
        </w:r>
        <w:r>
          <w:rPr>
            <w:noProof/>
            <w:webHidden/>
          </w:rPr>
          <w:tab/>
        </w:r>
        <w:r>
          <w:rPr>
            <w:noProof/>
            <w:webHidden/>
          </w:rPr>
          <w:fldChar w:fldCharType="begin"/>
        </w:r>
        <w:r>
          <w:rPr>
            <w:noProof/>
            <w:webHidden/>
          </w:rPr>
          <w:instrText xml:space="preserve"> PAGEREF _Toc207868010 \h </w:instrText>
        </w:r>
        <w:r>
          <w:rPr>
            <w:noProof/>
            <w:webHidden/>
          </w:rPr>
        </w:r>
        <w:r>
          <w:rPr>
            <w:noProof/>
            <w:webHidden/>
          </w:rPr>
          <w:fldChar w:fldCharType="separate"/>
        </w:r>
        <w:r w:rsidR="00FF5EAF">
          <w:rPr>
            <w:noProof/>
            <w:webHidden/>
          </w:rPr>
          <w:t>15</w:t>
        </w:r>
        <w:r>
          <w:rPr>
            <w:noProof/>
            <w:webHidden/>
          </w:rPr>
          <w:fldChar w:fldCharType="end"/>
        </w:r>
      </w:hyperlink>
    </w:p>
    <w:p w14:paraId="43829C42" w14:textId="344981D1" w:rsidR="00FE0E63" w:rsidRDefault="00FE0E63">
      <w:pPr>
        <w:pStyle w:val="TOC2"/>
        <w:rPr>
          <w:rFonts w:asciiTheme="minorHAnsi" w:eastAsiaTheme="minorEastAsia" w:hAnsiTheme="minorHAnsi" w:cstheme="minorBidi"/>
          <w:noProof/>
          <w:color w:val="auto"/>
          <w:kern w:val="2"/>
          <w:sz w:val="24"/>
          <w:szCs w:val="24"/>
          <w:lang w:eastAsia="en-AU"/>
          <w14:ligatures w14:val="standardContextual"/>
        </w:rPr>
      </w:pPr>
      <w:hyperlink w:anchor="_Toc207868011" w:history="1">
        <w:r w:rsidRPr="00D8176E">
          <w:rPr>
            <w:rStyle w:val="Hyperlink"/>
            <w:noProof/>
          </w:rPr>
          <w:t>5.2</w:t>
        </w:r>
        <w:r>
          <w:rPr>
            <w:rFonts w:asciiTheme="minorHAnsi" w:eastAsiaTheme="minorEastAsia" w:hAnsiTheme="minorHAnsi" w:cstheme="minorBidi"/>
            <w:noProof/>
            <w:color w:val="auto"/>
            <w:kern w:val="2"/>
            <w:sz w:val="24"/>
            <w:szCs w:val="24"/>
            <w:lang w:eastAsia="en-AU"/>
            <w14:ligatures w14:val="standardContextual"/>
          </w:rPr>
          <w:tab/>
        </w:r>
        <w:r w:rsidRPr="00D8176E">
          <w:rPr>
            <w:rStyle w:val="Hyperlink"/>
            <w:noProof/>
          </w:rPr>
          <w:t>Supplying through a panel</w:t>
        </w:r>
        <w:r>
          <w:rPr>
            <w:noProof/>
            <w:webHidden/>
          </w:rPr>
          <w:tab/>
        </w:r>
        <w:r>
          <w:rPr>
            <w:noProof/>
            <w:webHidden/>
          </w:rPr>
          <w:fldChar w:fldCharType="begin"/>
        </w:r>
        <w:r>
          <w:rPr>
            <w:noProof/>
            <w:webHidden/>
          </w:rPr>
          <w:instrText xml:space="preserve"> PAGEREF _Toc207868011 \h </w:instrText>
        </w:r>
        <w:r>
          <w:rPr>
            <w:noProof/>
            <w:webHidden/>
          </w:rPr>
        </w:r>
        <w:r>
          <w:rPr>
            <w:noProof/>
            <w:webHidden/>
          </w:rPr>
          <w:fldChar w:fldCharType="separate"/>
        </w:r>
        <w:r w:rsidR="00FF5EAF">
          <w:rPr>
            <w:noProof/>
            <w:webHidden/>
          </w:rPr>
          <w:t>15</w:t>
        </w:r>
        <w:r>
          <w:rPr>
            <w:noProof/>
            <w:webHidden/>
          </w:rPr>
          <w:fldChar w:fldCharType="end"/>
        </w:r>
      </w:hyperlink>
    </w:p>
    <w:p w14:paraId="04B15CA2" w14:textId="19855923" w:rsidR="00FE0E63" w:rsidRDefault="00FE0E63">
      <w:pPr>
        <w:pStyle w:val="TOC1"/>
        <w:rPr>
          <w:rFonts w:asciiTheme="minorHAnsi" w:eastAsiaTheme="minorEastAsia" w:hAnsiTheme="minorHAnsi" w:cstheme="minorBidi"/>
          <w:b w:val="0"/>
          <w:color w:val="auto"/>
          <w:kern w:val="2"/>
          <w:sz w:val="24"/>
          <w:szCs w:val="24"/>
          <w:lang w:eastAsia="en-AU"/>
          <w14:ligatures w14:val="standardContextual"/>
        </w:rPr>
      </w:pPr>
      <w:hyperlink w:anchor="_Toc207868012" w:history="1">
        <w:r w:rsidRPr="00D8176E">
          <w:rPr>
            <w:rStyle w:val="Hyperlink"/>
            <w:lang w:bidi="x-none"/>
          </w:rPr>
          <w:t>6</w:t>
        </w:r>
        <w:r>
          <w:rPr>
            <w:rFonts w:asciiTheme="minorHAnsi" w:eastAsiaTheme="minorEastAsia" w:hAnsiTheme="minorHAnsi" w:cstheme="minorBidi"/>
            <w:b w:val="0"/>
            <w:color w:val="auto"/>
            <w:kern w:val="2"/>
            <w:sz w:val="24"/>
            <w:szCs w:val="24"/>
            <w:lang w:eastAsia="en-AU"/>
            <w14:ligatures w14:val="standardContextual"/>
          </w:rPr>
          <w:tab/>
        </w:r>
        <w:r w:rsidRPr="00D8176E">
          <w:rPr>
            <w:rStyle w:val="Hyperlink"/>
          </w:rPr>
          <w:t>How to apply Local Jobs First to market-led proposals</w:t>
        </w:r>
        <w:r>
          <w:rPr>
            <w:webHidden/>
          </w:rPr>
          <w:tab/>
        </w:r>
        <w:r>
          <w:rPr>
            <w:webHidden/>
          </w:rPr>
          <w:fldChar w:fldCharType="begin"/>
        </w:r>
        <w:r>
          <w:rPr>
            <w:webHidden/>
          </w:rPr>
          <w:instrText xml:space="preserve"> PAGEREF _Toc207868012 \h </w:instrText>
        </w:r>
        <w:r>
          <w:rPr>
            <w:webHidden/>
          </w:rPr>
        </w:r>
        <w:r>
          <w:rPr>
            <w:webHidden/>
          </w:rPr>
          <w:fldChar w:fldCharType="separate"/>
        </w:r>
        <w:r w:rsidR="00FF5EAF">
          <w:rPr>
            <w:webHidden/>
          </w:rPr>
          <w:t>15</w:t>
        </w:r>
        <w:r>
          <w:rPr>
            <w:webHidden/>
          </w:rPr>
          <w:fldChar w:fldCharType="end"/>
        </w:r>
      </w:hyperlink>
    </w:p>
    <w:p w14:paraId="233B5F5C" w14:textId="7F17FE06" w:rsidR="00FE0E63" w:rsidRDefault="00FE0E63">
      <w:pPr>
        <w:pStyle w:val="TOC1"/>
        <w:rPr>
          <w:rFonts w:asciiTheme="minorHAnsi" w:eastAsiaTheme="minorEastAsia" w:hAnsiTheme="minorHAnsi" w:cstheme="minorBidi"/>
          <w:b w:val="0"/>
          <w:color w:val="auto"/>
          <w:kern w:val="2"/>
          <w:sz w:val="24"/>
          <w:szCs w:val="24"/>
          <w:lang w:eastAsia="en-AU"/>
          <w14:ligatures w14:val="standardContextual"/>
        </w:rPr>
      </w:pPr>
      <w:hyperlink w:anchor="_Toc207868013" w:history="1">
        <w:r w:rsidRPr="00D8176E">
          <w:rPr>
            <w:rStyle w:val="Hyperlink"/>
            <w:lang w:bidi="x-none"/>
          </w:rPr>
          <w:t>7</w:t>
        </w:r>
        <w:r>
          <w:rPr>
            <w:rFonts w:asciiTheme="minorHAnsi" w:eastAsiaTheme="minorEastAsia" w:hAnsiTheme="minorHAnsi" w:cstheme="minorBidi"/>
            <w:b w:val="0"/>
            <w:color w:val="auto"/>
            <w:kern w:val="2"/>
            <w:sz w:val="24"/>
            <w:szCs w:val="24"/>
            <w:lang w:eastAsia="en-AU"/>
            <w14:ligatures w14:val="standardContextual"/>
          </w:rPr>
          <w:tab/>
        </w:r>
        <w:r w:rsidRPr="00D8176E">
          <w:rPr>
            <w:rStyle w:val="Hyperlink"/>
          </w:rPr>
          <w:t>Appendices</w:t>
        </w:r>
        <w:r>
          <w:rPr>
            <w:webHidden/>
          </w:rPr>
          <w:tab/>
        </w:r>
        <w:r>
          <w:rPr>
            <w:webHidden/>
          </w:rPr>
          <w:fldChar w:fldCharType="begin"/>
        </w:r>
        <w:r>
          <w:rPr>
            <w:webHidden/>
          </w:rPr>
          <w:instrText xml:space="preserve"> PAGEREF _Toc207868013 \h </w:instrText>
        </w:r>
        <w:r>
          <w:rPr>
            <w:webHidden/>
          </w:rPr>
        </w:r>
        <w:r>
          <w:rPr>
            <w:webHidden/>
          </w:rPr>
          <w:fldChar w:fldCharType="separate"/>
        </w:r>
        <w:r w:rsidR="00FF5EAF">
          <w:rPr>
            <w:webHidden/>
          </w:rPr>
          <w:t>16</w:t>
        </w:r>
        <w:r>
          <w:rPr>
            <w:webHidden/>
          </w:rPr>
          <w:fldChar w:fldCharType="end"/>
        </w:r>
      </w:hyperlink>
    </w:p>
    <w:p w14:paraId="37C62237" w14:textId="7F3E7913" w:rsidR="00FE0E63" w:rsidRDefault="00FE0E63">
      <w:pPr>
        <w:pStyle w:val="TOC2"/>
        <w:rPr>
          <w:rFonts w:asciiTheme="minorHAnsi" w:eastAsiaTheme="minorEastAsia" w:hAnsiTheme="minorHAnsi" w:cstheme="minorBidi"/>
          <w:noProof/>
          <w:color w:val="auto"/>
          <w:kern w:val="2"/>
          <w:sz w:val="24"/>
          <w:szCs w:val="24"/>
          <w:lang w:eastAsia="en-AU"/>
          <w14:ligatures w14:val="standardContextual"/>
        </w:rPr>
      </w:pPr>
      <w:hyperlink w:anchor="_Toc207868014" w:history="1">
        <w:r w:rsidRPr="00D8176E">
          <w:rPr>
            <w:rStyle w:val="Hyperlink"/>
            <w:noProof/>
          </w:rPr>
          <w:t>Appendix 1: Glossary</w:t>
        </w:r>
        <w:r>
          <w:rPr>
            <w:noProof/>
            <w:webHidden/>
          </w:rPr>
          <w:tab/>
        </w:r>
        <w:r>
          <w:rPr>
            <w:noProof/>
            <w:webHidden/>
          </w:rPr>
          <w:fldChar w:fldCharType="begin"/>
        </w:r>
        <w:r>
          <w:rPr>
            <w:noProof/>
            <w:webHidden/>
          </w:rPr>
          <w:instrText xml:space="preserve"> PAGEREF _Toc207868014 \h </w:instrText>
        </w:r>
        <w:r>
          <w:rPr>
            <w:noProof/>
            <w:webHidden/>
          </w:rPr>
        </w:r>
        <w:r>
          <w:rPr>
            <w:noProof/>
            <w:webHidden/>
          </w:rPr>
          <w:fldChar w:fldCharType="separate"/>
        </w:r>
        <w:r w:rsidR="00FF5EAF">
          <w:rPr>
            <w:noProof/>
            <w:webHidden/>
          </w:rPr>
          <w:t>16</w:t>
        </w:r>
        <w:r>
          <w:rPr>
            <w:noProof/>
            <w:webHidden/>
          </w:rPr>
          <w:fldChar w:fldCharType="end"/>
        </w:r>
      </w:hyperlink>
    </w:p>
    <w:p w14:paraId="471B70FF" w14:textId="18E64E12" w:rsidR="00FE0E63" w:rsidRDefault="00FE0E63">
      <w:pPr>
        <w:pStyle w:val="TOC2"/>
        <w:rPr>
          <w:rFonts w:asciiTheme="minorHAnsi" w:eastAsiaTheme="minorEastAsia" w:hAnsiTheme="minorHAnsi" w:cstheme="minorBidi"/>
          <w:noProof/>
          <w:color w:val="auto"/>
          <w:kern w:val="2"/>
          <w:sz w:val="24"/>
          <w:szCs w:val="24"/>
          <w:lang w:eastAsia="en-AU"/>
          <w14:ligatures w14:val="standardContextual"/>
        </w:rPr>
      </w:pPr>
      <w:hyperlink w:anchor="_Toc207868015" w:history="1">
        <w:r w:rsidRPr="00D8176E">
          <w:rPr>
            <w:rStyle w:val="Hyperlink"/>
            <w:noProof/>
          </w:rPr>
          <w:t>Appendix 2: Example Monitoring and Reporting Table</w:t>
        </w:r>
        <w:r>
          <w:rPr>
            <w:noProof/>
            <w:webHidden/>
          </w:rPr>
          <w:tab/>
        </w:r>
        <w:r>
          <w:rPr>
            <w:noProof/>
            <w:webHidden/>
          </w:rPr>
          <w:fldChar w:fldCharType="begin"/>
        </w:r>
        <w:r>
          <w:rPr>
            <w:noProof/>
            <w:webHidden/>
          </w:rPr>
          <w:instrText xml:space="preserve"> PAGEREF _Toc207868015 \h </w:instrText>
        </w:r>
        <w:r>
          <w:rPr>
            <w:noProof/>
            <w:webHidden/>
          </w:rPr>
        </w:r>
        <w:r>
          <w:rPr>
            <w:noProof/>
            <w:webHidden/>
          </w:rPr>
          <w:fldChar w:fldCharType="separate"/>
        </w:r>
        <w:r w:rsidR="00FF5EAF">
          <w:rPr>
            <w:noProof/>
            <w:webHidden/>
          </w:rPr>
          <w:t>20</w:t>
        </w:r>
        <w:r>
          <w:rPr>
            <w:noProof/>
            <w:webHidden/>
          </w:rPr>
          <w:fldChar w:fldCharType="end"/>
        </w:r>
      </w:hyperlink>
    </w:p>
    <w:p w14:paraId="02CAB863" w14:textId="0368A6A2" w:rsidR="00FE0E63" w:rsidRDefault="00FE0E63">
      <w:pPr>
        <w:pStyle w:val="TOC2"/>
        <w:rPr>
          <w:rFonts w:asciiTheme="minorHAnsi" w:eastAsiaTheme="minorEastAsia" w:hAnsiTheme="minorHAnsi" w:cstheme="minorBidi"/>
          <w:noProof/>
          <w:color w:val="auto"/>
          <w:kern w:val="2"/>
          <w:sz w:val="24"/>
          <w:szCs w:val="24"/>
          <w:lang w:eastAsia="en-AU"/>
          <w14:ligatures w14:val="standardContextual"/>
        </w:rPr>
      </w:pPr>
      <w:hyperlink w:anchor="_Toc207868016" w:history="1">
        <w:r w:rsidRPr="00D8176E">
          <w:rPr>
            <w:rStyle w:val="Hyperlink"/>
            <w:noProof/>
          </w:rPr>
          <w:t>Appendix 3: Deemed Hours Formula (updated)</w:t>
        </w:r>
        <w:r>
          <w:rPr>
            <w:noProof/>
            <w:webHidden/>
          </w:rPr>
          <w:tab/>
        </w:r>
        <w:r>
          <w:rPr>
            <w:noProof/>
            <w:webHidden/>
          </w:rPr>
          <w:fldChar w:fldCharType="begin"/>
        </w:r>
        <w:r>
          <w:rPr>
            <w:noProof/>
            <w:webHidden/>
          </w:rPr>
          <w:instrText xml:space="preserve"> PAGEREF _Toc207868016 \h </w:instrText>
        </w:r>
        <w:r>
          <w:rPr>
            <w:noProof/>
            <w:webHidden/>
          </w:rPr>
        </w:r>
        <w:r>
          <w:rPr>
            <w:noProof/>
            <w:webHidden/>
          </w:rPr>
          <w:fldChar w:fldCharType="separate"/>
        </w:r>
        <w:r w:rsidR="00FF5EAF">
          <w:rPr>
            <w:noProof/>
            <w:webHidden/>
          </w:rPr>
          <w:t>21</w:t>
        </w:r>
        <w:r>
          <w:rPr>
            <w:noProof/>
            <w:webHidden/>
          </w:rPr>
          <w:fldChar w:fldCharType="end"/>
        </w:r>
      </w:hyperlink>
    </w:p>
    <w:p w14:paraId="361067F6" w14:textId="3CAA83B7" w:rsidR="00FE0E63" w:rsidRDefault="00FE0E63">
      <w:pPr>
        <w:pStyle w:val="TOC2"/>
        <w:rPr>
          <w:rFonts w:asciiTheme="minorHAnsi" w:eastAsiaTheme="minorEastAsia" w:hAnsiTheme="minorHAnsi" w:cstheme="minorBidi"/>
          <w:noProof/>
          <w:color w:val="auto"/>
          <w:kern w:val="2"/>
          <w:sz w:val="24"/>
          <w:szCs w:val="24"/>
          <w:lang w:eastAsia="en-AU"/>
          <w14:ligatures w14:val="standardContextual"/>
        </w:rPr>
      </w:pPr>
      <w:hyperlink w:anchor="_Toc207868017" w:history="1">
        <w:r w:rsidRPr="00D8176E">
          <w:rPr>
            <w:rStyle w:val="Hyperlink"/>
            <w:noProof/>
          </w:rPr>
          <w:t>Appendix 4: Statutory Declaration Template</w:t>
        </w:r>
        <w:r>
          <w:rPr>
            <w:noProof/>
            <w:webHidden/>
          </w:rPr>
          <w:tab/>
        </w:r>
        <w:r>
          <w:rPr>
            <w:noProof/>
            <w:webHidden/>
          </w:rPr>
          <w:fldChar w:fldCharType="begin"/>
        </w:r>
        <w:r>
          <w:rPr>
            <w:noProof/>
            <w:webHidden/>
          </w:rPr>
          <w:instrText xml:space="preserve"> PAGEREF _Toc207868017 \h </w:instrText>
        </w:r>
        <w:r>
          <w:rPr>
            <w:noProof/>
            <w:webHidden/>
          </w:rPr>
        </w:r>
        <w:r>
          <w:rPr>
            <w:noProof/>
            <w:webHidden/>
          </w:rPr>
          <w:fldChar w:fldCharType="separate"/>
        </w:r>
        <w:r w:rsidR="00FF5EAF">
          <w:rPr>
            <w:noProof/>
            <w:webHidden/>
          </w:rPr>
          <w:t>23</w:t>
        </w:r>
        <w:r>
          <w:rPr>
            <w:noProof/>
            <w:webHidden/>
          </w:rPr>
          <w:fldChar w:fldCharType="end"/>
        </w:r>
      </w:hyperlink>
    </w:p>
    <w:p w14:paraId="7A500BB4" w14:textId="0C7667FF" w:rsidR="00D96C1E" w:rsidRDefault="00445FE4">
      <w:pPr>
        <w:rPr>
          <w:noProof/>
        </w:rPr>
      </w:pPr>
      <w:r>
        <w:rPr>
          <w:noProof/>
          <w:color w:val="auto"/>
          <w:lang w:eastAsia="en-AU"/>
          <w14:scene3d>
            <w14:camera w14:prst="orthographicFront"/>
            <w14:lightRig w14:rig="threePt" w14:dir="t">
              <w14:rot w14:lat="0" w14:lon="0" w14:rev="0"/>
            </w14:lightRig>
          </w14:scene3d>
        </w:rPr>
        <w:fldChar w:fldCharType="end"/>
      </w:r>
    </w:p>
    <w:p w14:paraId="06775C22" w14:textId="30876C05" w:rsidR="00235E5E" w:rsidRDefault="00235E5E" w:rsidP="00DD69E1">
      <w:pPr>
        <w:pStyle w:val="Heading1"/>
        <w:ind w:left="431" w:hanging="431"/>
      </w:pPr>
      <w:bookmarkStart w:id="0" w:name="_Toc110586474"/>
      <w:bookmarkStart w:id="1" w:name="_Toc207867984"/>
      <w:bookmarkStart w:id="2" w:name="_Toc314821338"/>
      <w:bookmarkStart w:id="3" w:name="_Toc314822260"/>
      <w:bookmarkStart w:id="4" w:name="_Toc315765090"/>
      <w:r>
        <w:lastRenderedPageBreak/>
        <w:t>Before you start</w:t>
      </w:r>
      <w:bookmarkEnd w:id="0"/>
      <w:bookmarkEnd w:id="1"/>
    </w:p>
    <w:p w14:paraId="78DE8182" w14:textId="77777777" w:rsidR="007C436B" w:rsidRPr="003D6E70" w:rsidRDefault="007C436B" w:rsidP="00DD69E1">
      <w:pPr>
        <w:pStyle w:val="Heading2"/>
        <w:ind w:left="578" w:hanging="578"/>
        <w:rPr>
          <w:sz w:val="24"/>
          <w:szCs w:val="24"/>
        </w:rPr>
      </w:pPr>
      <w:bookmarkStart w:id="5" w:name="_Toc109758644"/>
      <w:bookmarkStart w:id="6" w:name="_Toc111823986"/>
      <w:bookmarkStart w:id="7" w:name="_Toc207867985"/>
      <w:bookmarkStart w:id="8" w:name="_Toc110586475"/>
      <w:r w:rsidRPr="003D6E70">
        <w:rPr>
          <w:sz w:val="24"/>
          <w:szCs w:val="24"/>
        </w:rPr>
        <w:t>Introduction</w:t>
      </w:r>
      <w:bookmarkEnd w:id="5"/>
      <w:bookmarkEnd w:id="6"/>
      <w:bookmarkEnd w:id="7"/>
    </w:p>
    <w:p w14:paraId="0B1B44CD" w14:textId="057A7F65" w:rsidR="007C436B" w:rsidRPr="00317EA6" w:rsidRDefault="007C436B" w:rsidP="007C436B">
      <w:pPr>
        <w:pStyle w:val="introparagraph"/>
        <w:jc w:val="both"/>
        <w:rPr>
          <w:rFonts w:cs="Arial"/>
          <w:color w:val="53565A"/>
          <w:sz w:val="18"/>
          <w:szCs w:val="18"/>
        </w:rPr>
      </w:pPr>
      <w:r w:rsidRPr="00317EA6">
        <w:rPr>
          <w:rFonts w:cs="Arial"/>
          <w:color w:val="53565A"/>
          <w:sz w:val="18"/>
          <w:szCs w:val="18"/>
        </w:rPr>
        <w:t>The Victorian Government is the largest procurer of goods, services and construction works in the state</w:t>
      </w:r>
      <w:r>
        <w:rPr>
          <w:rFonts w:cs="Arial"/>
          <w:color w:val="53565A"/>
          <w:sz w:val="18"/>
          <w:szCs w:val="18"/>
        </w:rPr>
        <w:t xml:space="preserve">. </w:t>
      </w:r>
      <w:r w:rsidR="00B84D53">
        <w:rPr>
          <w:rFonts w:cs="Arial"/>
          <w:color w:val="53565A"/>
          <w:sz w:val="18"/>
          <w:szCs w:val="18"/>
        </w:rPr>
        <w:t>Local Jobs First</w:t>
      </w:r>
      <w:r w:rsidR="002B5292">
        <w:rPr>
          <w:rFonts w:cs="Arial"/>
          <w:color w:val="53565A"/>
          <w:sz w:val="18"/>
          <w:szCs w:val="18"/>
        </w:rPr>
        <w:t xml:space="preserve"> </w:t>
      </w:r>
      <w:r w:rsidR="002241AD">
        <w:rPr>
          <w:rFonts w:cs="Arial"/>
          <w:color w:val="53565A"/>
          <w:sz w:val="18"/>
          <w:szCs w:val="18"/>
        </w:rPr>
        <w:t xml:space="preserve">(LJF) </w:t>
      </w:r>
      <w:r w:rsidRPr="00317EA6">
        <w:rPr>
          <w:rFonts w:cs="Arial"/>
          <w:color w:val="53565A"/>
          <w:sz w:val="18"/>
          <w:szCs w:val="18"/>
        </w:rPr>
        <w:t>leverages this purchasing power to help develop local industries, create jobs and boost economic activity across Victoria.</w:t>
      </w:r>
    </w:p>
    <w:p w14:paraId="302B2798" w14:textId="781621E0" w:rsidR="007C436B" w:rsidRDefault="00B84D53" w:rsidP="007C436B">
      <w:pPr>
        <w:pStyle w:val="introparagraph"/>
        <w:jc w:val="both"/>
        <w:rPr>
          <w:rFonts w:cs="Arial"/>
          <w:color w:val="53565A"/>
          <w:sz w:val="18"/>
          <w:szCs w:val="18"/>
        </w:rPr>
      </w:pPr>
      <w:r>
        <w:rPr>
          <w:rFonts w:cs="Arial"/>
          <w:color w:val="53565A"/>
          <w:sz w:val="18"/>
          <w:szCs w:val="18"/>
        </w:rPr>
        <w:t>L</w:t>
      </w:r>
      <w:r w:rsidR="00D6357E">
        <w:rPr>
          <w:rFonts w:cs="Arial"/>
          <w:color w:val="53565A"/>
          <w:sz w:val="18"/>
          <w:szCs w:val="18"/>
        </w:rPr>
        <w:t>JF</w:t>
      </w:r>
      <w:r w:rsidR="007C436B">
        <w:rPr>
          <w:rFonts w:ascii="Cambria" w:hAnsi="Cambria" w:cs="Cambria"/>
          <w:color w:val="53565A"/>
          <w:sz w:val="18"/>
          <w:szCs w:val="18"/>
        </w:rPr>
        <w:t xml:space="preserve"> </w:t>
      </w:r>
      <w:r w:rsidR="007C436B" w:rsidRPr="00317EA6">
        <w:rPr>
          <w:rFonts w:cs="Arial"/>
          <w:color w:val="53565A"/>
          <w:sz w:val="18"/>
          <w:szCs w:val="18"/>
        </w:rPr>
        <w:t xml:space="preserve">supports Victorian businesses and workers by ensuring that small and medium size enterprises </w:t>
      </w:r>
      <w:r w:rsidR="00E713B0">
        <w:rPr>
          <w:rFonts w:cs="Arial"/>
          <w:color w:val="53565A"/>
          <w:sz w:val="18"/>
          <w:szCs w:val="18"/>
        </w:rPr>
        <w:t xml:space="preserve">(SMEs) </w:t>
      </w:r>
      <w:r w:rsidR="007C436B" w:rsidRPr="00317EA6">
        <w:rPr>
          <w:rFonts w:cs="Arial"/>
          <w:color w:val="53565A"/>
          <w:sz w:val="18"/>
          <w:szCs w:val="18"/>
        </w:rPr>
        <w:t>are given a full and fair opportunity to compete for government contracts, helping to create job opportunities, including for</w:t>
      </w:r>
      <w:r w:rsidR="007C436B" w:rsidRPr="00317EA6">
        <w:rPr>
          <w:rFonts w:ascii="Cambria" w:hAnsi="Cambria" w:cs="Cambria" w:hint="eastAsia"/>
          <w:color w:val="53565A"/>
          <w:sz w:val="18"/>
          <w:szCs w:val="18"/>
        </w:rPr>
        <w:t> </w:t>
      </w:r>
      <w:r w:rsidR="007C436B" w:rsidRPr="00317EA6">
        <w:rPr>
          <w:rFonts w:cs="Arial"/>
          <w:color w:val="53565A"/>
          <w:sz w:val="18"/>
          <w:szCs w:val="18"/>
        </w:rPr>
        <w:t>apprentices,</w:t>
      </w:r>
      <w:r w:rsidR="007C436B" w:rsidRPr="00317EA6">
        <w:rPr>
          <w:rFonts w:ascii="Cambria" w:hAnsi="Cambria" w:cs="Cambria" w:hint="eastAsia"/>
          <w:color w:val="53565A"/>
          <w:sz w:val="18"/>
          <w:szCs w:val="18"/>
        </w:rPr>
        <w:t> </w:t>
      </w:r>
      <w:r w:rsidR="007C436B" w:rsidRPr="00317EA6">
        <w:rPr>
          <w:rFonts w:cs="Arial"/>
          <w:color w:val="53565A"/>
          <w:sz w:val="18"/>
          <w:szCs w:val="18"/>
        </w:rPr>
        <w:t>trainees</w:t>
      </w:r>
      <w:r w:rsidR="007C436B" w:rsidRPr="00317EA6">
        <w:rPr>
          <w:rFonts w:ascii="Cambria" w:hAnsi="Cambria" w:cs="Cambria" w:hint="eastAsia"/>
          <w:color w:val="53565A"/>
          <w:sz w:val="18"/>
          <w:szCs w:val="18"/>
        </w:rPr>
        <w:t> </w:t>
      </w:r>
      <w:r w:rsidR="007C436B" w:rsidRPr="00317EA6">
        <w:rPr>
          <w:rFonts w:cs="Arial"/>
          <w:color w:val="53565A"/>
          <w:sz w:val="18"/>
          <w:szCs w:val="18"/>
        </w:rPr>
        <w:t>and</w:t>
      </w:r>
      <w:r w:rsidR="007C436B" w:rsidRPr="00317EA6">
        <w:rPr>
          <w:rFonts w:ascii="Cambria" w:hAnsi="Cambria" w:cs="Cambria" w:hint="eastAsia"/>
          <w:color w:val="53565A"/>
          <w:sz w:val="18"/>
          <w:szCs w:val="18"/>
        </w:rPr>
        <w:t> </w:t>
      </w:r>
      <w:r w:rsidR="007C436B" w:rsidRPr="00317EA6">
        <w:rPr>
          <w:rFonts w:cs="Arial"/>
          <w:color w:val="53565A"/>
          <w:sz w:val="18"/>
          <w:szCs w:val="18"/>
        </w:rPr>
        <w:t>cadets</w:t>
      </w:r>
      <w:r w:rsidR="00457D11">
        <w:rPr>
          <w:rFonts w:cs="Arial"/>
          <w:color w:val="53565A"/>
          <w:sz w:val="18"/>
          <w:szCs w:val="18"/>
        </w:rPr>
        <w:t xml:space="preserve"> (ATCs)</w:t>
      </w:r>
      <w:r w:rsidR="007C436B" w:rsidRPr="00317EA6">
        <w:rPr>
          <w:rFonts w:cs="Arial"/>
          <w:color w:val="53565A"/>
          <w:sz w:val="18"/>
          <w:szCs w:val="18"/>
        </w:rPr>
        <w:t>.</w:t>
      </w:r>
    </w:p>
    <w:p w14:paraId="306DA265" w14:textId="47EDA88A" w:rsidR="00AC4C8E" w:rsidRPr="0067464C" w:rsidRDefault="00D6357E" w:rsidP="00AC4C8E">
      <w:pPr>
        <w:pStyle w:val="introparagraph"/>
        <w:jc w:val="both"/>
        <w:rPr>
          <w:rFonts w:cs="Arial"/>
          <w:color w:val="53565A"/>
          <w:sz w:val="18"/>
          <w:szCs w:val="18"/>
        </w:rPr>
      </w:pPr>
      <w:r>
        <w:rPr>
          <w:rFonts w:cs="Arial"/>
          <w:color w:val="53565A"/>
          <w:sz w:val="18"/>
          <w:szCs w:val="18"/>
        </w:rPr>
        <w:t>LJF</w:t>
      </w:r>
      <w:r w:rsidR="00AC4C8E" w:rsidRPr="0067464C">
        <w:rPr>
          <w:rFonts w:cs="Arial"/>
          <w:color w:val="53565A"/>
          <w:sz w:val="18"/>
          <w:szCs w:val="18"/>
        </w:rPr>
        <w:t xml:space="preserve"> is the scheme established </w:t>
      </w:r>
      <w:r w:rsidR="008F6750">
        <w:rPr>
          <w:rFonts w:cs="Arial"/>
          <w:color w:val="53565A"/>
          <w:sz w:val="18"/>
          <w:szCs w:val="18"/>
        </w:rPr>
        <w:t>under</w:t>
      </w:r>
      <w:r w:rsidR="00AC4C8E" w:rsidRPr="0067464C">
        <w:rPr>
          <w:rFonts w:cs="Arial"/>
          <w:color w:val="53565A"/>
          <w:sz w:val="18"/>
          <w:szCs w:val="18"/>
        </w:rPr>
        <w:t xml:space="preserve"> the </w:t>
      </w:r>
      <w:r w:rsidR="00AC4C8E">
        <w:rPr>
          <w:rFonts w:cs="Arial"/>
          <w:i/>
          <w:iCs/>
          <w:color w:val="53565A"/>
          <w:sz w:val="18"/>
          <w:szCs w:val="18"/>
        </w:rPr>
        <w:t xml:space="preserve">Local Jobs First Act 2003 </w:t>
      </w:r>
      <w:r w:rsidR="00AC4C8E">
        <w:rPr>
          <w:rFonts w:cs="Arial"/>
          <w:color w:val="53565A"/>
          <w:sz w:val="18"/>
          <w:szCs w:val="18"/>
        </w:rPr>
        <w:t xml:space="preserve">(the </w:t>
      </w:r>
      <w:r w:rsidR="00AC4C8E" w:rsidRPr="0067464C">
        <w:rPr>
          <w:rFonts w:cs="Arial"/>
          <w:color w:val="53565A"/>
          <w:sz w:val="18"/>
          <w:szCs w:val="18"/>
        </w:rPr>
        <w:t>Act</w:t>
      </w:r>
      <w:r w:rsidR="00AC4C8E">
        <w:rPr>
          <w:rFonts w:cs="Arial"/>
          <w:color w:val="53565A"/>
          <w:sz w:val="18"/>
          <w:szCs w:val="18"/>
        </w:rPr>
        <w:t>)</w:t>
      </w:r>
      <w:r w:rsidR="00FD624A">
        <w:rPr>
          <w:rFonts w:cs="Arial"/>
          <w:color w:val="53565A"/>
          <w:sz w:val="18"/>
          <w:szCs w:val="18"/>
        </w:rPr>
        <w:t>. The scheme</w:t>
      </w:r>
      <w:r w:rsidR="008F6750">
        <w:rPr>
          <w:rFonts w:cs="Arial"/>
          <w:color w:val="53565A"/>
          <w:sz w:val="18"/>
          <w:szCs w:val="18"/>
        </w:rPr>
        <w:t xml:space="preserve"> </w:t>
      </w:r>
      <w:r w:rsidR="00FD624A">
        <w:rPr>
          <w:rFonts w:cs="Arial"/>
          <w:color w:val="53565A"/>
          <w:sz w:val="18"/>
          <w:szCs w:val="18"/>
        </w:rPr>
        <w:t xml:space="preserve">is </w:t>
      </w:r>
      <w:r w:rsidR="008F6750">
        <w:rPr>
          <w:rFonts w:cs="Arial"/>
          <w:color w:val="53565A"/>
          <w:sz w:val="18"/>
          <w:szCs w:val="18"/>
        </w:rPr>
        <w:t xml:space="preserve">set out in the </w:t>
      </w:r>
      <w:proofErr w:type="gramStart"/>
      <w:r w:rsidR="008F6750">
        <w:rPr>
          <w:rFonts w:cs="Arial"/>
          <w:color w:val="53565A"/>
          <w:sz w:val="18"/>
          <w:szCs w:val="18"/>
        </w:rPr>
        <w:t>Act</w:t>
      </w:r>
      <w:r w:rsidR="00AC4C8E" w:rsidRPr="0067464C">
        <w:rPr>
          <w:rFonts w:cs="Arial"/>
          <w:color w:val="53565A"/>
          <w:sz w:val="18"/>
          <w:szCs w:val="18"/>
        </w:rPr>
        <w:t>,</w:t>
      </w:r>
      <w:proofErr w:type="gramEnd"/>
      <w:r w:rsidR="00AC4C8E" w:rsidRPr="0067464C">
        <w:rPr>
          <w:rFonts w:cs="Arial"/>
          <w:color w:val="53565A"/>
          <w:sz w:val="18"/>
          <w:szCs w:val="18"/>
        </w:rPr>
        <w:t xml:space="preserve"> the Local Jobs First Policy and any regulations made under the Act. For the purposes of the Act, the Local Jobs First Policy includes the</w:t>
      </w:r>
      <w:r w:rsidR="003D6469">
        <w:rPr>
          <w:rFonts w:cs="Arial"/>
          <w:color w:val="53565A"/>
          <w:sz w:val="18"/>
          <w:szCs w:val="18"/>
        </w:rPr>
        <w:t xml:space="preserve"> Local Jobs First Policy document, the</w:t>
      </w:r>
      <w:r w:rsidR="00AC4C8E" w:rsidRPr="0067464C">
        <w:rPr>
          <w:rFonts w:cs="Arial"/>
          <w:color w:val="53565A"/>
          <w:sz w:val="18"/>
          <w:szCs w:val="18"/>
        </w:rPr>
        <w:t xml:space="preserve"> Local Jobs First Agency Guidelines and</w:t>
      </w:r>
      <w:r w:rsidR="00820092">
        <w:rPr>
          <w:rFonts w:cs="Arial"/>
          <w:color w:val="53565A"/>
          <w:sz w:val="18"/>
          <w:szCs w:val="18"/>
        </w:rPr>
        <w:t xml:space="preserve"> the Local Jobs First</w:t>
      </w:r>
      <w:r w:rsidR="00AC4C8E" w:rsidRPr="0067464C">
        <w:rPr>
          <w:rFonts w:cs="Arial"/>
          <w:color w:val="53565A"/>
          <w:sz w:val="18"/>
          <w:szCs w:val="18"/>
        </w:rPr>
        <w:t xml:space="preserve"> Supplier Guidelines.</w:t>
      </w:r>
    </w:p>
    <w:p w14:paraId="029AB1C3" w14:textId="5D1A960B" w:rsidR="007C436B" w:rsidRDefault="007C436B" w:rsidP="007C436B">
      <w:pPr>
        <w:pStyle w:val="introparagraph"/>
        <w:jc w:val="both"/>
        <w:rPr>
          <w:rFonts w:cs="Arial"/>
          <w:color w:val="53565A"/>
          <w:sz w:val="18"/>
          <w:szCs w:val="18"/>
        </w:rPr>
      </w:pPr>
      <w:r>
        <w:rPr>
          <w:rFonts w:cs="Arial"/>
          <w:color w:val="53565A"/>
          <w:sz w:val="18"/>
          <w:szCs w:val="18"/>
        </w:rPr>
        <w:t xml:space="preserve">For more information about </w:t>
      </w:r>
      <w:r w:rsidR="00AC4C8E">
        <w:rPr>
          <w:rFonts w:cs="Arial"/>
          <w:color w:val="53565A"/>
          <w:sz w:val="18"/>
          <w:szCs w:val="18"/>
        </w:rPr>
        <w:t>L</w:t>
      </w:r>
      <w:r w:rsidR="00DC181F">
        <w:rPr>
          <w:rFonts w:cs="Arial"/>
          <w:color w:val="53565A"/>
          <w:sz w:val="18"/>
          <w:szCs w:val="18"/>
        </w:rPr>
        <w:t>JF</w:t>
      </w:r>
      <w:r w:rsidR="00AC4C8E">
        <w:rPr>
          <w:rFonts w:cs="Arial"/>
          <w:color w:val="53565A"/>
          <w:sz w:val="18"/>
          <w:szCs w:val="18"/>
        </w:rPr>
        <w:t xml:space="preserve"> and the scheme’s</w:t>
      </w:r>
      <w:r>
        <w:rPr>
          <w:rFonts w:cs="Arial"/>
          <w:color w:val="53565A"/>
          <w:sz w:val="18"/>
          <w:szCs w:val="18"/>
        </w:rPr>
        <w:t xml:space="preserve"> objectives </w:t>
      </w:r>
      <w:r w:rsidR="00073517">
        <w:rPr>
          <w:rFonts w:cs="Arial"/>
          <w:color w:val="53565A"/>
          <w:sz w:val="18"/>
          <w:szCs w:val="18"/>
        </w:rPr>
        <w:t xml:space="preserve">see the Local Jobs First Policy </w:t>
      </w:r>
      <w:r w:rsidR="000F0374">
        <w:rPr>
          <w:rFonts w:cs="Arial"/>
          <w:color w:val="53565A"/>
          <w:sz w:val="18"/>
          <w:szCs w:val="18"/>
        </w:rPr>
        <w:t xml:space="preserve">document </w:t>
      </w:r>
      <w:r w:rsidR="00073517">
        <w:rPr>
          <w:rFonts w:cs="Arial"/>
          <w:color w:val="53565A"/>
          <w:sz w:val="18"/>
          <w:szCs w:val="18"/>
        </w:rPr>
        <w:t xml:space="preserve">and </w:t>
      </w:r>
      <w:r>
        <w:rPr>
          <w:rFonts w:cs="Arial"/>
          <w:color w:val="53565A"/>
          <w:sz w:val="18"/>
          <w:szCs w:val="18"/>
        </w:rPr>
        <w:t xml:space="preserve">visit </w:t>
      </w:r>
      <w:hyperlink r:id="rId18" w:history="1">
        <w:r w:rsidRPr="008C29C0">
          <w:rPr>
            <w:rStyle w:val="Hyperlink"/>
            <w:rFonts w:cs="Arial"/>
            <w:sz w:val="18"/>
            <w:szCs w:val="18"/>
          </w:rPr>
          <w:t>www.localjobsfirst.vic.gov.au</w:t>
        </w:r>
      </w:hyperlink>
      <w:r>
        <w:rPr>
          <w:rFonts w:cs="Arial"/>
          <w:color w:val="53565A"/>
          <w:sz w:val="18"/>
          <w:szCs w:val="18"/>
        </w:rPr>
        <w:t>.</w:t>
      </w:r>
    </w:p>
    <w:p w14:paraId="3AAB5297" w14:textId="0E8262FD" w:rsidR="005C4123" w:rsidRPr="00042ADB" w:rsidRDefault="005C4123" w:rsidP="00DD69E1">
      <w:pPr>
        <w:pStyle w:val="Heading2"/>
        <w:ind w:left="578" w:hanging="578"/>
        <w:rPr>
          <w:sz w:val="24"/>
          <w:szCs w:val="24"/>
        </w:rPr>
      </w:pPr>
      <w:bookmarkStart w:id="9" w:name="_Toc207867986"/>
      <w:r w:rsidRPr="00042ADB">
        <w:rPr>
          <w:sz w:val="24"/>
          <w:szCs w:val="24"/>
        </w:rPr>
        <w:t>Overview</w:t>
      </w:r>
      <w:bookmarkEnd w:id="2"/>
      <w:bookmarkEnd w:id="3"/>
      <w:bookmarkEnd w:id="4"/>
      <w:bookmarkEnd w:id="8"/>
      <w:bookmarkEnd w:id="9"/>
    </w:p>
    <w:p w14:paraId="02C5859B" w14:textId="07F81082" w:rsidR="00441FAB" w:rsidRPr="00042ADB" w:rsidRDefault="007B2C0F" w:rsidP="00042ADB">
      <w:pPr>
        <w:spacing w:before="0" w:after="120"/>
        <w:jc w:val="both"/>
        <w:rPr>
          <w:rFonts w:cstheme="minorBidi"/>
        </w:rPr>
      </w:pPr>
      <w:r w:rsidRPr="7F7BEB72">
        <w:rPr>
          <w:rFonts w:cstheme="minorBidi"/>
        </w:rPr>
        <w:t xml:space="preserve">The </w:t>
      </w:r>
      <w:r w:rsidRPr="00DD69E1">
        <w:rPr>
          <w:rFonts w:cstheme="minorBidi"/>
          <w:iCs/>
        </w:rPr>
        <w:t>Local Jobs First Supplier Guidelines</w:t>
      </w:r>
      <w:r w:rsidRPr="006A16F9">
        <w:rPr>
          <w:rFonts w:cstheme="minorBidi"/>
          <w:iCs/>
        </w:rPr>
        <w:t xml:space="preserve"> </w:t>
      </w:r>
      <w:r w:rsidR="006A16F9" w:rsidRPr="006A16F9">
        <w:rPr>
          <w:rFonts w:cstheme="minorBidi"/>
          <w:iCs/>
        </w:rPr>
        <w:t>(</w:t>
      </w:r>
      <w:r w:rsidR="006A16F9">
        <w:rPr>
          <w:rFonts w:cstheme="minorBidi"/>
        </w:rPr>
        <w:t xml:space="preserve">Guidelines) </w:t>
      </w:r>
      <w:r w:rsidR="008A51EA" w:rsidRPr="7F7BEB72">
        <w:rPr>
          <w:rFonts w:cstheme="minorBidi"/>
        </w:rPr>
        <w:t xml:space="preserve">are </w:t>
      </w:r>
      <w:r w:rsidR="00006CF7" w:rsidRPr="7F7BEB72">
        <w:rPr>
          <w:rFonts w:cstheme="minorBidi"/>
        </w:rPr>
        <w:t xml:space="preserve">prepared by the </w:t>
      </w:r>
      <w:r w:rsidR="00345084">
        <w:rPr>
          <w:rFonts w:cstheme="minorBidi"/>
        </w:rPr>
        <w:t>M</w:t>
      </w:r>
      <w:r w:rsidR="00006CF7" w:rsidRPr="7F7BEB72">
        <w:rPr>
          <w:rFonts w:cstheme="minorBidi"/>
        </w:rPr>
        <w:t>inister</w:t>
      </w:r>
      <w:r w:rsidR="00DD7C87">
        <w:rPr>
          <w:rFonts w:cstheme="minorBidi"/>
        </w:rPr>
        <w:t xml:space="preserve"> </w:t>
      </w:r>
      <w:r w:rsidR="00090C19">
        <w:rPr>
          <w:rFonts w:cstheme="minorBidi"/>
        </w:rPr>
        <w:t xml:space="preserve">responsible for LJF </w:t>
      </w:r>
      <w:r w:rsidR="00DD7C87">
        <w:rPr>
          <w:rFonts w:cstheme="minorBidi"/>
        </w:rPr>
        <w:t>in accordance with s</w:t>
      </w:r>
      <w:r w:rsidR="002207E4">
        <w:rPr>
          <w:rFonts w:cstheme="minorBidi"/>
        </w:rPr>
        <w:t>ection</w:t>
      </w:r>
      <w:r w:rsidR="00DD7C87">
        <w:rPr>
          <w:rFonts w:cstheme="minorBidi"/>
        </w:rPr>
        <w:t xml:space="preserve"> 4(3) of the Act</w:t>
      </w:r>
      <w:r w:rsidR="008A51EA" w:rsidRPr="7F7BEB72">
        <w:rPr>
          <w:rFonts w:cstheme="minorBidi"/>
        </w:rPr>
        <w:t xml:space="preserve"> </w:t>
      </w:r>
      <w:r w:rsidR="002278A5" w:rsidRPr="7F7BEB72">
        <w:rPr>
          <w:rFonts w:cstheme="minorBidi"/>
        </w:rPr>
        <w:t xml:space="preserve">and provide detailed instructions that suppliers must follow to ensure compliance with </w:t>
      </w:r>
      <w:r w:rsidR="00006CF7" w:rsidRPr="7F7BEB72">
        <w:rPr>
          <w:rFonts w:cstheme="minorBidi"/>
        </w:rPr>
        <w:t>LJF</w:t>
      </w:r>
      <w:r w:rsidR="00550F9E" w:rsidRPr="7F7BEB72">
        <w:rPr>
          <w:rFonts w:cstheme="minorBidi"/>
        </w:rPr>
        <w:t>.</w:t>
      </w:r>
      <w:r w:rsidR="00441FAB" w:rsidRPr="7F7BEB72">
        <w:rPr>
          <w:rFonts w:cstheme="minorBidi"/>
        </w:rPr>
        <w:t xml:space="preserve"> </w:t>
      </w:r>
      <w:r w:rsidR="002715B1" w:rsidRPr="7F7BEB72">
        <w:rPr>
          <w:rFonts w:cstheme="minorBidi"/>
        </w:rPr>
        <w:t xml:space="preserve">Suppliers </w:t>
      </w:r>
      <w:r w:rsidR="00FC1AD4">
        <w:rPr>
          <w:rFonts w:cstheme="minorBidi"/>
        </w:rPr>
        <w:t>for</w:t>
      </w:r>
      <w:r w:rsidR="002715B1" w:rsidRPr="7F7BEB72">
        <w:rPr>
          <w:rFonts w:cstheme="minorBidi"/>
        </w:rPr>
        <w:t xml:space="preserve"> government projects where </w:t>
      </w:r>
      <w:r w:rsidR="00834F59" w:rsidRPr="7F7BEB72">
        <w:rPr>
          <w:rFonts w:cstheme="minorBidi"/>
        </w:rPr>
        <w:t>LJF</w:t>
      </w:r>
      <w:r w:rsidR="002715B1" w:rsidRPr="7F7BEB72">
        <w:rPr>
          <w:rFonts w:cstheme="minorBidi"/>
        </w:rPr>
        <w:t xml:space="preserve"> applies </w:t>
      </w:r>
      <w:r w:rsidR="002715B1" w:rsidRPr="00550E9F">
        <w:rPr>
          <w:rFonts w:cstheme="minorBidi"/>
          <w:b/>
        </w:rPr>
        <w:t>must</w:t>
      </w:r>
      <w:r w:rsidR="002715B1" w:rsidRPr="7F7BEB72">
        <w:rPr>
          <w:rFonts w:cstheme="minorBidi"/>
        </w:rPr>
        <w:t xml:space="preserve"> follow these </w:t>
      </w:r>
      <w:r w:rsidR="00AF40C5">
        <w:rPr>
          <w:rFonts w:cstheme="minorBidi"/>
        </w:rPr>
        <w:t>G</w:t>
      </w:r>
      <w:r w:rsidR="00AF40C5" w:rsidRPr="7F7BEB72">
        <w:rPr>
          <w:rFonts w:cstheme="minorBidi"/>
        </w:rPr>
        <w:t>uidelines</w:t>
      </w:r>
      <w:r w:rsidR="002715B1" w:rsidRPr="7F7BEB72">
        <w:rPr>
          <w:rFonts w:cstheme="minorBidi"/>
        </w:rPr>
        <w:t>.</w:t>
      </w:r>
      <w:r w:rsidR="00441FAB" w:rsidRPr="7F7BEB72">
        <w:rPr>
          <w:rFonts w:cstheme="minorBidi"/>
        </w:rPr>
        <w:t xml:space="preserve"> </w:t>
      </w:r>
      <w:r w:rsidR="00B727C2" w:rsidRPr="7F7BEB72">
        <w:rPr>
          <w:rFonts w:cstheme="minorBidi"/>
          <w:b/>
        </w:rPr>
        <w:t xml:space="preserve">These </w:t>
      </w:r>
      <w:r w:rsidR="00C27647" w:rsidRPr="7F7BEB72">
        <w:rPr>
          <w:rFonts w:cstheme="minorBidi"/>
          <w:b/>
        </w:rPr>
        <w:t>G</w:t>
      </w:r>
      <w:r w:rsidR="00B727C2" w:rsidRPr="7F7BEB72">
        <w:rPr>
          <w:rFonts w:cstheme="minorBidi"/>
          <w:b/>
        </w:rPr>
        <w:t>uidelines should be read in conjunction with the</w:t>
      </w:r>
      <w:r w:rsidR="003A088B" w:rsidRPr="7F7BEB72">
        <w:rPr>
          <w:rFonts w:cstheme="minorBidi"/>
          <w:b/>
        </w:rPr>
        <w:t xml:space="preserve"> Act</w:t>
      </w:r>
      <w:r w:rsidR="002A24AC" w:rsidRPr="7F7BEB72">
        <w:rPr>
          <w:rFonts w:cstheme="minorBidi"/>
          <w:b/>
        </w:rPr>
        <w:t>,</w:t>
      </w:r>
      <w:r w:rsidR="003A088B" w:rsidRPr="7F7BEB72">
        <w:rPr>
          <w:rFonts w:cstheme="minorBidi"/>
          <w:b/>
        </w:rPr>
        <w:t xml:space="preserve"> the Local Jobs First P</w:t>
      </w:r>
      <w:r w:rsidR="00B727C2" w:rsidRPr="7F7BEB72">
        <w:rPr>
          <w:rFonts w:cstheme="minorBidi"/>
          <w:b/>
        </w:rPr>
        <w:t>olicy</w:t>
      </w:r>
      <w:r w:rsidR="007E2955" w:rsidRPr="7F7BEB72">
        <w:rPr>
          <w:rFonts w:cstheme="minorBidi"/>
          <w:b/>
        </w:rPr>
        <w:t xml:space="preserve"> </w:t>
      </w:r>
      <w:r w:rsidR="003D6469">
        <w:rPr>
          <w:rFonts w:cstheme="minorBidi"/>
          <w:b/>
        </w:rPr>
        <w:t xml:space="preserve">document </w:t>
      </w:r>
      <w:r w:rsidR="00913A66" w:rsidRPr="7F7BEB72">
        <w:rPr>
          <w:rFonts w:cstheme="minorBidi"/>
          <w:b/>
        </w:rPr>
        <w:t>and the Local Jobs First Agency Guidelines</w:t>
      </w:r>
      <w:r w:rsidR="007E2955" w:rsidRPr="7F7BEB72">
        <w:rPr>
          <w:rFonts w:cstheme="minorBidi"/>
          <w:b/>
          <w:bCs/>
          <w:i/>
          <w:iCs/>
        </w:rPr>
        <w:t xml:space="preserve"> </w:t>
      </w:r>
      <w:r w:rsidR="007E2955" w:rsidRPr="7F7BEB72">
        <w:rPr>
          <w:rFonts w:cstheme="minorBidi"/>
          <w:b/>
        </w:rPr>
        <w:t>available at</w:t>
      </w:r>
      <w:r w:rsidR="00EE6147" w:rsidRPr="7F7BEB72">
        <w:rPr>
          <w:rFonts w:cstheme="minorBidi"/>
        </w:rPr>
        <w:t xml:space="preserve"> </w:t>
      </w:r>
      <w:hyperlink r:id="rId19">
        <w:r w:rsidR="007E2955" w:rsidRPr="7F7BEB72">
          <w:rPr>
            <w:rStyle w:val="Hyperlink"/>
          </w:rPr>
          <w:t>www.localjobsfirst.vic.gov.au</w:t>
        </w:r>
      </w:hyperlink>
      <w:r w:rsidR="0003283A" w:rsidRPr="7F7BEB72">
        <w:rPr>
          <w:rFonts w:cstheme="minorBidi"/>
        </w:rPr>
        <w:t>.</w:t>
      </w:r>
    </w:p>
    <w:p w14:paraId="5F65F7AE" w14:textId="3B1C3A9C" w:rsidR="007A5D1A" w:rsidRDefault="007A5D1A" w:rsidP="00042ADB">
      <w:pPr>
        <w:spacing w:before="0" w:after="120"/>
        <w:jc w:val="both"/>
        <w:rPr>
          <w:rFonts w:cstheme="minorHAnsi"/>
          <w:szCs w:val="18"/>
        </w:rPr>
      </w:pPr>
      <w:r>
        <w:rPr>
          <w:rFonts w:cstheme="minorHAnsi"/>
          <w:szCs w:val="18"/>
        </w:rPr>
        <w:t>LJF</w:t>
      </w:r>
      <w:r w:rsidR="008B6408">
        <w:rPr>
          <w:rFonts w:cstheme="minorHAnsi"/>
          <w:szCs w:val="18"/>
        </w:rPr>
        <w:t xml:space="preserve"> (which incorporates</w:t>
      </w:r>
      <w:r w:rsidR="00B00AF9">
        <w:rPr>
          <w:rFonts w:cstheme="minorHAnsi"/>
          <w:szCs w:val="18"/>
        </w:rPr>
        <w:t xml:space="preserve"> th</w:t>
      </w:r>
      <w:r w:rsidR="007D0160">
        <w:rPr>
          <w:rFonts w:cstheme="minorHAnsi"/>
          <w:szCs w:val="18"/>
        </w:rPr>
        <w:t>ese Guidelines</w:t>
      </w:r>
      <w:r w:rsidR="008B6408">
        <w:rPr>
          <w:rFonts w:cstheme="minorHAnsi"/>
          <w:szCs w:val="18"/>
        </w:rPr>
        <w:t>)</w:t>
      </w:r>
      <w:r w:rsidR="00E34490">
        <w:rPr>
          <w:rFonts w:cstheme="minorHAnsi"/>
          <w:szCs w:val="18"/>
        </w:rPr>
        <w:t xml:space="preserve"> </w:t>
      </w:r>
      <w:r w:rsidR="00B41B87" w:rsidRPr="00042ADB">
        <w:rPr>
          <w:rFonts w:cstheme="minorHAnsi"/>
          <w:szCs w:val="18"/>
        </w:rPr>
        <w:t>appl</w:t>
      </w:r>
      <w:r w:rsidR="004033C4" w:rsidRPr="00042ADB">
        <w:rPr>
          <w:rFonts w:cstheme="minorHAnsi"/>
          <w:szCs w:val="18"/>
        </w:rPr>
        <w:t>ies</w:t>
      </w:r>
      <w:r w:rsidR="00B41B87" w:rsidRPr="00042ADB">
        <w:rPr>
          <w:rFonts w:cstheme="minorHAnsi"/>
          <w:szCs w:val="18"/>
        </w:rPr>
        <w:t xml:space="preserve"> </w:t>
      </w:r>
      <w:r w:rsidR="008A51EA" w:rsidRPr="00042ADB">
        <w:rPr>
          <w:rFonts w:cstheme="minorHAnsi"/>
          <w:szCs w:val="18"/>
        </w:rPr>
        <w:t xml:space="preserve">to all </w:t>
      </w:r>
      <w:r w:rsidR="00CC750D" w:rsidRPr="00042ADB">
        <w:rPr>
          <w:rFonts w:cstheme="minorHAnsi"/>
          <w:szCs w:val="18"/>
        </w:rPr>
        <w:t>projects funded by the Victorian Government that meet the thresholds</w:t>
      </w:r>
      <w:r w:rsidR="00191D95" w:rsidRPr="00042ADB">
        <w:rPr>
          <w:rFonts w:cstheme="minorHAnsi"/>
          <w:szCs w:val="18"/>
        </w:rPr>
        <w:t xml:space="preserve"> of a total project value of $1 million or more </w:t>
      </w:r>
      <w:r w:rsidR="002956EE" w:rsidRPr="00042ADB">
        <w:rPr>
          <w:rFonts w:cstheme="minorHAnsi"/>
          <w:szCs w:val="18"/>
        </w:rPr>
        <w:t>in regional Victoria, or $3 million</w:t>
      </w:r>
      <w:r w:rsidR="00B94FD9">
        <w:rPr>
          <w:rFonts w:cstheme="minorHAnsi"/>
          <w:szCs w:val="18"/>
        </w:rPr>
        <w:t xml:space="preserve"> or more</w:t>
      </w:r>
      <w:r w:rsidR="002956EE" w:rsidRPr="00042ADB">
        <w:rPr>
          <w:rFonts w:cstheme="minorHAnsi"/>
          <w:szCs w:val="18"/>
        </w:rPr>
        <w:t xml:space="preserve"> in </w:t>
      </w:r>
      <w:r w:rsidR="006F20F3" w:rsidRPr="00042ADB">
        <w:rPr>
          <w:rFonts w:cstheme="minorHAnsi"/>
          <w:szCs w:val="18"/>
        </w:rPr>
        <w:t>metropolitan</w:t>
      </w:r>
      <w:r w:rsidR="002956EE" w:rsidRPr="00042ADB">
        <w:rPr>
          <w:rFonts w:cstheme="minorHAnsi"/>
          <w:szCs w:val="18"/>
        </w:rPr>
        <w:t xml:space="preserve"> Melbourne or state-wide projects.</w:t>
      </w:r>
    </w:p>
    <w:p w14:paraId="03270429" w14:textId="75EF5210" w:rsidR="00A00DAA" w:rsidRPr="00042ADB" w:rsidRDefault="00B11292" w:rsidP="00042ADB">
      <w:pPr>
        <w:spacing w:before="0" w:after="120"/>
        <w:jc w:val="both"/>
        <w:rPr>
          <w:rFonts w:cstheme="minorHAnsi"/>
          <w:szCs w:val="18"/>
        </w:rPr>
      </w:pPr>
      <w:r>
        <w:rPr>
          <w:rFonts w:cs="Arial"/>
          <w:szCs w:val="18"/>
          <w:lang w:val="en-US"/>
        </w:rPr>
        <w:t xml:space="preserve">A Standard </w:t>
      </w:r>
      <w:r w:rsidRPr="0011086F">
        <w:rPr>
          <w:rFonts w:cs="Arial"/>
          <w:szCs w:val="18"/>
          <w:lang w:val="en-US"/>
        </w:rPr>
        <w:t xml:space="preserve">Project </w:t>
      </w:r>
      <w:r w:rsidRPr="00042ADB">
        <w:rPr>
          <w:rFonts w:cs="Arial"/>
          <w:szCs w:val="18"/>
          <w:lang w:val="en-US"/>
        </w:rPr>
        <w:t xml:space="preserve">is a project that meets </w:t>
      </w:r>
      <w:proofErr w:type="gramStart"/>
      <w:r w:rsidRPr="00042ADB">
        <w:rPr>
          <w:rFonts w:cs="Arial"/>
          <w:szCs w:val="18"/>
          <w:lang w:val="en-US"/>
        </w:rPr>
        <w:t>the</w:t>
      </w:r>
      <w:r w:rsidR="00905F47">
        <w:rPr>
          <w:rFonts w:cs="Arial"/>
          <w:szCs w:val="18"/>
          <w:lang w:val="en-US"/>
        </w:rPr>
        <w:t xml:space="preserve"> </w:t>
      </w:r>
      <w:r w:rsidRPr="00042ADB">
        <w:rPr>
          <w:rFonts w:cs="Arial"/>
          <w:szCs w:val="18"/>
          <w:lang w:val="en-US"/>
        </w:rPr>
        <w:t>threshold</w:t>
      </w:r>
      <w:r w:rsidR="00C93D45" w:rsidRPr="0011086F">
        <w:rPr>
          <w:rFonts w:cs="Arial"/>
          <w:szCs w:val="18"/>
          <w:lang w:val="en-US"/>
        </w:rPr>
        <w:t>s</w:t>
      </w:r>
      <w:proofErr w:type="gramEnd"/>
      <w:r w:rsidR="001F79C1">
        <w:rPr>
          <w:rFonts w:cs="Arial"/>
          <w:szCs w:val="18"/>
          <w:lang w:val="en-US"/>
        </w:rPr>
        <w:t xml:space="preserve"> but is under $50 million </w:t>
      </w:r>
      <w:r w:rsidR="001F79C1" w:rsidRPr="004C0BC9">
        <w:rPr>
          <w:rFonts w:cstheme="minorHAnsi"/>
          <w:szCs w:val="18"/>
        </w:rPr>
        <w:t>or is otherwise declared to be a St</w:t>
      </w:r>
      <w:r w:rsidR="001F79C1">
        <w:rPr>
          <w:rFonts w:cstheme="minorHAnsi"/>
          <w:szCs w:val="18"/>
        </w:rPr>
        <w:t>andard</w:t>
      </w:r>
      <w:r w:rsidR="001F79C1" w:rsidRPr="004C0BC9">
        <w:rPr>
          <w:rFonts w:cstheme="minorHAnsi"/>
          <w:szCs w:val="18"/>
        </w:rPr>
        <w:t xml:space="preserve"> Project by the </w:t>
      </w:r>
      <w:r w:rsidR="00345084">
        <w:rPr>
          <w:rFonts w:cstheme="minorHAnsi"/>
          <w:szCs w:val="18"/>
        </w:rPr>
        <w:t>M</w:t>
      </w:r>
      <w:r w:rsidR="00D30695">
        <w:rPr>
          <w:rFonts w:cstheme="minorHAnsi"/>
          <w:szCs w:val="18"/>
        </w:rPr>
        <w:t>inister responsible for LJF</w:t>
      </w:r>
      <w:r w:rsidR="001F79C1">
        <w:rPr>
          <w:rFonts w:cstheme="minorHAnsi"/>
          <w:szCs w:val="18"/>
        </w:rPr>
        <w:t>.</w:t>
      </w:r>
      <w:r w:rsidR="00C93D45">
        <w:rPr>
          <w:rFonts w:cs="Arial"/>
          <w:szCs w:val="18"/>
          <w:lang w:val="en-US"/>
        </w:rPr>
        <w:t xml:space="preserve"> </w:t>
      </w:r>
      <w:r w:rsidR="00A00DAA" w:rsidRPr="00042ADB">
        <w:rPr>
          <w:rFonts w:cstheme="minorHAnsi"/>
          <w:szCs w:val="18"/>
        </w:rPr>
        <w:t xml:space="preserve">A Strategic Project is a project that has a total project value of $50 million or over or is otherwise declared to be a Strategic Project by the </w:t>
      </w:r>
      <w:r w:rsidR="00345084">
        <w:rPr>
          <w:rFonts w:cstheme="minorHAnsi"/>
          <w:szCs w:val="18"/>
        </w:rPr>
        <w:t>M</w:t>
      </w:r>
      <w:r w:rsidR="00D30695">
        <w:rPr>
          <w:rFonts w:cstheme="minorHAnsi"/>
          <w:szCs w:val="18"/>
        </w:rPr>
        <w:t>inister responsible for LJF</w:t>
      </w:r>
      <w:r w:rsidR="00A00DAA" w:rsidRPr="00042ADB">
        <w:rPr>
          <w:rFonts w:cstheme="minorHAnsi"/>
          <w:szCs w:val="18"/>
        </w:rPr>
        <w:t>.</w:t>
      </w:r>
      <w:r w:rsidR="0011086F">
        <w:rPr>
          <w:rFonts w:cstheme="minorHAnsi"/>
          <w:szCs w:val="18"/>
        </w:rPr>
        <w:t xml:space="preserve"> </w:t>
      </w:r>
      <w:r w:rsidR="0011086F" w:rsidRPr="004C0BC9">
        <w:rPr>
          <w:rFonts w:cstheme="minorHAnsi"/>
          <w:szCs w:val="18"/>
        </w:rPr>
        <w:t>The Major Projects Skills Guarantee (MPSG) applies to all construction projects valued at $20 million or more.</w:t>
      </w:r>
    </w:p>
    <w:p w14:paraId="3D6214A6" w14:textId="1089E393" w:rsidR="00C57FB2" w:rsidRPr="00C57FB2" w:rsidRDefault="00834F59" w:rsidP="00C57FB2">
      <w:pPr>
        <w:spacing w:before="0" w:after="120"/>
        <w:jc w:val="both"/>
        <w:rPr>
          <w:rFonts w:cstheme="minorHAnsi"/>
          <w:szCs w:val="18"/>
        </w:rPr>
      </w:pPr>
      <w:r>
        <w:rPr>
          <w:rFonts w:cstheme="minorHAnsi"/>
          <w:szCs w:val="18"/>
        </w:rPr>
        <w:t>LJF</w:t>
      </w:r>
      <w:r w:rsidR="00ED3C57" w:rsidRPr="00042ADB">
        <w:rPr>
          <w:rFonts w:cstheme="minorHAnsi"/>
          <w:szCs w:val="18"/>
        </w:rPr>
        <w:t xml:space="preserve"> requirements apply to all stages of a project from tender submission through to project reporting and completion.</w:t>
      </w:r>
      <w:r w:rsidR="009A1055">
        <w:rPr>
          <w:rFonts w:cstheme="minorHAnsi"/>
          <w:szCs w:val="18"/>
        </w:rPr>
        <w:t xml:space="preserve"> </w:t>
      </w:r>
      <w:r w:rsidR="00C57FB2" w:rsidRPr="00C57FB2">
        <w:rPr>
          <w:rFonts w:cstheme="minorHAnsi"/>
          <w:szCs w:val="18"/>
        </w:rPr>
        <w:t>Suppliers to Victorian Government projects must deliver the L</w:t>
      </w:r>
      <w:r w:rsidR="009A1055">
        <w:rPr>
          <w:rFonts w:cstheme="minorHAnsi"/>
          <w:szCs w:val="18"/>
        </w:rPr>
        <w:t>JF</w:t>
      </w:r>
      <w:r w:rsidR="00C57FB2" w:rsidRPr="00C57FB2">
        <w:rPr>
          <w:rFonts w:cstheme="minorHAnsi"/>
          <w:szCs w:val="18"/>
        </w:rPr>
        <w:t xml:space="preserve"> commitments as set out in the </w:t>
      </w:r>
      <w:r w:rsidR="009A1055">
        <w:rPr>
          <w:rFonts w:cstheme="minorHAnsi"/>
          <w:szCs w:val="18"/>
        </w:rPr>
        <w:t>Local Industry Development Plan (</w:t>
      </w:r>
      <w:r w:rsidR="00C57FB2" w:rsidRPr="00C57FB2">
        <w:rPr>
          <w:rFonts w:cstheme="minorHAnsi"/>
          <w:szCs w:val="18"/>
        </w:rPr>
        <w:t>LIDP</w:t>
      </w:r>
      <w:r w:rsidR="009A1055">
        <w:rPr>
          <w:rFonts w:cstheme="minorHAnsi"/>
          <w:szCs w:val="18"/>
        </w:rPr>
        <w:t>)</w:t>
      </w:r>
      <w:r w:rsidR="00C57FB2" w:rsidRPr="00C57FB2">
        <w:rPr>
          <w:rFonts w:cstheme="minorHAnsi"/>
          <w:szCs w:val="18"/>
        </w:rPr>
        <w:t xml:space="preserve"> contained within their project contract with the agency. A key part of this is engaging with local businesses and supply chains.</w:t>
      </w:r>
    </w:p>
    <w:p w14:paraId="006740EA" w14:textId="2664E4CA" w:rsidR="009069B6" w:rsidRDefault="00C57FB2" w:rsidP="00042ADB">
      <w:pPr>
        <w:spacing w:before="0" w:after="120"/>
        <w:jc w:val="both"/>
        <w:rPr>
          <w:rFonts w:cs="Arial"/>
          <w:szCs w:val="18"/>
        </w:rPr>
      </w:pPr>
      <w:r w:rsidRPr="00C57FB2">
        <w:rPr>
          <w:rFonts w:cstheme="minorHAnsi"/>
          <w:szCs w:val="18"/>
        </w:rPr>
        <w:t xml:space="preserve">Suppliers are responsible for retaining documents, monitoring progress and reporting on compliance with </w:t>
      </w:r>
      <w:r w:rsidR="0070000C">
        <w:rPr>
          <w:rFonts w:cstheme="minorHAnsi"/>
          <w:szCs w:val="18"/>
        </w:rPr>
        <w:t>LJF</w:t>
      </w:r>
      <w:r w:rsidR="00007855">
        <w:rPr>
          <w:rFonts w:cstheme="minorHAnsi"/>
          <w:szCs w:val="18"/>
        </w:rPr>
        <w:t>.</w:t>
      </w:r>
      <w:r w:rsidR="00007855">
        <w:rPr>
          <w:rFonts w:cs="Arial"/>
          <w:szCs w:val="18"/>
        </w:rPr>
        <w:t xml:space="preserve"> </w:t>
      </w:r>
      <w:r w:rsidR="00655436">
        <w:rPr>
          <w:rFonts w:cs="Arial"/>
          <w:szCs w:val="18"/>
        </w:rPr>
        <w:t>Supplier</w:t>
      </w:r>
      <w:r w:rsidR="00655436" w:rsidRPr="00317EA6">
        <w:rPr>
          <w:rFonts w:cs="Arial"/>
          <w:szCs w:val="18"/>
        </w:rPr>
        <w:t xml:space="preserve"> compliance with LJF requirements</w:t>
      </w:r>
      <w:r w:rsidR="00007855">
        <w:rPr>
          <w:rFonts w:cs="Arial"/>
          <w:szCs w:val="18"/>
        </w:rPr>
        <w:t xml:space="preserve"> </w:t>
      </w:r>
      <w:r w:rsidR="00007855" w:rsidRPr="00317EA6">
        <w:rPr>
          <w:rFonts w:cstheme="minorHAnsi"/>
          <w:szCs w:val="18"/>
        </w:rPr>
        <w:t>and commitments</w:t>
      </w:r>
      <w:r w:rsidR="00655436" w:rsidRPr="00317EA6">
        <w:rPr>
          <w:rFonts w:cs="Arial"/>
          <w:szCs w:val="18"/>
        </w:rPr>
        <w:t xml:space="preserve"> </w:t>
      </w:r>
      <w:r w:rsidR="00655436">
        <w:rPr>
          <w:rFonts w:cs="Arial"/>
          <w:szCs w:val="18"/>
        </w:rPr>
        <w:t>is audited regularly</w:t>
      </w:r>
      <w:r w:rsidR="00655436" w:rsidRPr="00317EA6">
        <w:rPr>
          <w:rFonts w:cs="Arial"/>
          <w:szCs w:val="18"/>
        </w:rPr>
        <w:t xml:space="preserve"> to investigate and report on LJF application</w:t>
      </w:r>
      <w:r w:rsidR="00655436">
        <w:rPr>
          <w:rFonts w:cs="Arial"/>
          <w:szCs w:val="18"/>
        </w:rPr>
        <w:t>. Audits may</w:t>
      </w:r>
      <w:r w:rsidR="00655436" w:rsidRPr="00317EA6">
        <w:rPr>
          <w:rFonts w:cs="Arial"/>
          <w:szCs w:val="18"/>
        </w:rPr>
        <w:t xml:space="preserve"> be led by the </w:t>
      </w:r>
      <w:r w:rsidR="00E0121F">
        <w:rPr>
          <w:rFonts w:cs="Arial"/>
          <w:szCs w:val="18"/>
        </w:rPr>
        <w:t xml:space="preserve">procuring </w:t>
      </w:r>
      <w:r w:rsidR="00655436" w:rsidRPr="00317EA6">
        <w:rPr>
          <w:rFonts w:cs="Arial"/>
          <w:szCs w:val="18"/>
        </w:rPr>
        <w:t xml:space="preserve">agency or the </w:t>
      </w:r>
      <w:r w:rsidR="00655436" w:rsidRPr="00C53BF0">
        <w:rPr>
          <w:rFonts w:cs="Arial"/>
          <w:szCs w:val="18"/>
        </w:rPr>
        <w:t>LJF</w:t>
      </w:r>
      <w:r w:rsidR="00655436" w:rsidRPr="00317EA6">
        <w:rPr>
          <w:rFonts w:cs="Arial"/>
          <w:szCs w:val="18"/>
        </w:rPr>
        <w:t xml:space="preserve"> Commissioner.</w:t>
      </w:r>
    </w:p>
    <w:p w14:paraId="11F00ACE" w14:textId="07A9D3D5" w:rsidR="00C91C6E" w:rsidRPr="00042ADB" w:rsidRDefault="009069B6" w:rsidP="00042ADB">
      <w:pPr>
        <w:spacing w:before="0" w:after="120"/>
        <w:jc w:val="both"/>
        <w:rPr>
          <w:rFonts w:cs="Arial"/>
          <w:szCs w:val="18"/>
        </w:rPr>
      </w:pPr>
      <w:r>
        <w:rPr>
          <w:rFonts w:cs="Arial"/>
          <w:szCs w:val="18"/>
        </w:rPr>
        <w:t xml:space="preserve">See </w:t>
      </w:r>
      <w:hyperlink w:anchor="_Appendix_1:_Glossary" w:history="1">
        <w:r w:rsidRPr="009069B6">
          <w:rPr>
            <w:rStyle w:val="Hyperlink"/>
            <w:rFonts w:cs="Arial"/>
            <w:szCs w:val="18"/>
          </w:rPr>
          <w:t>Appendix 1: Glossary</w:t>
        </w:r>
      </w:hyperlink>
      <w:r>
        <w:rPr>
          <w:rFonts w:cs="Arial"/>
          <w:szCs w:val="18"/>
        </w:rPr>
        <w:t xml:space="preserve"> for definitions of key terms used throughout this document.</w:t>
      </w:r>
    </w:p>
    <w:p w14:paraId="0D057B2A" w14:textId="40CA4737" w:rsidR="00AC4925" w:rsidRPr="00042ADB" w:rsidRDefault="004033C4" w:rsidP="00DD69E1">
      <w:pPr>
        <w:pStyle w:val="Heading2"/>
        <w:ind w:left="578" w:hanging="578"/>
        <w:rPr>
          <w:sz w:val="24"/>
          <w:szCs w:val="24"/>
        </w:rPr>
      </w:pPr>
      <w:bookmarkStart w:id="10" w:name="_Toc110586476"/>
      <w:bookmarkStart w:id="11" w:name="_Toc207867987"/>
      <w:r w:rsidRPr="00042ADB">
        <w:rPr>
          <w:sz w:val="24"/>
          <w:szCs w:val="24"/>
        </w:rPr>
        <w:t xml:space="preserve">Victorian </w:t>
      </w:r>
      <w:r w:rsidR="00AC4925" w:rsidRPr="00042ADB">
        <w:rPr>
          <w:sz w:val="24"/>
          <w:szCs w:val="24"/>
        </w:rPr>
        <w:t>Management Centre (</w:t>
      </w:r>
      <w:r w:rsidRPr="00042ADB">
        <w:rPr>
          <w:sz w:val="24"/>
          <w:szCs w:val="24"/>
        </w:rPr>
        <w:t>VMC</w:t>
      </w:r>
      <w:r w:rsidR="00AC4925" w:rsidRPr="00042ADB">
        <w:rPr>
          <w:sz w:val="24"/>
          <w:szCs w:val="24"/>
        </w:rPr>
        <w:t>)</w:t>
      </w:r>
      <w:bookmarkStart w:id="12" w:name="_Hlk30755513"/>
      <w:bookmarkEnd w:id="10"/>
      <w:bookmarkEnd w:id="11"/>
    </w:p>
    <w:bookmarkEnd w:id="12"/>
    <w:p w14:paraId="239EB7EC" w14:textId="62CF2095" w:rsidR="002D2683" w:rsidRDefault="00AC4925" w:rsidP="00042ADB">
      <w:pPr>
        <w:spacing w:before="0" w:after="120"/>
        <w:jc w:val="both"/>
        <w:rPr>
          <w:rFonts w:asciiTheme="minorHAnsi" w:hAnsiTheme="minorHAnsi" w:cstheme="minorHAnsi"/>
          <w:szCs w:val="18"/>
        </w:rPr>
      </w:pPr>
      <w:r w:rsidRPr="00042ADB">
        <w:rPr>
          <w:rFonts w:cstheme="minorHAnsi"/>
          <w:szCs w:val="18"/>
        </w:rPr>
        <w:t xml:space="preserve">The </w:t>
      </w:r>
      <w:hyperlink r:id="rId20" w:history="1">
        <w:r w:rsidR="00043A61" w:rsidRPr="00042ADB">
          <w:rPr>
            <w:rStyle w:val="Hyperlink"/>
            <w:rFonts w:cstheme="minorHAnsi"/>
            <w:szCs w:val="18"/>
          </w:rPr>
          <w:t>V</w:t>
        </w:r>
        <w:r w:rsidRPr="00042ADB">
          <w:rPr>
            <w:rStyle w:val="Hyperlink"/>
            <w:rFonts w:cstheme="minorHAnsi"/>
            <w:szCs w:val="18"/>
          </w:rPr>
          <w:t>MC</w:t>
        </w:r>
      </w:hyperlink>
      <w:r w:rsidRPr="00042ADB">
        <w:rPr>
          <w:rFonts w:cstheme="minorHAnsi"/>
          <w:szCs w:val="18"/>
        </w:rPr>
        <w:t xml:space="preserve"> is </w:t>
      </w:r>
      <w:r w:rsidR="00CB47BF" w:rsidRPr="00042ADB">
        <w:rPr>
          <w:rFonts w:cstheme="minorHAnsi"/>
          <w:szCs w:val="18"/>
        </w:rPr>
        <w:t>an</w:t>
      </w:r>
      <w:r w:rsidRPr="00042ADB">
        <w:rPr>
          <w:rFonts w:cstheme="minorHAnsi"/>
          <w:szCs w:val="18"/>
        </w:rPr>
        <w:t xml:space="preserve"> online system</w:t>
      </w:r>
      <w:r w:rsidR="00CB47BF" w:rsidRPr="00042ADB">
        <w:rPr>
          <w:rFonts w:cstheme="minorHAnsi"/>
          <w:szCs w:val="18"/>
        </w:rPr>
        <w:t xml:space="preserve"> that</w:t>
      </w:r>
      <w:r w:rsidRPr="00042ADB">
        <w:rPr>
          <w:rFonts w:cstheme="minorHAnsi"/>
          <w:szCs w:val="18"/>
        </w:rPr>
        <w:t xml:space="preserve"> manage</w:t>
      </w:r>
      <w:r w:rsidR="00CB47BF" w:rsidRPr="00042ADB">
        <w:rPr>
          <w:rFonts w:cstheme="minorHAnsi"/>
          <w:szCs w:val="18"/>
        </w:rPr>
        <w:t>s</w:t>
      </w:r>
      <w:r w:rsidRPr="00042ADB">
        <w:rPr>
          <w:rFonts w:cstheme="minorHAnsi"/>
          <w:szCs w:val="18"/>
        </w:rPr>
        <w:t xml:space="preserve"> </w:t>
      </w:r>
      <w:r w:rsidR="00834F59">
        <w:rPr>
          <w:rFonts w:cstheme="minorHAnsi"/>
          <w:szCs w:val="18"/>
        </w:rPr>
        <w:t>LJF</w:t>
      </w:r>
      <w:r w:rsidRPr="00042ADB">
        <w:rPr>
          <w:rFonts w:cstheme="minorHAnsi"/>
          <w:szCs w:val="18"/>
        </w:rPr>
        <w:t xml:space="preserve"> </w:t>
      </w:r>
      <w:r w:rsidR="00A4042E">
        <w:rPr>
          <w:rFonts w:cstheme="minorHAnsi"/>
          <w:szCs w:val="18"/>
        </w:rPr>
        <w:t>information and reporting</w:t>
      </w:r>
      <w:r w:rsidR="00A4042E" w:rsidRPr="00042ADB">
        <w:rPr>
          <w:rFonts w:cstheme="minorHAnsi"/>
          <w:szCs w:val="18"/>
        </w:rPr>
        <w:t xml:space="preserve"> </w:t>
      </w:r>
      <w:r w:rsidRPr="00042ADB">
        <w:rPr>
          <w:rFonts w:cstheme="minorHAnsi"/>
          <w:szCs w:val="18"/>
        </w:rPr>
        <w:t xml:space="preserve">by </w:t>
      </w:r>
      <w:r w:rsidR="009E2138" w:rsidRPr="00042ADB">
        <w:rPr>
          <w:rFonts w:cstheme="minorHAnsi"/>
          <w:szCs w:val="18"/>
        </w:rPr>
        <w:t>suppliers</w:t>
      </w:r>
      <w:r w:rsidRPr="00042ADB">
        <w:rPr>
          <w:rFonts w:cstheme="minorHAnsi"/>
          <w:szCs w:val="18"/>
        </w:rPr>
        <w:t xml:space="preserve"> and </w:t>
      </w:r>
      <w:r w:rsidR="009E2138" w:rsidRPr="00042ADB">
        <w:rPr>
          <w:rFonts w:cstheme="minorHAnsi"/>
          <w:szCs w:val="18"/>
        </w:rPr>
        <w:t xml:space="preserve">Victorian </w:t>
      </w:r>
      <w:r w:rsidRPr="00042ADB">
        <w:rPr>
          <w:rFonts w:cstheme="minorHAnsi"/>
          <w:szCs w:val="18"/>
        </w:rPr>
        <w:t>Government agencies</w:t>
      </w:r>
      <w:r w:rsidR="00D96F39" w:rsidRPr="0069768B">
        <w:rPr>
          <w:szCs w:val="18"/>
        </w:rPr>
        <w:t xml:space="preserve">. </w:t>
      </w:r>
      <w:r w:rsidR="0009356E" w:rsidRPr="0051705C">
        <w:rPr>
          <w:szCs w:val="18"/>
        </w:rPr>
        <w:t>B</w:t>
      </w:r>
      <w:r w:rsidR="00797D25" w:rsidRPr="00042ADB">
        <w:rPr>
          <w:szCs w:val="18"/>
        </w:rPr>
        <w:t>idders</w:t>
      </w:r>
      <w:r w:rsidR="001B0A2A" w:rsidRPr="00042ADB">
        <w:rPr>
          <w:szCs w:val="18"/>
        </w:rPr>
        <w:t xml:space="preserve"> use </w:t>
      </w:r>
      <w:r w:rsidR="007931D8">
        <w:rPr>
          <w:szCs w:val="18"/>
        </w:rPr>
        <w:t xml:space="preserve">the </w:t>
      </w:r>
      <w:r w:rsidR="001B0A2A" w:rsidRPr="00042ADB">
        <w:rPr>
          <w:szCs w:val="18"/>
        </w:rPr>
        <w:t>VMC to</w:t>
      </w:r>
      <w:r w:rsidR="00797D25" w:rsidRPr="00042ADB">
        <w:rPr>
          <w:szCs w:val="18"/>
        </w:rPr>
        <w:t xml:space="preserve"> submit their LIDP</w:t>
      </w:r>
      <w:r w:rsidR="004F7C18">
        <w:rPr>
          <w:szCs w:val="18"/>
        </w:rPr>
        <w:t xml:space="preserve"> as part of the tender documents for any </w:t>
      </w:r>
      <w:r w:rsidR="009E1F6B">
        <w:rPr>
          <w:szCs w:val="18"/>
        </w:rPr>
        <w:t>LJF</w:t>
      </w:r>
      <w:r w:rsidR="00126F47">
        <w:rPr>
          <w:szCs w:val="18"/>
        </w:rPr>
        <w:t>-</w:t>
      </w:r>
      <w:r w:rsidR="009E1F6B">
        <w:rPr>
          <w:szCs w:val="18"/>
        </w:rPr>
        <w:t>applicable project. Suppliers use the VMC to submit</w:t>
      </w:r>
      <w:r w:rsidR="001B0A2A" w:rsidRPr="00042ADB">
        <w:rPr>
          <w:szCs w:val="18"/>
        </w:rPr>
        <w:t xml:space="preserve"> </w:t>
      </w:r>
      <w:r w:rsidR="00834F59">
        <w:rPr>
          <w:szCs w:val="18"/>
        </w:rPr>
        <w:t>LJF</w:t>
      </w:r>
      <w:r w:rsidR="00530099" w:rsidRPr="0069768B">
        <w:rPr>
          <w:szCs w:val="18"/>
        </w:rPr>
        <w:t xml:space="preserve"> </w:t>
      </w:r>
      <w:r w:rsidR="00C86CC5" w:rsidRPr="00042ADB">
        <w:rPr>
          <w:szCs w:val="18"/>
        </w:rPr>
        <w:t>reporting</w:t>
      </w:r>
      <w:r w:rsidR="00B27866" w:rsidRPr="00042ADB">
        <w:rPr>
          <w:szCs w:val="18"/>
        </w:rPr>
        <w:t xml:space="preserve"> during the project</w:t>
      </w:r>
      <w:r w:rsidR="0024074B" w:rsidRPr="00042ADB">
        <w:rPr>
          <w:szCs w:val="18"/>
        </w:rPr>
        <w:t xml:space="preserve"> and post-</w:t>
      </w:r>
      <w:r w:rsidR="0024074B" w:rsidRPr="00042ADB">
        <w:rPr>
          <w:szCs w:val="18"/>
        </w:rPr>
        <w:lastRenderedPageBreak/>
        <w:t>contract verification at project completion</w:t>
      </w:r>
      <w:r w:rsidR="00797D25" w:rsidRPr="00042ADB">
        <w:rPr>
          <w:szCs w:val="18"/>
        </w:rPr>
        <w:t>.</w:t>
      </w:r>
      <w:r w:rsidR="00411FB1">
        <w:rPr>
          <w:rFonts w:cstheme="minorHAnsi"/>
          <w:szCs w:val="18"/>
          <w:lang w:eastAsia="en-AU"/>
        </w:rPr>
        <w:t xml:space="preserve"> </w:t>
      </w:r>
      <w:r w:rsidR="00DA4D9D" w:rsidRPr="00042ADB">
        <w:rPr>
          <w:rFonts w:cstheme="minorHAnsi"/>
          <w:szCs w:val="18"/>
          <w:lang w:eastAsia="en-AU"/>
        </w:rPr>
        <w:t>A VMC user guide and other supporting resources</w:t>
      </w:r>
      <w:r w:rsidR="00565822">
        <w:rPr>
          <w:rFonts w:cstheme="minorHAnsi"/>
          <w:szCs w:val="18"/>
          <w:lang w:eastAsia="en-AU"/>
        </w:rPr>
        <w:t>,</w:t>
      </w:r>
      <w:r w:rsidR="00DA4D9D" w:rsidRPr="00042ADB">
        <w:rPr>
          <w:rFonts w:cstheme="minorHAnsi"/>
          <w:szCs w:val="18"/>
        </w:rPr>
        <w:t xml:space="preserve"> including </w:t>
      </w:r>
      <w:r w:rsidR="00DA4D9D" w:rsidRPr="00042ADB">
        <w:rPr>
          <w:rFonts w:cstheme="minorHAnsi"/>
          <w:szCs w:val="18"/>
          <w:lang w:eastAsia="en-AU"/>
        </w:rPr>
        <w:t>VMC training sessions</w:t>
      </w:r>
      <w:r w:rsidR="0079532D" w:rsidRPr="00042ADB">
        <w:rPr>
          <w:rFonts w:cstheme="minorHAnsi"/>
          <w:szCs w:val="18"/>
          <w:lang w:eastAsia="en-AU"/>
        </w:rPr>
        <w:t xml:space="preserve"> for bidders and suppliers</w:t>
      </w:r>
      <w:r w:rsidR="00565822">
        <w:rPr>
          <w:rFonts w:cstheme="minorHAnsi"/>
          <w:szCs w:val="18"/>
          <w:lang w:eastAsia="en-AU"/>
        </w:rPr>
        <w:t>,</w:t>
      </w:r>
      <w:r w:rsidR="00DA4D9D" w:rsidRPr="00042ADB">
        <w:rPr>
          <w:rFonts w:cstheme="minorHAnsi"/>
          <w:szCs w:val="18"/>
        </w:rPr>
        <w:t xml:space="preserve"> are available through the VMC online portal</w:t>
      </w:r>
      <w:r w:rsidR="00DA4D9D" w:rsidRPr="00042ADB">
        <w:rPr>
          <w:rFonts w:cstheme="minorHAnsi"/>
          <w:szCs w:val="18"/>
          <w:lang w:eastAsia="en-AU"/>
        </w:rPr>
        <w:t>.</w:t>
      </w:r>
    </w:p>
    <w:p w14:paraId="1B02A53D" w14:textId="682F70AE" w:rsidR="002D2683" w:rsidRPr="00042ADB" w:rsidRDefault="002D2683" w:rsidP="00DD69E1">
      <w:pPr>
        <w:pStyle w:val="Heading2"/>
        <w:ind w:left="578" w:hanging="578"/>
        <w:jc w:val="both"/>
        <w:rPr>
          <w:sz w:val="24"/>
          <w:szCs w:val="24"/>
        </w:rPr>
      </w:pPr>
      <w:bookmarkStart w:id="13" w:name="_Toc110586477"/>
      <w:bookmarkStart w:id="14" w:name="_Toc207867988"/>
      <w:r w:rsidRPr="00042ADB">
        <w:rPr>
          <w:sz w:val="24"/>
          <w:szCs w:val="24"/>
        </w:rPr>
        <w:t xml:space="preserve">Industry Capability Network </w:t>
      </w:r>
      <w:r w:rsidR="00F551FB" w:rsidRPr="00042ADB">
        <w:rPr>
          <w:sz w:val="24"/>
          <w:szCs w:val="24"/>
        </w:rPr>
        <w:t xml:space="preserve">Victoria </w:t>
      </w:r>
      <w:r w:rsidRPr="00042ADB">
        <w:rPr>
          <w:sz w:val="24"/>
          <w:szCs w:val="24"/>
        </w:rPr>
        <w:t>(ICN)</w:t>
      </w:r>
      <w:bookmarkEnd w:id="13"/>
      <w:bookmarkEnd w:id="14"/>
    </w:p>
    <w:p w14:paraId="314E803E" w14:textId="5781F5DE" w:rsidR="00863C3A" w:rsidRPr="0069768B" w:rsidRDefault="002654CC" w:rsidP="00042ADB">
      <w:pPr>
        <w:jc w:val="both"/>
      </w:pPr>
      <w:r w:rsidRPr="00042ADB">
        <w:rPr>
          <w:rFonts w:cstheme="minorHAnsi"/>
          <w:szCs w:val="18"/>
        </w:rPr>
        <w:t xml:space="preserve">The </w:t>
      </w:r>
      <w:hyperlink r:id="rId21" w:history="1">
        <w:r w:rsidRPr="00042ADB">
          <w:rPr>
            <w:rStyle w:val="Hyperlink"/>
            <w:rFonts w:cstheme="minorHAnsi"/>
            <w:szCs w:val="18"/>
          </w:rPr>
          <w:t>ICN</w:t>
        </w:r>
      </w:hyperlink>
      <w:r w:rsidR="00A14102" w:rsidRPr="00A14102">
        <w:rPr>
          <w:rFonts w:cstheme="minorHAnsi"/>
          <w:szCs w:val="18"/>
        </w:rPr>
        <w:t xml:space="preserve"> is</w:t>
      </w:r>
      <w:r w:rsidR="002F59E6">
        <w:rPr>
          <w:rFonts w:cstheme="minorHAnsi"/>
          <w:szCs w:val="18"/>
        </w:rPr>
        <w:t xml:space="preserve"> a not-for-profit organisation</w:t>
      </w:r>
      <w:r w:rsidR="00A14102" w:rsidRPr="00A14102">
        <w:rPr>
          <w:rFonts w:cstheme="minorHAnsi"/>
          <w:szCs w:val="18"/>
        </w:rPr>
        <w:t xml:space="preserve"> funded by</w:t>
      </w:r>
      <w:r w:rsidR="00A14102">
        <w:rPr>
          <w:rFonts w:cstheme="minorHAnsi"/>
          <w:szCs w:val="18"/>
        </w:rPr>
        <w:t xml:space="preserve"> the Victorian Government </w:t>
      </w:r>
      <w:r w:rsidR="00A14102" w:rsidRPr="00A14102">
        <w:rPr>
          <w:rFonts w:cstheme="minorHAnsi"/>
          <w:szCs w:val="18"/>
        </w:rPr>
        <w:t xml:space="preserve">to </w:t>
      </w:r>
      <w:r w:rsidR="00F573B2">
        <w:rPr>
          <w:rFonts w:cstheme="minorHAnsi"/>
          <w:szCs w:val="18"/>
        </w:rPr>
        <w:t xml:space="preserve">support </w:t>
      </w:r>
      <w:r w:rsidR="00CD4835">
        <w:rPr>
          <w:rFonts w:cstheme="minorHAnsi"/>
          <w:szCs w:val="18"/>
        </w:rPr>
        <w:t xml:space="preserve">the delivery </w:t>
      </w:r>
      <w:r w:rsidR="00F573B2">
        <w:rPr>
          <w:rFonts w:cstheme="minorHAnsi"/>
          <w:szCs w:val="18"/>
        </w:rPr>
        <w:t>of</w:t>
      </w:r>
      <w:r w:rsidR="00A14102" w:rsidRPr="00A14102">
        <w:rPr>
          <w:rFonts w:cstheme="minorHAnsi"/>
          <w:szCs w:val="18"/>
        </w:rPr>
        <w:t xml:space="preserve"> L</w:t>
      </w:r>
      <w:r w:rsidR="00B02354">
        <w:rPr>
          <w:rFonts w:cstheme="minorHAnsi"/>
          <w:szCs w:val="18"/>
        </w:rPr>
        <w:t>JF</w:t>
      </w:r>
      <w:r w:rsidR="00A14102" w:rsidRPr="00A14102">
        <w:rPr>
          <w:rFonts w:cstheme="minorHAnsi"/>
          <w:szCs w:val="18"/>
        </w:rPr>
        <w:t>.</w:t>
      </w:r>
      <w:r w:rsidR="00B02354">
        <w:rPr>
          <w:rFonts w:cstheme="minorHAnsi"/>
          <w:szCs w:val="18"/>
        </w:rPr>
        <w:t xml:space="preserve"> </w:t>
      </w:r>
      <w:r w:rsidR="00982216">
        <w:rPr>
          <w:rFonts w:cstheme="minorHAnsi"/>
          <w:szCs w:val="18"/>
        </w:rPr>
        <w:t xml:space="preserve">The </w:t>
      </w:r>
      <w:r w:rsidR="00B02354">
        <w:rPr>
          <w:rFonts w:cstheme="minorHAnsi"/>
          <w:szCs w:val="18"/>
        </w:rPr>
        <w:t xml:space="preserve">ICN </w:t>
      </w:r>
      <w:r w:rsidRPr="00042ADB">
        <w:rPr>
          <w:rFonts w:cstheme="minorHAnsi"/>
          <w:szCs w:val="18"/>
        </w:rPr>
        <w:t xml:space="preserve">provides </w:t>
      </w:r>
      <w:r w:rsidR="003919F6" w:rsidRPr="00042ADB">
        <w:rPr>
          <w:rFonts w:cstheme="minorHAnsi"/>
          <w:szCs w:val="18"/>
        </w:rPr>
        <w:t>suppliers</w:t>
      </w:r>
      <w:r w:rsidRPr="00042ADB">
        <w:rPr>
          <w:rFonts w:cstheme="minorHAnsi"/>
          <w:szCs w:val="18"/>
        </w:rPr>
        <w:t xml:space="preserve"> with end</w:t>
      </w:r>
      <w:r w:rsidRPr="00042ADB">
        <w:rPr>
          <w:rFonts w:cstheme="minorHAnsi"/>
          <w:szCs w:val="18"/>
        </w:rPr>
        <w:noBreakHyphen/>
        <w:t>to</w:t>
      </w:r>
      <w:r w:rsidRPr="00042ADB">
        <w:rPr>
          <w:rFonts w:cstheme="minorHAnsi"/>
          <w:szCs w:val="18"/>
        </w:rPr>
        <w:noBreakHyphen/>
        <w:t xml:space="preserve">end assistance and practical advice on applying </w:t>
      </w:r>
      <w:r w:rsidR="00B02354">
        <w:rPr>
          <w:rFonts w:cstheme="minorHAnsi"/>
          <w:szCs w:val="18"/>
        </w:rPr>
        <w:t>LJF</w:t>
      </w:r>
      <w:r w:rsidRPr="00042ADB">
        <w:rPr>
          <w:rFonts w:cstheme="minorHAnsi"/>
          <w:szCs w:val="18"/>
        </w:rPr>
        <w:t xml:space="preserve"> and manages the VMC.</w:t>
      </w:r>
      <w:r w:rsidR="00B02354">
        <w:t xml:space="preserve"> </w:t>
      </w:r>
      <w:r w:rsidR="00982216">
        <w:t xml:space="preserve">The </w:t>
      </w:r>
      <w:r w:rsidR="00863C3A">
        <w:t xml:space="preserve">ICN also </w:t>
      </w:r>
      <w:r w:rsidR="00484CEF">
        <w:t>connects</w:t>
      </w:r>
      <w:r w:rsidR="00863C3A">
        <w:t xml:space="preserve"> principal contractors </w:t>
      </w:r>
      <w:r w:rsidR="00484CEF">
        <w:t>with</w:t>
      </w:r>
      <w:r w:rsidR="00863C3A">
        <w:t xml:space="preserve"> local suppliers and manufacturers</w:t>
      </w:r>
      <w:r w:rsidR="00484CEF">
        <w:t>, including l</w:t>
      </w:r>
      <w:r w:rsidR="00863C3A">
        <w:t>iaising with industry to identify products and services where there is local capability to manufacture, supply and value add</w:t>
      </w:r>
      <w:r w:rsidR="00484CEF">
        <w:t>.</w:t>
      </w:r>
    </w:p>
    <w:p w14:paraId="166B7852" w14:textId="4C177518" w:rsidR="006F16A0" w:rsidRPr="00042ADB" w:rsidRDefault="006F16A0" w:rsidP="00DD69E1">
      <w:pPr>
        <w:pStyle w:val="Heading2"/>
        <w:ind w:left="578" w:hanging="578"/>
        <w:rPr>
          <w:sz w:val="24"/>
          <w:szCs w:val="24"/>
        </w:rPr>
      </w:pPr>
      <w:bookmarkStart w:id="15" w:name="_Toc110586478"/>
      <w:bookmarkStart w:id="16" w:name="_Toc207867989"/>
      <w:r w:rsidRPr="00042ADB">
        <w:rPr>
          <w:sz w:val="24"/>
          <w:szCs w:val="24"/>
        </w:rPr>
        <w:t>Gateway</w:t>
      </w:r>
      <w:bookmarkEnd w:id="15"/>
      <w:r w:rsidR="00052CCD">
        <w:rPr>
          <w:sz w:val="24"/>
          <w:szCs w:val="24"/>
        </w:rPr>
        <w:t xml:space="preserve"> by ICN</w:t>
      </w:r>
      <w:bookmarkEnd w:id="16"/>
    </w:p>
    <w:p w14:paraId="4AB49AD3" w14:textId="05A480D9" w:rsidR="00581272" w:rsidRPr="00A00B17" w:rsidRDefault="0003283A" w:rsidP="00042ADB">
      <w:pPr>
        <w:spacing w:before="0" w:after="120"/>
        <w:jc w:val="both"/>
        <w:rPr>
          <w:rFonts w:asciiTheme="minorHAnsi" w:hAnsiTheme="minorHAnsi" w:cstheme="minorHAnsi"/>
          <w:szCs w:val="18"/>
        </w:rPr>
      </w:pPr>
      <w:r>
        <w:rPr>
          <w:rFonts w:cstheme="minorHAnsi"/>
          <w:szCs w:val="18"/>
        </w:rPr>
        <w:t>You can r</w:t>
      </w:r>
      <w:r w:rsidR="0098023C" w:rsidRPr="00042ADB">
        <w:rPr>
          <w:rFonts w:cstheme="minorHAnsi"/>
          <w:szCs w:val="18"/>
        </w:rPr>
        <w:t>egister your business</w:t>
      </w:r>
      <w:r w:rsidR="009469DE">
        <w:rPr>
          <w:rFonts w:cstheme="minorHAnsi"/>
          <w:szCs w:val="18"/>
        </w:rPr>
        <w:t>’s</w:t>
      </w:r>
      <w:r w:rsidR="0098023C" w:rsidRPr="00042ADB">
        <w:rPr>
          <w:rFonts w:cstheme="minorHAnsi"/>
          <w:szCs w:val="18"/>
        </w:rPr>
        <w:t xml:space="preserve"> capabilities on </w:t>
      </w:r>
      <w:hyperlink r:id="rId22" w:history="1">
        <w:r w:rsidR="00BC04E1" w:rsidRPr="00BC04E1">
          <w:rPr>
            <w:rStyle w:val="Hyperlink"/>
            <w:rFonts w:cstheme="minorHAnsi"/>
            <w:szCs w:val="18"/>
          </w:rPr>
          <w:t>Gateway by ICN</w:t>
        </w:r>
      </w:hyperlink>
      <w:r w:rsidR="0098023C" w:rsidRPr="00042ADB">
        <w:rPr>
          <w:rFonts w:cstheme="minorHAnsi"/>
          <w:szCs w:val="18"/>
        </w:rPr>
        <w:t xml:space="preserve"> to be alerted to project opportunities.</w:t>
      </w:r>
      <w:r w:rsidR="00AC4925" w:rsidRPr="00042ADB">
        <w:rPr>
          <w:rFonts w:cstheme="minorHAnsi"/>
          <w:szCs w:val="18"/>
        </w:rPr>
        <w:t xml:space="preserve"> </w:t>
      </w:r>
      <w:r w:rsidR="005716C0">
        <w:rPr>
          <w:rFonts w:cstheme="minorHAnsi"/>
          <w:szCs w:val="18"/>
        </w:rPr>
        <w:t>Y</w:t>
      </w:r>
      <w:r w:rsidR="005716C0" w:rsidRPr="005716C0">
        <w:rPr>
          <w:rFonts w:cstheme="minorHAnsi"/>
          <w:szCs w:val="18"/>
        </w:rPr>
        <w:t>our business capability profile will inform local industry capability for L</w:t>
      </w:r>
      <w:r w:rsidR="005716C0">
        <w:rPr>
          <w:rFonts w:cstheme="minorHAnsi"/>
          <w:szCs w:val="18"/>
        </w:rPr>
        <w:t>JF</w:t>
      </w:r>
      <w:r w:rsidR="005716C0" w:rsidRPr="005716C0">
        <w:rPr>
          <w:rFonts w:cstheme="minorHAnsi"/>
          <w:szCs w:val="18"/>
        </w:rPr>
        <w:t xml:space="preserve"> and other </w:t>
      </w:r>
      <w:r w:rsidR="00006309">
        <w:rPr>
          <w:rFonts w:cstheme="minorHAnsi"/>
          <w:szCs w:val="18"/>
        </w:rPr>
        <w:t>procurement</w:t>
      </w:r>
      <w:r w:rsidR="005716C0" w:rsidRPr="005716C0">
        <w:rPr>
          <w:rFonts w:cstheme="minorHAnsi"/>
          <w:szCs w:val="18"/>
        </w:rPr>
        <w:t xml:space="preserve"> policies</w:t>
      </w:r>
      <w:r w:rsidR="0040749F">
        <w:rPr>
          <w:rFonts w:cstheme="minorHAnsi"/>
          <w:szCs w:val="18"/>
        </w:rPr>
        <w:t>, such as the Social Procurement Framework</w:t>
      </w:r>
      <w:r w:rsidR="005716C0" w:rsidRPr="005716C0">
        <w:rPr>
          <w:rFonts w:cstheme="minorHAnsi"/>
          <w:szCs w:val="18"/>
        </w:rPr>
        <w:t>. Through</w:t>
      </w:r>
      <w:r w:rsidR="00D9290C">
        <w:rPr>
          <w:rFonts w:cstheme="minorHAnsi"/>
          <w:szCs w:val="18"/>
        </w:rPr>
        <w:t xml:space="preserve"> </w:t>
      </w:r>
      <w:r w:rsidR="005716C0" w:rsidRPr="005716C0">
        <w:rPr>
          <w:rFonts w:cstheme="minorHAnsi"/>
          <w:szCs w:val="18"/>
        </w:rPr>
        <w:t>Gateway</w:t>
      </w:r>
      <w:r w:rsidR="002A4527">
        <w:rPr>
          <w:rFonts w:cstheme="minorHAnsi"/>
          <w:szCs w:val="18"/>
        </w:rPr>
        <w:t xml:space="preserve"> by ICN</w:t>
      </w:r>
      <w:r w:rsidR="005716C0" w:rsidRPr="005716C0">
        <w:rPr>
          <w:rFonts w:cstheme="minorHAnsi"/>
          <w:szCs w:val="18"/>
        </w:rPr>
        <w:t>, you will gain access to opportunities on Victorian and Australian projects, information on industry events, project pipeline and in-demand products and services. Indicate your areas of interest and describe your capabilities to ensure that you are alerted to relevant opportunities and for buyers to receive information on your capabilities</w:t>
      </w:r>
      <w:r w:rsidR="00AB1203">
        <w:rPr>
          <w:rFonts w:cstheme="minorHAnsi"/>
          <w:szCs w:val="18"/>
        </w:rPr>
        <w:t>.</w:t>
      </w:r>
    </w:p>
    <w:p w14:paraId="33A1F11A" w14:textId="4C45B251" w:rsidR="00CA4C60" w:rsidRDefault="00CA4C60" w:rsidP="00DD69E1">
      <w:pPr>
        <w:pStyle w:val="Heading2"/>
        <w:ind w:left="578" w:hanging="578"/>
        <w:rPr>
          <w:sz w:val="24"/>
          <w:szCs w:val="24"/>
        </w:rPr>
      </w:pPr>
      <w:bookmarkStart w:id="17" w:name="_Toc522892279"/>
      <w:bookmarkStart w:id="18" w:name="_Toc522892285"/>
      <w:bookmarkStart w:id="19" w:name="_Toc522892297"/>
      <w:bookmarkStart w:id="20" w:name="_Toc522892301"/>
      <w:bookmarkStart w:id="21" w:name="_Toc522892302"/>
      <w:bookmarkStart w:id="22" w:name="_Toc522892303"/>
      <w:bookmarkStart w:id="23" w:name="_Toc522892304"/>
      <w:bookmarkStart w:id="24" w:name="_Toc522892307"/>
      <w:bookmarkStart w:id="25" w:name="_Toc522892311"/>
      <w:bookmarkStart w:id="26" w:name="_Toc522892314"/>
      <w:bookmarkStart w:id="27" w:name="_Toc522892315"/>
      <w:bookmarkStart w:id="28" w:name="_Toc522892320"/>
      <w:bookmarkStart w:id="29" w:name="_Toc522892321"/>
      <w:bookmarkStart w:id="30" w:name="_Toc522892323"/>
      <w:bookmarkStart w:id="31" w:name="_Toc522892324"/>
      <w:bookmarkStart w:id="32" w:name="_Toc522892328"/>
      <w:bookmarkStart w:id="33" w:name="_Toc522892335"/>
      <w:bookmarkStart w:id="34" w:name="_Toc522892336"/>
      <w:bookmarkStart w:id="35" w:name="_Toc104558126"/>
      <w:bookmarkStart w:id="36" w:name="_Toc110585984"/>
      <w:bookmarkStart w:id="37" w:name="_Toc110586479"/>
      <w:bookmarkStart w:id="38" w:name="_Toc110586933"/>
      <w:bookmarkStart w:id="39" w:name="_Toc110587369"/>
      <w:bookmarkStart w:id="40" w:name="_Toc110587811"/>
      <w:bookmarkStart w:id="41" w:name="_Toc110588784"/>
      <w:bookmarkStart w:id="42" w:name="_Toc110589221"/>
      <w:bookmarkStart w:id="43" w:name="_Toc110595258"/>
      <w:bookmarkStart w:id="44" w:name="_Toc110595663"/>
      <w:bookmarkStart w:id="45" w:name="_Toc110600894"/>
      <w:bookmarkStart w:id="46" w:name="_Toc110607361"/>
      <w:bookmarkStart w:id="47" w:name="_Toc110613313"/>
      <w:bookmarkStart w:id="48" w:name="_Toc112408888"/>
      <w:bookmarkStart w:id="49" w:name="_Toc112409650"/>
      <w:bookmarkStart w:id="50" w:name="_Toc114140577"/>
      <w:bookmarkStart w:id="51" w:name="_Toc114145229"/>
      <w:bookmarkStart w:id="52" w:name="_Toc114145563"/>
      <w:bookmarkStart w:id="53" w:name="_Toc114145916"/>
      <w:bookmarkStart w:id="54" w:name="_Toc104558127"/>
      <w:bookmarkStart w:id="55" w:name="_Toc110585985"/>
      <w:bookmarkStart w:id="56" w:name="_Toc110586480"/>
      <w:bookmarkStart w:id="57" w:name="_Toc110586934"/>
      <w:bookmarkStart w:id="58" w:name="_Toc110587370"/>
      <w:bookmarkStart w:id="59" w:name="_Toc110587812"/>
      <w:bookmarkStart w:id="60" w:name="_Toc110588785"/>
      <w:bookmarkStart w:id="61" w:name="_Toc110589222"/>
      <w:bookmarkStart w:id="62" w:name="_Toc110595259"/>
      <w:bookmarkStart w:id="63" w:name="_Toc110595664"/>
      <w:bookmarkStart w:id="64" w:name="_Toc110600895"/>
      <w:bookmarkStart w:id="65" w:name="_Toc110607362"/>
      <w:bookmarkStart w:id="66" w:name="_Toc110613314"/>
      <w:bookmarkStart w:id="67" w:name="_Toc112408889"/>
      <w:bookmarkStart w:id="68" w:name="_Toc112409651"/>
      <w:bookmarkStart w:id="69" w:name="_Toc114140578"/>
      <w:bookmarkStart w:id="70" w:name="_Toc114145230"/>
      <w:bookmarkStart w:id="71" w:name="_Toc114145564"/>
      <w:bookmarkStart w:id="72" w:name="_Toc114145917"/>
      <w:bookmarkStart w:id="73" w:name="_Toc104558128"/>
      <w:bookmarkStart w:id="74" w:name="_Toc110585986"/>
      <w:bookmarkStart w:id="75" w:name="_Toc110586481"/>
      <w:bookmarkStart w:id="76" w:name="_Toc110586935"/>
      <w:bookmarkStart w:id="77" w:name="_Toc110587371"/>
      <w:bookmarkStart w:id="78" w:name="_Toc110587813"/>
      <w:bookmarkStart w:id="79" w:name="_Toc110588786"/>
      <w:bookmarkStart w:id="80" w:name="_Toc110589223"/>
      <w:bookmarkStart w:id="81" w:name="_Toc110595260"/>
      <w:bookmarkStart w:id="82" w:name="_Toc110595665"/>
      <w:bookmarkStart w:id="83" w:name="_Toc110600896"/>
      <w:bookmarkStart w:id="84" w:name="_Toc110607363"/>
      <w:bookmarkStart w:id="85" w:name="_Toc110613315"/>
      <w:bookmarkStart w:id="86" w:name="_Toc112408890"/>
      <w:bookmarkStart w:id="87" w:name="_Toc112409652"/>
      <w:bookmarkStart w:id="88" w:name="_Toc114140579"/>
      <w:bookmarkStart w:id="89" w:name="_Toc114145231"/>
      <w:bookmarkStart w:id="90" w:name="_Toc114145565"/>
      <w:bookmarkStart w:id="91" w:name="_Toc114145918"/>
      <w:bookmarkStart w:id="92" w:name="_Toc104558132"/>
      <w:bookmarkStart w:id="93" w:name="_Toc110585990"/>
      <w:bookmarkStart w:id="94" w:name="_Toc110586485"/>
      <w:bookmarkStart w:id="95" w:name="_Toc110586939"/>
      <w:bookmarkStart w:id="96" w:name="_Toc110587375"/>
      <w:bookmarkStart w:id="97" w:name="_Toc110587817"/>
      <w:bookmarkStart w:id="98" w:name="_Toc110588790"/>
      <w:bookmarkStart w:id="99" w:name="_Toc110589227"/>
      <w:bookmarkStart w:id="100" w:name="_Toc110595264"/>
      <w:bookmarkStart w:id="101" w:name="_Toc110595669"/>
      <w:bookmarkStart w:id="102" w:name="_Toc110600900"/>
      <w:bookmarkStart w:id="103" w:name="_Toc110607367"/>
      <w:bookmarkStart w:id="104" w:name="_Toc110613319"/>
      <w:bookmarkStart w:id="105" w:name="_Toc112408894"/>
      <w:bookmarkStart w:id="106" w:name="_Toc112409656"/>
      <w:bookmarkStart w:id="107" w:name="_Toc114140583"/>
      <w:bookmarkStart w:id="108" w:name="_Toc114145235"/>
      <w:bookmarkStart w:id="109" w:name="_Toc114145569"/>
      <w:bookmarkStart w:id="110" w:name="_Toc114145922"/>
      <w:bookmarkStart w:id="111" w:name="_Toc104558133"/>
      <w:bookmarkStart w:id="112" w:name="_Toc110585991"/>
      <w:bookmarkStart w:id="113" w:name="_Toc110586486"/>
      <w:bookmarkStart w:id="114" w:name="_Toc110586940"/>
      <w:bookmarkStart w:id="115" w:name="_Toc110587376"/>
      <w:bookmarkStart w:id="116" w:name="_Toc110587818"/>
      <w:bookmarkStart w:id="117" w:name="_Toc110588791"/>
      <w:bookmarkStart w:id="118" w:name="_Toc110589228"/>
      <w:bookmarkStart w:id="119" w:name="_Toc110595265"/>
      <w:bookmarkStart w:id="120" w:name="_Toc110595670"/>
      <w:bookmarkStart w:id="121" w:name="_Toc110600901"/>
      <w:bookmarkStart w:id="122" w:name="_Toc110607368"/>
      <w:bookmarkStart w:id="123" w:name="_Toc110613320"/>
      <w:bookmarkStart w:id="124" w:name="_Toc112408895"/>
      <w:bookmarkStart w:id="125" w:name="_Toc112409657"/>
      <w:bookmarkStart w:id="126" w:name="_Toc114140584"/>
      <w:bookmarkStart w:id="127" w:name="_Toc114145236"/>
      <w:bookmarkStart w:id="128" w:name="_Toc114145570"/>
      <w:bookmarkStart w:id="129" w:name="_Toc114145923"/>
      <w:bookmarkStart w:id="130" w:name="_Toc104558134"/>
      <w:bookmarkStart w:id="131" w:name="_Toc110585992"/>
      <w:bookmarkStart w:id="132" w:name="_Toc110586487"/>
      <w:bookmarkStart w:id="133" w:name="_Toc110586941"/>
      <w:bookmarkStart w:id="134" w:name="_Toc110587377"/>
      <w:bookmarkStart w:id="135" w:name="_Toc110587819"/>
      <w:bookmarkStart w:id="136" w:name="_Toc110588792"/>
      <w:bookmarkStart w:id="137" w:name="_Toc110589229"/>
      <w:bookmarkStart w:id="138" w:name="_Toc110595266"/>
      <w:bookmarkStart w:id="139" w:name="_Toc110595671"/>
      <w:bookmarkStart w:id="140" w:name="_Toc110600902"/>
      <w:bookmarkStart w:id="141" w:name="_Toc110607369"/>
      <w:bookmarkStart w:id="142" w:name="_Toc110613321"/>
      <w:bookmarkStart w:id="143" w:name="_Toc112408896"/>
      <w:bookmarkStart w:id="144" w:name="_Toc112409658"/>
      <w:bookmarkStart w:id="145" w:name="_Toc114140585"/>
      <w:bookmarkStart w:id="146" w:name="_Toc114145237"/>
      <w:bookmarkStart w:id="147" w:name="_Toc114145571"/>
      <w:bookmarkStart w:id="148" w:name="_Toc114145924"/>
      <w:bookmarkStart w:id="149" w:name="_Toc104558135"/>
      <w:bookmarkStart w:id="150" w:name="_Toc110585993"/>
      <w:bookmarkStart w:id="151" w:name="_Toc110586488"/>
      <w:bookmarkStart w:id="152" w:name="_Toc110586942"/>
      <w:bookmarkStart w:id="153" w:name="_Toc110587378"/>
      <w:bookmarkStart w:id="154" w:name="_Toc110587820"/>
      <w:bookmarkStart w:id="155" w:name="_Toc110588793"/>
      <w:bookmarkStart w:id="156" w:name="_Toc110589230"/>
      <w:bookmarkStart w:id="157" w:name="_Toc110595267"/>
      <w:bookmarkStart w:id="158" w:name="_Toc110595672"/>
      <w:bookmarkStart w:id="159" w:name="_Toc110600903"/>
      <w:bookmarkStart w:id="160" w:name="_Toc110607370"/>
      <w:bookmarkStart w:id="161" w:name="_Toc110613322"/>
      <w:bookmarkStart w:id="162" w:name="_Toc112408897"/>
      <w:bookmarkStart w:id="163" w:name="_Toc112409659"/>
      <w:bookmarkStart w:id="164" w:name="_Toc114140586"/>
      <w:bookmarkStart w:id="165" w:name="_Toc114145238"/>
      <w:bookmarkStart w:id="166" w:name="_Toc114145572"/>
      <w:bookmarkStart w:id="167" w:name="_Toc114145925"/>
      <w:bookmarkStart w:id="168" w:name="_Toc104558136"/>
      <w:bookmarkStart w:id="169" w:name="_Toc110585994"/>
      <w:bookmarkStart w:id="170" w:name="_Toc110586489"/>
      <w:bookmarkStart w:id="171" w:name="_Toc110586943"/>
      <w:bookmarkStart w:id="172" w:name="_Toc110587379"/>
      <w:bookmarkStart w:id="173" w:name="_Toc110587821"/>
      <w:bookmarkStart w:id="174" w:name="_Toc110588794"/>
      <w:bookmarkStart w:id="175" w:name="_Toc110589231"/>
      <w:bookmarkStart w:id="176" w:name="_Toc110595268"/>
      <w:bookmarkStart w:id="177" w:name="_Toc110595673"/>
      <w:bookmarkStart w:id="178" w:name="_Toc110600904"/>
      <w:bookmarkStart w:id="179" w:name="_Toc110607371"/>
      <w:bookmarkStart w:id="180" w:name="_Toc110613323"/>
      <w:bookmarkStart w:id="181" w:name="_Toc112408898"/>
      <w:bookmarkStart w:id="182" w:name="_Toc112409660"/>
      <w:bookmarkStart w:id="183" w:name="_Toc114140587"/>
      <w:bookmarkStart w:id="184" w:name="_Toc114145239"/>
      <w:bookmarkStart w:id="185" w:name="_Toc114145573"/>
      <w:bookmarkStart w:id="186" w:name="_Toc114145926"/>
      <w:bookmarkStart w:id="187" w:name="_Toc104558137"/>
      <w:bookmarkStart w:id="188" w:name="_Toc110585995"/>
      <w:bookmarkStart w:id="189" w:name="_Toc110586490"/>
      <w:bookmarkStart w:id="190" w:name="_Toc110586944"/>
      <w:bookmarkStart w:id="191" w:name="_Toc110587380"/>
      <w:bookmarkStart w:id="192" w:name="_Toc110587822"/>
      <w:bookmarkStart w:id="193" w:name="_Toc110588795"/>
      <w:bookmarkStart w:id="194" w:name="_Toc110589232"/>
      <w:bookmarkStart w:id="195" w:name="_Toc110595269"/>
      <w:bookmarkStart w:id="196" w:name="_Toc110595674"/>
      <w:bookmarkStart w:id="197" w:name="_Toc110600905"/>
      <w:bookmarkStart w:id="198" w:name="_Toc110607372"/>
      <w:bookmarkStart w:id="199" w:name="_Toc110613324"/>
      <w:bookmarkStart w:id="200" w:name="_Toc112408899"/>
      <w:bookmarkStart w:id="201" w:name="_Toc112409661"/>
      <w:bookmarkStart w:id="202" w:name="_Toc114140588"/>
      <w:bookmarkStart w:id="203" w:name="_Toc114145240"/>
      <w:bookmarkStart w:id="204" w:name="_Toc114145574"/>
      <w:bookmarkStart w:id="205" w:name="_Toc114145927"/>
      <w:bookmarkStart w:id="206" w:name="_Toc104558138"/>
      <w:bookmarkStart w:id="207" w:name="_Toc110585996"/>
      <w:bookmarkStart w:id="208" w:name="_Toc110586491"/>
      <w:bookmarkStart w:id="209" w:name="_Toc110586945"/>
      <w:bookmarkStart w:id="210" w:name="_Toc110587381"/>
      <w:bookmarkStart w:id="211" w:name="_Toc110587823"/>
      <w:bookmarkStart w:id="212" w:name="_Toc110588796"/>
      <w:bookmarkStart w:id="213" w:name="_Toc110589233"/>
      <w:bookmarkStart w:id="214" w:name="_Toc110595270"/>
      <w:bookmarkStart w:id="215" w:name="_Toc110595675"/>
      <w:bookmarkStart w:id="216" w:name="_Toc110600906"/>
      <w:bookmarkStart w:id="217" w:name="_Toc110607373"/>
      <w:bookmarkStart w:id="218" w:name="_Toc110613325"/>
      <w:bookmarkStart w:id="219" w:name="_Toc112408900"/>
      <w:bookmarkStart w:id="220" w:name="_Toc112409662"/>
      <w:bookmarkStart w:id="221" w:name="_Toc114140589"/>
      <w:bookmarkStart w:id="222" w:name="_Toc114145241"/>
      <w:bookmarkStart w:id="223" w:name="_Toc114145575"/>
      <w:bookmarkStart w:id="224" w:name="_Toc114145928"/>
      <w:bookmarkStart w:id="225" w:name="_Toc104558139"/>
      <w:bookmarkStart w:id="226" w:name="_Toc110585997"/>
      <w:bookmarkStart w:id="227" w:name="_Toc110586492"/>
      <w:bookmarkStart w:id="228" w:name="_Toc110586946"/>
      <w:bookmarkStart w:id="229" w:name="_Toc110587382"/>
      <w:bookmarkStart w:id="230" w:name="_Toc110587824"/>
      <w:bookmarkStart w:id="231" w:name="_Toc110588797"/>
      <w:bookmarkStart w:id="232" w:name="_Toc110589234"/>
      <w:bookmarkStart w:id="233" w:name="_Toc110595271"/>
      <w:bookmarkStart w:id="234" w:name="_Toc110595676"/>
      <w:bookmarkStart w:id="235" w:name="_Toc110600907"/>
      <w:bookmarkStart w:id="236" w:name="_Toc110607374"/>
      <w:bookmarkStart w:id="237" w:name="_Toc110613326"/>
      <w:bookmarkStart w:id="238" w:name="_Toc112408901"/>
      <w:bookmarkStart w:id="239" w:name="_Toc112409663"/>
      <w:bookmarkStart w:id="240" w:name="_Toc114140590"/>
      <w:bookmarkStart w:id="241" w:name="_Toc114145242"/>
      <w:bookmarkStart w:id="242" w:name="_Toc114145576"/>
      <w:bookmarkStart w:id="243" w:name="_Toc114145929"/>
      <w:bookmarkStart w:id="244" w:name="_Toc104558140"/>
      <w:bookmarkStart w:id="245" w:name="_Toc110585998"/>
      <w:bookmarkStart w:id="246" w:name="_Toc110586493"/>
      <w:bookmarkStart w:id="247" w:name="_Toc110586947"/>
      <w:bookmarkStart w:id="248" w:name="_Toc110587383"/>
      <w:bookmarkStart w:id="249" w:name="_Toc110587825"/>
      <w:bookmarkStart w:id="250" w:name="_Toc110588798"/>
      <w:bookmarkStart w:id="251" w:name="_Toc110589235"/>
      <w:bookmarkStart w:id="252" w:name="_Toc110595272"/>
      <w:bookmarkStart w:id="253" w:name="_Toc110595677"/>
      <w:bookmarkStart w:id="254" w:name="_Toc110600908"/>
      <w:bookmarkStart w:id="255" w:name="_Toc110607375"/>
      <w:bookmarkStart w:id="256" w:name="_Toc110613327"/>
      <w:bookmarkStart w:id="257" w:name="_Toc112408902"/>
      <w:bookmarkStart w:id="258" w:name="_Toc112409664"/>
      <w:bookmarkStart w:id="259" w:name="_Toc114140591"/>
      <w:bookmarkStart w:id="260" w:name="_Toc114145243"/>
      <w:bookmarkStart w:id="261" w:name="_Toc114145577"/>
      <w:bookmarkStart w:id="262" w:name="_Toc114145930"/>
      <w:bookmarkStart w:id="263" w:name="_Toc104558141"/>
      <w:bookmarkStart w:id="264" w:name="_Toc110585999"/>
      <w:bookmarkStart w:id="265" w:name="_Toc110586494"/>
      <w:bookmarkStart w:id="266" w:name="_Toc110586948"/>
      <w:bookmarkStart w:id="267" w:name="_Toc110587384"/>
      <w:bookmarkStart w:id="268" w:name="_Toc110587826"/>
      <w:bookmarkStart w:id="269" w:name="_Toc110588799"/>
      <w:bookmarkStart w:id="270" w:name="_Toc110589236"/>
      <w:bookmarkStart w:id="271" w:name="_Toc110595273"/>
      <w:bookmarkStart w:id="272" w:name="_Toc110595678"/>
      <w:bookmarkStart w:id="273" w:name="_Toc110600909"/>
      <w:bookmarkStart w:id="274" w:name="_Toc110607376"/>
      <w:bookmarkStart w:id="275" w:name="_Toc110613328"/>
      <w:bookmarkStart w:id="276" w:name="_Toc112408903"/>
      <w:bookmarkStart w:id="277" w:name="_Toc112409665"/>
      <w:bookmarkStart w:id="278" w:name="_Toc114140592"/>
      <w:bookmarkStart w:id="279" w:name="_Toc114145244"/>
      <w:bookmarkStart w:id="280" w:name="_Toc114145578"/>
      <w:bookmarkStart w:id="281" w:name="_Toc114145931"/>
      <w:bookmarkStart w:id="282" w:name="_Toc104558142"/>
      <w:bookmarkStart w:id="283" w:name="_Toc110586000"/>
      <w:bookmarkStart w:id="284" w:name="_Toc110586495"/>
      <w:bookmarkStart w:id="285" w:name="_Toc110586949"/>
      <w:bookmarkStart w:id="286" w:name="_Toc110587385"/>
      <w:bookmarkStart w:id="287" w:name="_Toc110587827"/>
      <w:bookmarkStart w:id="288" w:name="_Toc110588800"/>
      <w:bookmarkStart w:id="289" w:name="_Toc110589237"/>
      <w:bookmarkStart w:id="290" w:name="_Toc110595274"/>
      <w:bookmarkStart w:id="291" w:name="_Toc110595679"/>
      <w:bookmarkStart w:id="292" w:name="_Toc110600910"/>
      <w:bookmarkStart w:id="293" w:name="_Toc110607377"/>
      <w:bookmarkStart w:id="294" w:name="_Toc110613329"/>
      <w:bookmarkStart w:id="295" w:name="_Toc112408904"/>
      <w:bookmarkStart w:id="296" w:name="_Toc112409666"/>
      <w:bookmarkStart w:id="297" w:name="_Toc114140593"/>
      <w:bookmarkStart w:id="298" w:name="_Toc114145245"/>
      <w:bookmarkStart w:id="299" w:name="_Toc114145579"/>
      <w:bookmarkStart w:id="300" w:name="_Toc114145932"/>
      <w:bookmarkStart w:id="301" w:name="_Toc104558143"/>
      <w:bookmarkStart w:id="302" w:name="_Toc110586001"/>
      <w:bookmarkStart w:id="303" w:name="_Toc110586496"/>
      <w:bookmarkStart w:id="304" w:name="_Toc110586950"/>
      <w:bookmarkStart w:id="305" w:name="_Toc110587386"/>
      <w:bookmarkStart w:id="306" w:name="_Toc110587828"/>
      <w:bookmarkStart w:id="307" w:name="_Toc110588801"/>
      <w:bookmarkStart w:id="308" w:name="_Toc110589238"/>
      <w:bookmarkStart w:id="309" w:name="_Toc110595275"/>
      <w:bookmarkStart w:id="310" w:name="_Toc110595680"/>
      <w:bookmarkStart w:id="311" w:name="_Toc110600911"/>
      <w:bookmarkStart w:id="312" w:name="_Toc110607378"/>
      <w:bookmarkStart w:id="313" w:name="_Toc110613330"/>
      <w:bookmarkStart w:id="314" w:name="_Toc112408905"/>
      <w:bookmarkStart w:id="315" w:name="_Toc112409667"/>
      <w:bookmarkStart w:id="316" w:name="_Toc114140594"/>
      <w:bookmarkStart w:id="317" w:name="_Toc114145246"/>
      <w:bookmarkStart w:id="318" w:name="_Toc114145580"/>
      <w:bookmarkStart w:id="319" w:name="_Toc114145933"/>
      <w:bookmarkStart w:id="320" w:name="_Toc104558144"/>
      <w:bookmarkStart w:id="321" w:name="_Toc110586002"/>
      <w:bookmarkStart w:id="322" w:name="_Toc110586497"/>
      <w:bookmarkStart w:id="323" w:name="_Toc110586951"/>
      <w:bookmarkStart w:id="324" w:name="_Toc110587387"/>
      <w:bookmarkStart w:id="325" w:name="_Toc110587829"/>
      <w:bookmarkStart w:id="326" w:name="_Toc110588802"/>
      <w:bookmarkStart w:id="327" w:name="_Toc110589239"/>
      <w:bookmarkStart w:id="328" w:name="_Toc110595276"/>
      <w:bookmarkStart w:id="329" w:name="_Toc110595681"/>
      <w:bookmarkStart w:id="330" w:name="_Toc110600912"/>
      <w:bookmarkStart w:id="331" w:name="_Toc110607379"/>
      <w:bookmarkStart w:id="332" w:name="_Toc110613331"/>
      <w:bookmarkStart w:id="333" w:name="_Toc112408906"/>
      <w:bookmarkStart w:id="334" w:name="_Toc112409668"/>
      <w:bookmarkStart w:id="335" w:name="_Toc114140595"/>
      <w:bookmarkStart w:id="336" w:name="_Toc114145247"/>
      <w:bookmarkStart w:id="337" w:name="_Toc114145581"/>
      <w:bookmarkStart w:id="338" w:name="_Toc114145934"/>
      <w:bookmarkStart w:id="339" w:name="_Toc104558145"/>
      <w:bookmarkStart w:id="340" w:name="_Toc110586003"/>
      <w:bookmarkStart w:id="341" w:name="_Toc110586498"/>
      <w:bookmarkStart w:id="342" w:name="_Toc110586952"/>
      <w:bookmarkStart w:id="343" w:name="_Toc110587388"/>
      <w:bookmarkStart w:id="344" w:name="_Toc110587830"/>
      <w:bookmarkStart w:id="345" w:name="_Toc110588803"/>
      <w:bookmarkStart w:id="346" w:name="_Toc110589240"/>
      <w:bookmarkStart w:id="347" w:name="_Toc110595277"/>
      <w:bookmarkStart w:id="348" w:name="_Toc110595682"/>
      <w:bookmarkStart w:id="349" w:name="_Toc110600913"/>
      <w:bookmarkStart w:id="350" w:name="_Toc110607380"/>
      <w:bookmarkStart w:id="351" w:name="_Toc110613332"/>
      <w:bookmarkStart w:id="352" w:name="_Toc112408907"/>
      <w:bookmarkStart w:id="353" w:name="_Toc112409669"/>
      <w:bookmarkStart w:id="354" w:name="_Toc114140596"/>
      <w:bookmarkStart w:id="355" w:name="_Toc114145248"/>
      <w:bookmarkStart w:id="356" w:name="_Toc114145582"/>
      <w:bookmarkStart w:id="357" w:name="_Toc114145935"/>
      <w:bookmarkStart w:id="358" w:name="_Toc104558146"/>
      <w:bookmarkStart w:id="359" w:name="_Toc110586004"/>
      <w:bookmarkStart w:id="360" w:name="_Toc110586499"/>
      <w:bookmarkStart w:id="361" w:name="_Toc110586953"/>
      <w:bookmarkStart w:id="362" w:name="_Toc110587389"/>
      <w:bookmarkStart w:id="363" w:name="_Toc110587831"/>
      <w:bookmarkStart w:id="364" w:name="_Toc110588804"/>
      <w:bookmarkStart w:id="365" w:name="_Toc110589241"/>
      <w:bookmarkStart w:id="366" w:name="_Toc110595278"/>
      <w:bookmarkStart w:id="367" w:name="_Toc110595683"/>
      <w:bookmarkStart w:id="368" w:name="_Toc110600914"/>
      <w:bookmarkStart w:id="369" w:name="_Toc110607381"/>
      <w:bookmarkStart w:id="370" w:name="_Toc110613333"/>
      <w:bookmarkStart w:id="371" w:name="_Toc112408908"/>
      <w:bookmarkStart w:id="372" w:name="_Toc112409670"/>
      <w:bookmarkStart w:id="373" w:name="_Toc114140597"/>
      <w:bookmarkStart w:id="374" w:name="_Toc114145249"/>
      <w:bookmarkStart w:id="375" w:name="_Toc114145583"/>
      <w:bookmarkStart w:id="376" w:name="_Toc114145936"/>
      <w:bookmarkStart w:id="377" w:name="_Toc104558147"/>
      <w:bookmarkStart w:id="378" w:name="_Toc110586005"/>
      <w:bookmarkStart w:id="379" w:name="_Toc110586500"/>
      <w:bookmarkStart w:id="380" w:name="_Toc110586954"/>
      <w:bookmarkStart w:id="381" w:name="_Toc110587390"/>
      <w:bookmarkStart w:id="382" w:name="_Toc110587832"/>
      <w:bookmarkStart w:id="383" w:name="_Toc110588805"/>
      <w:bookmarkStart w:id="384" w:name="_Toc110589242"/>
      <w:bookmarkStart w:id="385" w:name="_Toc110595279"/>
      <w:bookmarkStart w:id="386" w:name="_Toc110595684"/>
      <w:bookmarkStart w:id="387" w:name="_Toc110600915"/>
      <w:bookmarkStart w:id="388" w:name="_Toc110607382"/>
      <w:bookmarkStart w:id="389" w:name="_Toc110613334"/>
      <w:bookmarkStart w:id="390" w:name="_Toc112408909"/>
      <w:bookmarkStart w:id="391" w:name="_Toc112409671"/>
      <w:bookmarkStart w:id="392" w:name="_Toc114140598"/>
      <w:bookmarkStart w:id="393" w:name="_Toc114145250"/>
      <w:bookmarkStart w:id="394" w:name="_Toc114145584"/>
      <w:bookmarkStart w:id="395" w:name="_Toc114145937"/>
      <w:bookmarkStart w:id="396" w:name="_Toc104558148"/>
      <w:bookmarkStart w:id="397" w:name="_Toc110586006"/>
      <w:bookmarkStart w:id="398" w:name="_Toc110586501"/>
      <w:bookmarkStart w:id="399" w:name="_Toc110586955"/>
      <w:bookmarkStart w:id="400" w:name="_Toc110587391"/>
      <w:bookmarkStart w:id="401" w:name="_Toc110587833"/>
      <w:bookmarkStart w:id="402" w:name="_Toc110588806"/>
      <w:bookmarkStart w:id="403" w:name="_Toc110589243"/>
      <w:bookmarkStart w:id="404" w:name="_Toc110595280"/>
      <w:bookmarkStart w:id="405" w:name="_Toc110595685"/>
      <w:bookmarkStart w:id="406" w:name="_Toc110600916"/>
      <w:bookmarkStart w:id="407" w:name="_Toc110607383"/>
      <w:bookmarkStart w:id="408" w:name="_Toc110613335"/>
      <w:bookmarkStart w:id="409" w:name="_Toc112408910"/>
      <w:bookmarkStart w:id="410" w:name="_Toc112409672"/>
      <w:bookmarkStart w:id="411" w:name="_Toc114140599"/>
      <w:bookmarkStart w:id="412" w:name="_Toc114145251"/>
      <w:bookmarkStart w:id="413" w:name="_Toc114145585"/>
      <w:bookmarkStart w:id="414" w:name="_Toc114145938"/>
      <w:bookmarkStart w:id="415" w:name="_Toc104558149"/>
      <w:bookmarkStart w:id="416" w:name="_Toc110586007"/>
      <w:bookmarkStart w:id="417" w:name="_Toc110586502"/>
      <w:bookmarkStart w:id="418" w:name="_Toc110586956"/>
      <w:bookmarkStart w:id="419" w:name="_Toc110587392"/>
      <w:bookmarkStart w:id="420" w:name="_Toc110587834"/>
      <w:bookmarkStart w:id="421" w:name="_Toc110588807"/>
      <w:bookmarkStart w:id="422" w:name="_Toc110589244"/>
      <w:bookmarkStart w:id="423" w:name="_Toc110595281"/>
      <w:bookmarkStart w:id="424" w:name="_Toc110595686"/>
      <w:bookmarkStart w:id="425" w:name="_Toc110600917"/>
      <w:bookmarkStart w:id="426" w:name="_Toc110607384"/>
      <w:bookmarkStart w:id="427" w:name="_Toc110613336"/>
      <w:bookmarkStart w:id="428" w:name="_Toc112408911"/>
      <w:bookmarkStart w:id="429" w:name="_Toc112409673"/>
      <w:bookmarkStart w:id="430" w:name="_Toc114140600"/>
      <w:bookmarkStart w:id="431" w:name="_Toc114145252"/>
      <w:bookmarkStart w:id="432" w:name="_Toc114145586"/>
      <w:bookmarkStart w:id="433" w:name="_Toc114145939"/>
      <w:bookmarkStart w:id="434" w:name="_Toc104558150"/>
      <w:bookmarkStart w:id="435" w:name="_Toc110586008"/>
      <w:bookmarkStart w:id="436" w:name="_Toc110586503"/>
      <w:bookmarkStart w:id="437" w:name="_Toc110586957"/>
      <w:bookmarkStart w:id="438" w:name="_Toc110587393"/>
      <w:bookmarkStart w:id="439" w:name="_Toc110587835"/>
      <w:bookmarkStart w:id="440" w:name="_Toc110588808"/>
      <w:bookmarkStart w:id="441" w:name="_Toc110589245"/>
      <w:bookmarkStart w:id="442" w:name="_Toc110595282"/>
      <w:bookmarkStart w:id="443" w:name="_Toc110595687"/>
      <w:bookmarkStart w:id="444" w:name="_Toc110600918"/>
      <w:bookmarkStart w:id="445" w:name="_Toc110607385"/>
      <w:bookmarkStart w:id="446" w:name="_Toc110613337"/>
      <w:bookmarkStart w:id="447" w:name="_Toc112408912"/>
      <w:bookmarkStart w:id="448" w:name="_Toc112409674"/>
      <w:bookmarkStart w:id="449" w:name="_Toc114140601"/>
      <w:bookmarkStart w:id="450" w:name="_Toc114145253"/>
      <w:bookmarkStart w:id="451" w:name="_Toc114145587"/>
      <w:bookmarkStart w:id="452" w:name="_Toc114145940"/>
      <w:bookmarkStart w:id="453" w:name="_Toc104558151"/>
      <w:bookmarkStart w:id="454" w:name="_Toc110586009"/>
      <w:bookmarkStart w:id="455" w:name="_Toc110586504"/>
      <w:bookmarkStart w:id="456" w:name="_Toc110586958"/>
      <w:bookmarkStart w:id="457" w:name="_Toc110587394"/>
      <w:bookmarkStart w:id="458" w:name="_Toc110587836"/>
      <w:bookmarkStart w:id="459" w:name="_Toc110588809"/>
      <w:bookmarkStart w:id="460" w:name="_Toc110589246"/>
      <w:bookmarkStart w:id="461" w:name="_Toc110595283"/>
      <w:bookmarkStart w:id="462" w:name="_Toc110595688"/>
      <w:bookmarkStart w:id="463" w:name="_Toc110600919"/>
      <w:bookmarkStart w:id="464" w:name="_Toc110607386"/>
      <w:bookmarkStart w:id="465" w:name="_Toc110613338"/>
      <w:bookmarkStart w:id="466" w:name="_Toc112408913"/>
      <w:bookmarkStart w:id="467" w:name="_Toc112409675"/>
      <w:bookmarkStart w:id="468" w:name="_Toc114140602"/>
      <w:bookmarkStart w:id="469" w:name="_Toc114145254"/>
      <w:bookmarkStart w:id="470" w:name="_Toc114145588"/>
      <w:bookmarkStart w:id="471" w:name="_Toc114145941"/>
      <w:bookmarkStart w:id="472" w:name="_How_to_apply"/>
      <w:bookmarkStart w:id="473" w:name="_Toc207867990"/>
      <w:bookmarkStart w:id="474" w:name="_Hlk14272611"/>
      <w:bookmarkStart w:id="475" w:name="_Toc11058650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r w:rsidRPr="00042ADB">
        <w:rPr>
          <w:sz w:val="24"/>
          <w:szCs w:val="24"/>
        </w:rPr>
        <w:t>Local Jobs First Commissioner</w:t>
      </w:r>
      <w:bookmarkEnd w:id="473"/>
    </w:p>
    <w:p w14:paraId="5006085C" w14:textId="5B90E9E7" w:rsidR="00285B65" w:rsidRPr="0069768B" w:rsidRDefault="00285B65" w:rsidP="00042ADB">
      <w:pPr>
        <w:jc w:val="both"/>
      </w:pPr>
      <w:r w:rsidRPr="00042ADB">
        <w:rPr>
          <w:rFonts w:cstheme="minorHAnsi"/>
          <w:szCs w:val="18"/>
        </w:rPr>
        <w:t xml:space="preserve">The </w:t>
      </w:r>
      <w:r w:rsidR="00550A29">
        <w:rPr>
          <w:rFonts w:cstheme="minorHAnsi"/>
          <w:szCs w:val="18"/>
        </w:rPr>
        <w:t>LJF</w:t>
      </w:r>
      <w:r w:rsidR="003E089F" w:rsidRPr="00042ADB">
        <w:rPr>
          <w:rFonts w:cstheme="minorHAnsi"/>
          <w:szCs w:val="18"/>
        </w:rPr>
        <w:t xml:space="preserve"> Commissioner</w:t>
      </w:r>
      <w:r w:rsidRPr="00042ADB">
        <w:rPr>
          <w:rFonts w:cstheme="minorHAnsi"/>
          <w:szCs w:val="18"/>
        </w:rPr>
        <w:t xml:space="preserve"> promotes </w:t>
      </w:r>
      <w:r w:rsidR="00550A29">
        <w:rPr>
          <w:rFonts w:cstheme="minorHAnsi"/>
          <w:szCs w:val="18"/>
        </w:rPr>
        <w:t>LJF</w:t>
      </w:r>
      <w:r w:rsidRPr="00042ADB">
        <w:rPr>
          <w:rFonts w:cstheme="minorHAnsi"/>
          <w:szCs w:val="18"/>
        </w:rPr>
        <w:t xml:space="preserve"> across </w:t>
      </w:r>
      <w:r w:rsidRPr="0069768B">
        <w:rPr>
          <w:rFonts w:cstheme="minorHAnsi"/>
          <w:szCs w:val="18"/>
        </w:rPr>
        <w:t>a</w:t>
      </w:r>
      <w:r w:rsidRPr="00042ADB">
        <w:rPr>
          <w:rFonts w:cstheme="minorHAnsi"/>
          <w:szCs w:val="18"/>
        </w:rPr>
        <w:t xml:space="preserve">gencies and local industry, advocates for the private sector and local government to procure local goods, employ local workers and enhance their skills, monitors </w:t>
      </w:r>
      <w:r w:rsidR="00923860">
        <w:rPr>
          <w:rFonts w:cstheme="minorHAnsi"/>
          <w:szCs w:val="18"/>
        </w:rPr>
        <w:t xml:space="preserve">and reports on compliance with </w:t>
      </w:r>
      <w:r w:rsidR="00B1411D">
        <w:rPr>
          <w:rFonts w:cstheme="minorHAnsi"/>
          <w:szCs w:val="18"/>
        </w:rPr>
        <w:t xml:space="preserve">LJF and LIDPs, and takes enforcement action in relation to </w:t>
      </w:r>
      <w:r w:rsidR="00583350">
        <w:rPr>
          <w:rFonts w:cstheme="minorHAnsi"/>
          <w:szCs w:val="18"/>
        </w:rPr>
        <w:t>non-compliance with</w:t>
      </w:r>
      <w:r w:rsidR="00B1411D">
        <w:rPr>
          <w:rFonts w:cstheme="minorHAnsi"/>
          <w:szCs w:val="18"/>
        </w:rPr>
        <w:t xml:space="preserve"> LJF and LIDPs</w:t>
      </w:r>
      <w:r w:rsidRPr="00042ADB">
        <w:rPr>
          <w:rFonts w:cstheme="minorHAnsi"/>
          <w:szCs w:val="18"/>
        </w:rPr>
        <w:t>.</w:t>
      </w:r>
    </w:p>
    <w:p w14:paraId="2F588500" w14:textId="2A9BF491" w:rsidR="00ED3DA8" w:rsidRDefault="00D41A9A" w:rsidP="00DD69E1">
      <w:pPr>
        <w:pStyle w:val="Heading1"/>
        <w:ind w:left="431" w:hanging="431"/>
        <w:jc w:val="both"/>
      </w:pPr>
      <w:bookmarkStart w:id="476" w:name="_How_to_apply_5"/>
      <w:bookmarkStart w:id="477" w:name="_Toc207867991"/>
      <w:bookmarkEnd w:id="476"/>
      <w:r w:rsidRPr="00D41A9A">
        <w:t>How to apply Local Jobs First</w:t>
      </w:r>
      <w:bookmarkEnd w:id="474"/>
      <w:r w:rsidR="006C673C">
        <w:t xml:space="preserve"> to Standard</w:t>
      </w:r>
      <w:r w:rsidR="00E61EE1">
        <w:t xml:space="preserve"> Projects</w:t>
      </w:r>
      <w:r w:rsidR="006C673C">
        <w:t xml:space="preserve"> and Strategic Projects</w:t>
      </w:r>
      <w:bookmarkEnd w:id="475"/>
      <w:bookmarkEnd w:id="477"/>
    </w:p>
    <w:p w14:paraId="1E9275FE" w14:textId="6578A893" w:rsidR="0002702B" w:rsidRDefault="0002702B" w:rsidP="00A85BA7">
      <w:pPr>
        <w:jc w:val="both"/>
      </w:pPr>
      <w:bookmarkStart w:id="478" w:name="_Hlk29909432"/>
      <w:bookmarkStart w:id="479" w:name="_Hlk29819272"/>
      <w:bookmarkStart w:id="480" w:name="_Hlk15030553"/>
      <w:r w:rsidRPr="00042ADB">
        <w:t xml:space="preserve">The process for applying </w:t>
      </w:r>
      <w:r w:rsidR="00834F59">
        <w:t>LJF</w:t>
      </w:r>
      <w:r w:rsidRPr="00042ADB">
        <w:t xml:space="preserve"> to your project depends on the project type</w:t>
      </w:r>
      <w:r w:rsidRPr="0088164A">
        <w:t xml:space="preserve"> </w:t>
      </w:r>
      <w:r w:rsidRPr="00042ADB">
        <w:t>and the procurement approach of the project delivery agency</w:t>
      </w:r>
      <w:r w:rsidRPr="0088164A">
        <w:t>.</w:t>
      </w:r>
      <w:r>
        <w:t xml:space="preserve"> </w:t>
      </w:r>
      <w:r w:rsidR="006C673C">
        <w:t>The</w:t>
      </w:r>
      <w:r w:rsidR="00F15020">
        <w:t xml:space="preserve"> project</w:t>
      </w:r>
      <w:r w:rsidR="006C673C">
        <w:t xml:space="preserve"> delivery agency will </w:t>
      </w:r>
      <w:r w:rsidR="00D207AA">
        <w:t xml:space="preserve">advise you </w:t>
      </w:r>
      <w:r w:rsidR="00155776">
        <w:t xml:space="preserve">whether </w:t>
      </w:r>
      <w:r w:rsidR="00A33204">
        <w:t>the</w:t>
      </w:r>
      <w:r w:rsidRPr="00042ADB">
        <w:t xml:space="preserve"> project you are interested in bidding for</w:t>
      </w:r>
      <w:r w:rsidR="00155776">
        <w:t xml:space="preserve"> is a Standard or Strategic project,</w:t>
      </w:r>
      <w:r w:rsidRPr="00042ADB">
        <w:t xml:space="preserve"> and of </w:t>
      </w:r>
      <w:r w:rsidR="00E1586D">
        <w:t>any</w:t>
      </w:r>
      <w:r w:rsidRPr="00042ADB">
        <w:t xml:space="preserve"> specific L</w:t>
      </w:r>
      <w:r w:rsidR="000F78CB">
        <w:t>JF</w:t>
      </w:r>
      <w:r w:rsidRPr="00042ADB">
        <w:t xml:space="preserve"> requirements.</w:t>
      </w:r>
    </w:p>
    <w:p w14:paraId="3B54134B" w14:textId="441FE2E0" w:rsidR="00CB1E3B" w:rsidRPr="00441BE2" w:rsidRDefault="00CB1E3B" w:rsidP="00A85BA7">
      <w:pPr>
        <w:spacing w:before="0"/>
        <w:jc w:val="both"/>
        <w:rPr>
          <w:rFonts w:cs="Arial"/>
        </w:rPr>
      </w:pPr>
      <w:r w:rsidRPr="00441BE2">
        <w:rPr>
          <w:rFonts w:cs="Arial"/>
        </w:rPr>
        <w:t>This section outli</w:t>
      </w:r>
      <w:r w:rsidR="00484C9B">
        <w:rPr>
          <w:rFonts w:cs="Arial"/>
        </w:rPr>
        <w:t>n</w:t>
      </w:r>
      <w:r w:rsidRPr="00441BE2">
        <w:rPr>
          <w:rFonts w:cs="Arial"/>
        </w:rPr>
        <w:t xml:space="preserve">es the usual process for applying </w:t>
      </w:r>
      <w:r>
        <w:rPr>
          <w:rFonts w:cs="Arial"/>
        </w:rPr>
        <w:t>LJF</w:t>
      </w:r>
      <w:r w:rsidRPr="00441BE2">
        <w:rPr>
          <w:rFonts w:cs="Arial"/>
        </w:rPr>
        <w:t xml:space="preserve"> to most Standard and Strategic Projects, including MPSG projects where applicable.</w:t>
      </w:r>
      <w:r>
        <w:rPr>
          <w:rFonts w:cs="Arial"/>
        </w:rPr>
        <w:t xml:space="preserve"> </w:t>
      </w:r>
      <w:r w:rsidR="00271CBB">
        <w:rPr>
          <w:rFonts w:cs="Arial"/>
        </w:rPr>
        <w:t>T</w:t>
      </w:r>
      <w:r w:rsidRPr="00441BE2">
        <w:rPr>
          <w:rFonts w:cs="Arial"/>
        </w:rPr>
        <w:t xml:space="preserve">he </w:t>
      </w:r>
      <w:r w:rsidR="00345084">
        <w:rPr>
          <w:rFonts w:cs="Arial"/>
        </w:rPr>
        <w:t>M</w:t>
      </w:r>
      <w:r>
        <w:rPr>
          <w:rFonts w:cs="Arial"/>
        </w:rPr>
        <w:t>inister</w:t>
      </w:r>
      <w:r w:rsidRPr="00441BE2">
        <w:rPr>
          <w:rFonts w:cs="Arial"/>
        </w:rPr>
        <w:t xml:space="preserve"> </w:t>
      </w:r>
      <w:r w:rsidR="00271CBB">
        <w:rPr>
          <w:rFonts w:cs="Arial"/>
        </w:rPr>
        <w:t xml:space="preserve">responsible for LJF </w:t>
      </w:r>
      <w:r w:rsidRPr="00441BE2">
        <w:rPr>
          <w:rFonts w:cs="Arial"/>
        </w:rPr>
        <w:t xml:space="preserve">sets specific requirements for </w:t>
      </w:r>
      <w:r w:rsidR="00FF24B6">
        <w:rPr>
          <w:rFonts w:cs="Arial"/>
        </w:rPr>
        <w:t>all</w:t>
      </w:r>
      <w:r w:rsidRPr="00441BE2">
        <w:rPr>
          <w:rFonts w:cs="Arial"/>
        </w:rPr>
        <w:t xml:space="preserve"> Strategic Project</w:t>
      </w:r>
      <w:r w:rsidR="00FF24B6">
        <w:rPr>
          <w:rFonts w:cs="Arial"/>
        </w:rPr>
        <w:t>s</w:t>
      </w:r>
      <w:r w:rsidRPr="00441BE2">
        <w:rPr>
          <w:rFonts w:cs="Arial"/>
        </w:rPr>
        <w:t xml:space="preserve"> that agencies and/or suppliers must meet.</w:t>
      </w:r>
    </w:p>
    <w:p w14:paraId="5719C822" w14:textId="5EA4A793" w:rsidR="00CB1E3B" w:rsidRPr="00441BE2" w:rsidRDefault="00CB1E3B" w:rsidP="00A85BA7">
      <w:pPr>
        <w:jc w:val="both"/>
        <w:rPr>
          <w:rFonts w:cstheme="minorHAnsi"/>
          <w:bCs/>
          <w:i/>
          <w:iCs/>
          <w:szCs w:val="18"/>
        </w:rPr>
      </w:pPr>
      <w:hyperlink w:anchor="_How_to_apply_3" w:history="1">
        <w:r w:rsidRPr="00834F59">
          <w:rPr>
            <w:rStyle w:val="Hyperlink"/>
            <w:rFonts w:cstheme="minorHAnsi"/>
            <w:szCs w:val="18"/>
          </w:rPr>
          <w:t>Market led proposals</w:t>
        </w:r>
      </w:hyperlink>
      <w:r w:rsidRPr="00441BE2">
        <w:rPr>
          <w:rFonts w:cstheme="minorHAnsi"/>
          <w:szCs w:val="18"/>
        </w:rPr>
        <w:t xml:space="preserve">, </w:t>
      </w:r>
      <w:hyperlink w:anchor="_How_to_apply_4" w:history="1">
        <w:r w:rsidRPr="00441BE2">
          <w:rPr>
            <w:rStyle w:val="Hyperlink"/>
            <w:rFonts w:cstheme="minorHAnsi"/>
            <w:szCs w:val="18"/>
          </w:rPr>
          <w:t>panel / standing offer contracts</w:t>
        </w:r>
      </w:hyperlink>
      <w:r w:rsidRPr="00441BE2">
        <w:rPr>
          <w:rFonts w:cstheme="minorHAnsi"/>
          <w:szCs w:val="18"/>
        </w:rPr>
        <w:t xml:space="preserve"> and other procurement approaches may </w:t>
      </w:r>
      <w:r w:rsidR="00FF24B6">
        <w:rPr>
          <w:rFonts w:cstheme="minorHAnsi"/>
          <w:szCs w:val="18"/>
        </w:rPr>
        <w:t xml:space="preserve">also be subject to </w:t>
      </w:r>
      <w:r w:rsidRPr="00441BE2">
        <w:rPr>
          <w:rFonts w:cstheme="minorHAnsi"/>
          <w:szCs w:val="18"/>
        </w:rPr>
        <w:t>LJF</w:t>
      </w:r>
      <w:r w:rsidR="00FF24B6">
        <w:rPr>
          <w:rFonts w:cstheme="minorHAnsi"/>
          <w:szCs w:val="18"/>
        </w:rPr>
        <w:t xml:space="preserve"> and required to follow LJF processes</w:t>
      </w:r>
      <w:r w:rsidRPr="00441BE2">
        <w:rPr>
          <w:rFonts w:cstheme="minorHAnsi"/>
          <w:szCs w:val="18"/>
        </w:rPr>
        <w:t>.</w:t>
      </w:r>
      <w:r>
        <w:rPr>
          <w:rFonts w:cstheme="minorHAnsi"/>
          <w:szCs w:val="18"/>
        </w:rPr>
        <w:t xml:space="preserve"> </w:t>
      </w:r>
      <w:r w:rsidRPr="00441BE2">
        <w:rPr>
          <w:rFonts w:cstheme="minorHAnsi"/>
          <w:szCs w:val="18"/>
        </w:rPr>
        <w:t xml:space="preserve">If you are unsure, contact </w:t>
      </w:r>
      <w:r w:rsidR="00834F59">
        <w:rPr>
          <w:rFonts w:cstheme="minorHAnsi"/>
          <w:szCs w:val="18"/>
        </w:rPr>
        <w:t xml:space="preserve">the procuring agency or </w:t>
      </w:r>
      <w:r w:rsidR="009B5D4D">
        <w:rPr>
          <w:rFonts w:cstheme="minorHAnsi"/>
          <w:szCs w:val="18"/>
        </w:rPr>
        <w:t xml:space="preserve">the </w:t>
      </w:r>
      <w:r w:rsidRPr="00441BE2">
        <w:rPr>
          <w:rFonts w:cstheme="minorHAnsi"/>
          <w:szCs w:val="18"/>
        </w:rPr>
        <w:t>ICN for guidance.</w:t>
      </w:r>
    </w:p>
    <w:p w14:paraId="131FA4FC" w14:textId="6DBD9561" w:rsidR="00CB1E3B" w:rsidRPr="00441BE2" w:rsidRDefault="00CB1E3B" w:rsidP="00A85BA7">
      <w:pPr>
        <w:spacing w:before="0"/>
        <w:jc w:val="both"/>
        <w:rPr>
          <w:rFonts w:cs="Arial"/>
        </w:rPr>
      </w:pPr>
      <w:r w:rsidRPr="00441BE2">
        <w:t xml:space="preserve">Different processes apply if the project is </w:t>
      </w:r>
      <w:r w:rsidR="00834F59">
        <w:t>being delivered</w:t>
      </w:r>
      <w:r w:rsidRPr="00441BE2">
        <w:t xml:space="preserve"> via a grant or loan. </w:t>
      </w:r>
      <w:r w:rsidRPr="00441BE2">
        <w:rPr>
          <w:rFonts w:cs="Arial"/>
        </w:rPr>
        <w:t xml:space="preserve">See </w:t>
      </w:r>
      <w:hyperlink w:anchor="_Toc104558435" w:history="1">
        <w:r w:rsidRPr="00B772F7">
          <w:rPr>
            <w:rStyle w:val="Hyperlink"/>
            <w:rFonts w:cs="Arial"/>
          </w:rPr>
          <w:t>How to apply Local Jobs First to grants and loans</w:t>
        </w:r>
      </w:hyperlink>
      <w:r>
        <w:rPr>
          <w:rFonts w:cs="Arial"/>
        </w:rPr>
        <w:t xml:space="preserve"> </w:t>
      </w:r>
      <w:r w:rsidRPr="00441BE2">
        <w:rPr>
          <w:rFonts w:cs="Arial"/>
        </w:rPr>
        <w:t>for</w:t>
      </w:r>
      <w:r>
        <w:rPr>
          <w:rFonts w:cs="Arial"/>
        </w:rPr>
        <w:t xml:space="preserve"> instructions</w:t>
      </w:r>
      <w:r w:rsidRPr="00441BE2">
        <w:rPr>
          <w:rFonts w:cs="Arial"/>
        </w:rPr>
        <w:t>.</w:t>
      </w:r>
    </w:p>
    <w:p w14:paraId="4EA21939" w14:textId="7997B9D7" w:rsidR="00D41A9A" w:rsidRPr="00042ADB" w:rsidRDefault="002A6E45" w:rsidP="00DD69E1">
      <w:pPr>
        <w:pStyle w:val="Heading2"/>
        <w:ind w:left="578" w:hanging="578"/>
        <w:jc w:val="both"/>
        <w:rPr>
          <w:sz w:val="24"/>
          <w:szCs w:val="24"/>
        </w:rPr>
      </w:pPr>
      <w:bookmarkStart w:id="481" w:name="_Toc110613340"/>
      <w:bookmarkStart w:id="482" w:name="_Toc112408915"/>
      <w:bookmarkStart w:id="483" w:name="_Toc112409677"/>
      <w:bookmarkStart w:id="484" w:name="_Toc114140605"/>
      <w:bookmarkStart w:id="485" w:name="_Toc114145257"/>
      <w:bookmarkStart w:id="486" w:name="_Toc114145591"/>
      <w:bookmarkStart w:id="487" w:name="_Toc114145944"/>
      <w:bookmarkStart w:id="488" w:name="_Toc110613341"/>
      <w:bookmarkStart w:id="489" w:name="_Toc112408916"/>
      <w:bookmarkStart w:id="490" w:name="_Toc112409678"/>
      <w:bookmarkStart w:id="491" w:name="_Toc114140606"/>
      <w:bookmarkStart w:id="492" w:name="_Toc114145258"/>
      <w:bookmarkStart w:id="493" w:name="_Toc114145592"/>
      <w:bookmarkStart w:id="494" w:name="_Toc114145945"/>
      <w:bookmarkStart w:id="495" w:name="_Toc110613342"/>
      <w:bookmarkStart w:id="496" w:name="_Toc112408917"/>
      <w:bookmarkStart w:id="497" w:name="_Toc112409679"/>
      <w:bookmarkStart w:id="498" w:name="_Toc114140607"/>
      <w:bookmarkStart w:id="499" w:name="_Toc114145259"/>
      <w:bookmarkStart w:id="500" w:name="_Toc114145593"/>
      <w:bookmarkStart w:id="501" w:name="_Toc114145946"/>
      <w:bookmarkStart w:id="502" w:name="_Toc110613343"/>
      <w:bookmarkStart w:id="503" w:name="_Toc112408918"/>
      <w:bookmarkStart w:id="504" w:name="_Toc112409680"/>
      <w:bookmarkStart w:id="505" w:name="_Toc114140608"/>
      <w:bookmarkStart w:id="506" w:name="_Toc114145260"/>
      <w:bookmarkStart w:id="507" w:name="_Toc114145594"/>
      <w:bookmarkStart w:id="508" w:name="_Toc114145947"/>
      <w:bookmarkStart w:id="509" w:name="_Toc110613344"/>
      <w:bookmarkStart w:id="510" w:name="_Toc112408919"/>
      <w:bookmarkStart w:id="511" w:name="_Toc112409681"/>
      <w:bookmarkStart w:id="512" w:name="_Toc114140609"/>
      <w:bookmarkStart w:id="513" w:name="_Toc114145261"/>
      <w:bookmarkStart w:id="514" w:name="_Toc114145595"/>
      <w:bookmarkStart w:id="515" w:name="_Toc114145948"/>
      <w:bookmarkStart w:id="516" w:name="_Toc110613345"/>
      <w:bookmarkStart w:id="517" w:name="_Toc112408920"/>
      <w:bookmarkStart w:id="518" w:name="_Toc112409682"/>
      <w:bookmarkStart w:id="519" w:name="_Toc114140610"/>
      <w:bookmarkStart w:id="520" w:name="_Toc114145262"/>
      <w:bookmarkStart w:id="521" w:name="_Toc114145596"/>
      <w:bookmarkStart w:id="522" w:name="_Toc114145949"/>
      <w:bookmarkStart w:id="523" w:name="_Toc110613346"/>
      <w:bookmarkStart w:id="524" w:name="_Toc112408921"/>
      <w:bookmarkStart w:id="525" w:name="_Toc112409683"/>
      <w:bookmarkStart w:id="526" w:name="_Toc114140611"/>
      <w:bookmarkStart w:id="527" w:name="_Toc114145263"/>
      <w:bookmarkStart w:id="528" w:name="_Toc114145597"/>
      <w:bookmarkStart w:id="529" w:name="_Toc114145950"/>
      <w:bookmarkStart w:id="530" w:name="_Toc110613347"/>
      <w:bookmarkStart w:id="531" w:name="_Toc112408922"/>
      <w:bookmarkStart w:id="532" w:name="_Toc112409684"/>
      <w:bookmarkStart w:id="533" w:name="_Toc114140612"/>
      <w:bookmarkStart w:id="534" w:name="_Toc114145264"/>
      <w:bookmarkStart w:id="535" w:name="_Toc114145598"/>
      <w:bookmarkStart w:id="536" w:name="_Toc114145951"/>
      <w:bookmarkStart w:id="537" w:name="_Toc110613348"/>
      <w:bookmarkStart w:id="538" w:name="_Toc112408923"/>
      <w:bookmarkStart w:id="539" w:name="_Toc112409685"/>
      <w:bookmarkStart w:id="540" w:name="_Toc114140613"/>
      <w:bookmarkStart w:id="541" w:name="_Toc114145265"/>
      <w:bookmarkStart w:id="542" w:name="_Toc114145599"/>
      <w:bookmarkStart w:id="543" w:name="_Toc114145952"/>
      <w:bookmarkStart w:id="544" w:name="_Toc110613349"/>
      <w:bookmarkStart w:id="545" w:name="_Toc112408924"/>
      <w:bookmarkStart w:id="546" w:name="_Toc112409686"/>
      <w:bookmarkStart w:id="547" w:name="_Toc114140614"/>
      <w:bookmarkStart w:id="548" w:name="_Toc114145266"/>
      <w:bookmarkStart w:id="549" w:name="_Toc114145600"/>
      <w:bookmarkStart w:id="550" w:name="_Toc114145953"/>
      <w:bookmarkStart w:id="551" w:name="_Toc110613350"/>
      <w:bookmarkStart w:id="552" w:name="_Toc112408925"/>
      <w:bookmarkStart w:id="553" w:name="_Toc112409687"/>
      <w:bookmarkStart w:id="554" w:name="_Toc114140615"/>
      <w:bookmarkStart w:id="555" w:name="_Toc114145267"/>
      <w:bookmarkStart w:id="556" w:name="_Toc114145601"/>
      <w:bookmarkStart w:id="557" w:name="_Toc114145954"/>
      <w:bookmarkStart w:id="558" w:name="_Toc110613351"/>
      <w:bookmarkStart w:id="559" w:name="_Toc112408926"/>
      <w:bookmarkStart w:id="560" w:name="_Toc112409688"/>
      <w:bookmarkStart w:id="561" w:name="_Toc114140616"/>
      <w:bookmarkStart w:id="562" w:name="_Toc114145268"/>
      <w:bookmarkStart w:id="563" w:name="_Toc114145602"/>
      <w:bookmarkStart w:id="564" w:name="_Toc114145955"/>
      <w:bookmarkStart w:id="565" w:name="_Toc110586506"/>
      <w:bookmarkStart w:id="566" w:name="_Toc207867992"/>
      <w:bookmarkStart w:id="567" w:name="_Toc101539383"/>
      <w:bookmarkStart w:id="568" w:name="_Hlk29909918"/>
      <w:bookmarkEnd w:id="478"/>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r w:rsidRPr="00042ADB">
        <w:rPr>
          <w:sz w:val="24"/>
          <w:szCs w:val="24"/>
        </w:rPr>
        <w:t xml:space="preserve">Step 1 - </w:t>
      </w:r>
      <w:r w:rsidR="00D41A9A" w:rsidRPr="00042ADB">
        <w:rPr>
          <w:sz w:val="24"/>
          <w:szCs w:val="24"/>
        </w:rPr>
        <w:t>Review L</w:t>
      </w:r>
      <w:r w:rsidR="001B7DD4" w:rsidRPr="00042ADB">
        <w:rPr>
          <w:sz w:val="24"/>
          <w:szCs w:val="24"/>
        </w:rPr>
        <w:t xml:space="preserve">ocal </w:t>
      </w:r>
      <w:r w:rsidR="00D41A9A" w:rsidRPr="00042ADB">
        <w:rPr>
          <w:sz w:val="24"/>
          <w:szCs w:val="24"/>
        </w:rPr>
        <w:t>J</w:t>
      </w:r>
      <w:r w:rsidR="001B7DD4" w:rsidRPr="00042ADB">
        <w:rPr>
          <w:sz w:val="24"/>
          <w:szCs w:val="24"/>
        </w:rPr>
        <w:t xml:space="preserve">obs </w:t>
      </w:r>
      <w:r w:rsidR="00D41A9A" w:rsidRPr="00042ADB">
        <w:rPr>
          <w:sz w:val="24"/>
          <w:szCs w:val="24"/>
        </w:rPr>
        <w:t>F</w:t>
      </w:r>
      <w:r w:rsidR="001B7DD4" w:rsidRPr="00042ADB">
        <w:rPr>
          <w:sz w:val="24"/>
          <w:szCs w:val="24"/>
        </w:rPr>
        <w:t>irst</w:t>
      </w:r>
      <w:r w:rsidR="00D41A9A" w:rsidRPr="00042ADB">
        <w:rPr>
          <w:sz w:val="24"/>
          <w:szCs w:val="24"/>
        </w:rPr>
        <w:t xml:space="preserve"> </w:t>
      </w:r>
      <w:r w:rsidR="001B7DD4" w:rsidRPr="00042ADB">
        <w:rPr>
          <w:sz w:val="24"/>
          <w:szCs w:val="24"/>
        </w:rPr>
        <w:t>r</w:t>
      </w:r>
      <w:r w:rsidR="00D41A9A" w:rsidRPr="00042ADB">
        <w:rPr>
          <w:sz w:val="24"/>
          <w:szCs w:val="24"/>
        </w:rPr>
        <w:t xml:space="preserve">equirements in </w:t>
      </w:r>
      <w:r w:rsidR="00357880" w:rsidRPr="00042ADB">
        <w:rPr>
          <w:sz w:val="24"/>
          <w:szCs w:val="24"/>
        </w:rPr>
        <w:t>tender documentation</w:t>
      </w:r>
      <w:r w:rsidR="00D41A9A" w:rsidRPr="00042ADB">
        <w:rPr>
          <w:sz w:val="24"/>
          <w:szCs w:val="24"/>
        </w:rPr>
        <w:t xml:space="preserve"> issued by </w:t>
      </w:r>
      <w:r w:rsidR="001C6197" w:rsidRPr="00042ADB">
        <w:rPr>
          <w:sz w:val="24"/>
          <w:szCs w:val="24"/>
        </w:rPr>
        <w:t>a</w:t>
      </w:r>
      <w:r w:rsidR="00D41A9A" w:rsidRPr="00042ADB">
        <w:rPr>
          <w:sz w:val="24"/>
          <w:szCs w:val="24"/>
        </w:rPr>
        <w:t>gency</w:t>
      </w:r>
      <w:bookmarkEnd w:id="565"/>
      <w:bookmarkEnd w:id="566"/>
    </w:p>
    <w:p w14:paraId="18A8B1B5" w14:textId="21E9A18D" w:rsidR="00C933EC" w:rsidRPr="00042ADB" w:rsidRDefault="00D41A9A" w:rsidP="00DD69E1">
      <w:pPr>
        <w:jc w:val="both"/>
        <w:rPr>
          <w:rFonts w:cstheme="minorHAnsi"/>
          <w:szCs w:val="18"/>
        </w:rPr>
      </w:pPr>
      <w:r w:rsidRPr="00042ADB">
        <w:rPr>
          <w:rFonts w:cstheme="minorHAnsi"/>
          <w:szCs w:val="18"/>
        </w:rPr>
        <w:t xml:space="preserve">LJF requires all bidders to engage local </w:t>
      </w:r>
      <w:r w:rsidR="00F342F1">
        <w:rPr>
          <w:rFonts w:cstheme="minorHAnsi"/>
          <w:szCs w:val="18"/>
        </w:rPr>
        <w:t>SMEs</w:t>
      </w:r>
      <w:r w:rsidRPr="00042ADB">
        <w:rPr>
          <w:rFonts w:cstheme="minorHAnsi"/>
          <w:szCs w:val="18"/>
        </w:rPr>
        <w:t xml:space="preserve"> to supply into government projects over the life of a project.</w:t>
      </w:r>
    </w:p>
    <w:p w14:paraId="50FA768B" w14:textId="77777777" w:rsidR="00D41A9A" w:rsidRPr="00042ADB" w:rsidRDefault="00D41A9A" w:rsidP="00DD69E1">
      <w:pPr>
        <w:jc w:val="both"/>
        <w:rPr>
          <w:rFonts w:cstheme="minorHAnsi"/>
          <w:szCs w:val="18"/>
        </w:rPr>
      </w:pPr>
      <w:r w:rsidRPr="00042ADB">
        <w:rPr>
          <w:rFonts w:cstheme="minorHAnsi"/>
          <w:szCs w:val="18"/>
        </w:rPr>
        <w:t>The Expression of interest (EOI) or Request for Tender (RFT) documents will notify prospective bidders:</w:t>
      </w:r>
    </w:p>
    <w:p w14:paraId="33A285BE" w14:textId="1AE76256" w:rsidR="00D41A9A" w:rsidRDefault="00EB0D49" w:rsidP="00DD69E1">
      <w:pPr>
        <w:pStyle w:val="dotpoints"/>
        <w:spacing w:line="240" w:lineRule="auto"/>
        <w:ind w:left="357" w:hanging="357"/>
        <w:jc w:val="both"/>
      </w:pPr>
      <w:r>
        <w:rPr>
          <w:b/>
          <w:bCs/>
        </w:rPr>
        <w:t>i</w:t>
      </w:r>
      <w:r w:rsidR="00D41A9A" w:rsidRPr="000D2BFC">
        <w:rPr>
          <w:b/>
          <w:bCs/>
        </w:rPr>
        <w:t>f</w:t>
      </w:r>
      <w:r w:rsidR="00D41A9A" w:rsidRPr="00E24028">
        <w:rPr>
          <w:b/>
          <w:bCs/>
        </w:rPr>
        <w:t xml:space="preserve"> the project must apply </w:t>
      </w:r>
      <w:r w:rsidR="00834F59">
        <w:rPr>
          <w:b/>
          <w:bCs/>
        </w:rPr>
        <w:t>LJF</w:t>
      </w:r>
      <w:r w:rsidR="00D41A9A" w:rsidRPr="00E24028">
        <w:t xml:space="preserve">, and when an ICN acknowledged </w:t>
      </w:r>
      <w:r w:rsidR="009970BC">
        <w:t>LIDP</w:t>
      </w:r>
      <w:r w:rsidR="00D41A9A" w:rsidRPr="00E24028">
        <w:t xml:space="preserve"> will need to be submitted</w:t>
      </w:r>
    </w:p>
    <w:p w14:paraId="636801F1" w14:textId="594D7D47" w:rsidR="000E1D1F" w:rsidRPr="00E24028" w:rsidRDefault="00125F2E" w:rsidP="00DD69E1">
      <w:pPr>
        <w:pStyle w:val="dotpoints"/>
        <w:spacing w:line="240" w:lineRule="auto"/>
        <w:ind w:left="357" w:hanging="357"/>
        <w:jc w:val="both"/>
      </w:pPr>
      <w:r>
        <w:rPr>
          <w:b/>
          <w:bCs/>
        </w:rPr>
        <w:t xml:space="preserve">of </w:t>
      </w:r>
      <w:r w:rsidR="000E1D1F">
        <w:rPr>
          <w:b/>
          <w:bCs/>
        </w:rPr>
        <w:t>c</w:t>
      </w:r>
      <w:r w:rsidR="000E1D1F" w:rsidRPr="00E24028">
        <w:rPr>
          <w:b/>
          <w:bCs/>
        </w:rPr>
        <w:t>ontestable items</w:t>
      </w:r>
      <w:r w:rsidR="00C37889" w:rsidRPr="00DD69E1">
        <w:t>,</w:t>
      </w:r>
      <w:r w:rsidR="000E1D1F" w:rsidRPr="00C7517D">
        <w:t xml:space="preserve"> </w:t>
      </w:r>
      <w:r w:rsidR="002F16BD" w:rsidRPr="00C7517D">
        <w:t>i</w:t>
      </w:r>
      <w:r w:rsidR="002F16BD" w:rsidRPr="00042ADB">
        <w:t>dentifying sources of local content for bidders to consider when completing their LIDP</w:t>
      </w:r>
    </w:p>
    <w:p w14:paraId="10281758" w14:textId="68DA10F2" w:rsidR="009B38D9" w:rsidRPr="00E24028" w:rsidRDefault="00125F2E" w:rsidP="00DD69E1">
      <w:pPr>
        <w:pStyle w:val="dotpoints"/>
        <w:spacing w:line="240" w:lineRule="auto"/>
        <w:ind w:left="357" w:hanging="357"/>
        <w:jc w:val="both"/>
        <w:rPr>
          <w:b/>
          <w:bCs/>
        </w:rPr>
      </w:pPr>
      <w:r>
        <w:rPr>
          <w:b/>
          <w:bCs/>
          <w:lang w:eastAsia="en-AU"/>
        </w:rPr>
        <w:t xml:space="preserve">of </w:t>
      </w:r>
      <w:r w:rsidR="00EB0D49">
        <w:rPr>
          <w:b/>
          <w:bCs/>
          <w:lang w:eastAsia="en-AU"/>
        </w:rPr>
        <w:t>l</w:t>
      </w:r>
      <w:r w:rsidR="009B38D9" w:rsidRPr="00042ADB">
        <w:rPr>
          <w:b/>
          <w:bCs/>
          <w:lang w:eastAsia="en-AU"/>
        </w:rPr>
        <w:t>ocal content requirement and any additional requirements</w:t>
      </w:r>
      <w:r w:rsidR="002821F5">
        <w:rPr>
          <w:lang w:eastAsia="en-AU"/>
        </w:rPr>
        <w:t xml:space="preserve">, </w:t>
      </w:r>
      <w:r w:rsidR="000A491D">
        <w:rPr>
          <w:lang w:eastAsia="en-AU"/>
        </w:rPr>
        <w:t>where these have been</w:t>
      </w:r>
      <w:r w:rsidR="00804861" w:rsidRPr="00042ADB">
        <w:rPr>
          <w:lang w:eastAsia="en-AU"/>
        </w:rPr>
        <w:t xml:space="preserve"> </w:t>
      </w:r>
      <w:r w:rsidR="009B38D9" w:rsidRPr="00042ADB">
        <w:rPr>
          <w:lang w:eastAsia="en-AU"/>
        </w:rPr>
        <w:t xml:space="preserve">set by the </w:t>
      </w:r>
      <w:r w:rsidR="00345084">
        <w:rPr>
          <w:lang w:eastAsia="en-AU"/>
        </w:rPr>
        <w:t>M</w:t>
      </w:r>
      <w:r w:rsidR="009B38D9" w:rsidRPr="00042ADB">
        <w:rPr>
          <w:lang w:eastAsia="en-AU"/>
        </w:rPr>
        <w:t>inister</w:t>
      </w:r>
      <w:r w:rsidR="0040233D">
        <w:rPr>
          <w:lang w:eastAsia="en-AU"/>
        </w:rPr>
        <w:t xml:space="preserve"> responsible for LJF</w:t>
      </w:r>
    </w:p>
    <w:p w14:paraId="5A7DF1D9" w14:textId="31E5D766" w:rsidR="009B38D9" w:rsidRPr="00E24028" w:rsidRDefault="00125F2E" w:rsidP="00DD69E1">
      <w:pPr>
        <w:pStyle w:val="dotpoints"/>
        <w:spacing w:line="240" w:lineRule="auto"/>
        <w:ind w:left="357" w:hanging="357"/>
        <w:jc w:val="both"/>
      </w:pPr>
      <w:r>
        <w:rPr>
          <w:b/>
          <w:bCs/>
        </w:rPr>
        <w:t xml:space="preserve">of </w:t>
      </w:r>
      <w:r w:rsidR="009B38D9" w:rsidRPr="00E24028">
        <w:rPr>
          <w:b/>
          <w:bCs/>
        </w:rPr>
        <w:t>MPSG requirements</w:t>
      </w:r>
      <w:r w:rsidR="009B38D9" w:rsidRPr="00042ADB">
        <w:t>, if applicable</w:t>
      </w:r>
    </w:p>
    <w:p w14:paraId="7A9B0B59" w14:textId="10C91505" w:rsidR="00762B3F" w:rsidRPr="00042ADB" w:rsidRDefault="00125F2E" w:rsidP="00DD69E1">
      <w:pPr>
        <w:pStyle w:val="dotpoints"/>
        <w:spacing w:line="240" w:lineRule="auto"/>
        <w:ind w:left="357" w:hanging="357"/>
        <w:jc w:val="both"/>
        <w:rPr>
          <w:rFonts w:ascii="Times New Roman" w:hAnsi="Times New Roman"/>
          <w:sz w:val="24"/>
          <w:szCs w:val="24"/>
          <w:lang w:eastAsia="en-AU"/>
        </w:rPr>
      </w:pPr>
      <w:r>
        <w:rPr>
          <w:b/>
          <w:bCs/>
          <w:lang w:eastAsia="en-AU"/>
        </w:rPr>
        <w:t xml:space="preserve">of the </w:t>
      </w:r>
      <w:r w:rsidR="00083BB8">
        <w:rPr>
          <w:b/>
          <w:bCs/>
          <w:lang w:eastAsia="en-AU"/>
        </w:rPr>
        <w:t>m</w:t>
      </w:r>
      <w:r w:rsidR="0040233D">
        <w:rPr>
          <w:b/>
          <w:bCs/>
          <w:lang w:eastAsia="en-AU"/>
        </w:rPr>
        <w:t xml:space="preserve">andatory LJF </w:t>
      </w:r>
      <w:r w:rsidR="00EB0D49">
        <w:rPr>
          <w:b/>
          <w:bCs/>
          <w:lang w:eastAsia="en-AU"/>
        </w:rPr>
        <w:t>t</w:t>
      </w:r>
      <w:r w:rsidR="00D41A9A" w:rsidRPr="00042ADB">
        <w:rPr>
          <w:b/>
          <w:bCs/>
          <w:lang w:eastAsia="en-AU"/>
        </w:rPr>
        <w:t>ender evaluation weightings</w:t>
      </w:r>
      <w:r w:rsidR="00316DD4">
        <w:t>.</w:t>
      </w:r>
    </w:p>
    <w:p w14:paraId="086F9ACC" w14:textId="74B10C79" w:rsidR="00762B3F" w:rsidRPr="001677EF" w:rsidRDefault="00762B3F" w:rsidP="00DD69E1">
      <w:pPr>
        <w:pStyle w:val="Heading3"/>
        <w:ind w:left="720"/>
        <w:jc w:val="both"/>
      </w:pPr>
      <w:bookmarkStart w:id="569" w:name="_Toc104558154"/>
      <w:bookmarkStart w:id="570" w:name="_Toc110586012"/>
      <w:bookmarkStart w:id="571" w:name="_Toc104558155"/>
      <w:bookmarkStart w:id="572" w:name="_Toc110586013"/>
      <w:bookmarkEnd w:id="569"/>
      <w:bookmarkEnd w:id="570"/>
      <w:bookmarkEnd w:id="571"/>
      <w:bookmarkEnd w:id="572"/>
      <w:r w:rsidRPr="001677EF">
        <w:t>Local content</w:t>
      </w:r>
    </w:p>
    <w:p w14:paraId="7CB6817C" w14:textId="616A2140" w:rsidR="000619A9" w:rsidRDefault="00CA10F3" w:rsidP="00A85BA7">
      <w:pPr>
        <w:jc w:val="both"/>
        <w:rPr>
          <w:rFonts w:cs="Arial"/>
          <w:szCs w:val="18"/>
          <w:lang w:eastAsia="en-AU"/>
        </w:rPr>
      </w:pPr>
      <w:r w:rsidRPr="00CA10F3">
        <w:rPr>
          <w:rFonts w:cs="Arial"/>
          <w:szCs w:val="18"/>
          <w:lang w:eastAsia="en-AU"/>
        </w:rPr>
        <w:t xml:space="preserve">Under </w:t>
      </w:r>
      <w:r w:rsidR="00F83064">
        <w:rPr>
          <w:rFonts w:cs="Arial"/>
          <w:szCs w:val="18"/>
          <w:lang w:eastAsia="en-AU"/>
        </w:rPr>
        <w:t>LJF</w:t>
      </w:r>
      <w:r w:rsidRPr="00CA10F3">
        <w:rPr>
          <w:rFonts w:cs="Arial"/>
          <w:szCs w:val="18"/>
          <w:lang w:eastAsia="en-AU"/>
        </w:rPr>
        <w:t>, local content refers to Australia and New Zealand (ANZ) value-added activity reflecting:</w:t>
      </w:r>
    </w:p>
    <w:p w14:paraId="7D49644B" w14:textId="77777777" w:rsidR="000521F2" w:rsidRDefault="00CA10F3" w:rsidP="00DD69E1">
      <w:pPr>
        <w:pStyle w:val="dotpoints"/>
        <w:spacing w:line="240" w:lineRule="auto"/>
        <w:ind w:left="357" w:hanging="357"/>
        <w:jc w:val="both"/>
      </w:pPr>
      <w:r w:rsidRPr="00DD69E1">
        <w:t>goods produced by local industry</w:t>
      </w:r>
    </w:p>
    <w:p w14:paraId="2D3743A7" w14:textId="77777777" w:rsidR="000521F2" w:rsidRDefault="005A535C" w:rsidP="00DD69E1">
      <w:pPr>
        <w:pStyle w:val="dotpoints"/>
        <w:spacing w:line="240" w:lineRule="auto"/>
        <w:ind w:left="357" w:hanging="357"/>
        <w:jc w:val="both"/>
      </w:pPr>
      <w:r w:rsidRPr="00DD69E1">
        <w:t>s</w:t>
      </w:r>
      <w:r w:rsidR="00CA10F3" w:rsidRPr="00DD69E1">
        <w:t>ervices supplied by local industry</w:t>
      </w:r>
    </w:p>
    <w:p w14:paraId="1E89770B" w14:textId="089EE140" w:rsidR="00EB098B" w:rsidRPr="00DD69E1" w:rsidRDefault="005A535C" w:rsidP="00DD69E1">
      <w:pPr>
        <w:pStyle w:val="dotpoints"/>
        <w:spacing w:line="240" w:lineRule="auto"/>
        <w:ind w:left="357" w:hanging="357"/>
        <w:jc w:val="both"/>
      </w:pPr>
      <w:r w:rsidRPr="00DD69E1">
        <w:t>c</w:t>
      </w:r>
      <w:r w:rsidR="00CA10F3" w:rsidRPr="00DD69E1">
        <w:t>onstruction activities carried out by local industry.</w:t>
      </w:r>
    </w:p>
    <w:p w14:paraId="5BF0EC5D" w14:textId="661FD29E" w:rsidR="00762B3F" w:rsidRDefault="00FB6B91" w:rsidP="00A85BA7">
      <w:pPr>
        <w:jc w:val="both"/>
        <w:rPr>
          <w:rFonts w:cs="Arial"/>
          <w:lang w:eastAsia="en-AU"/>
        </w:rPr>
      </w:pPr>
      <w:r w:rsidRPr="3AC37FF8">
        <w:rPr>
          <w:rFonts w:cs="Arial"/>
          <w:lang w:eastAsia="en-AU"/>
        </w:rPr>
        <w:t xml:space="preserve">Local industry means industry and other businesses based in Australia or New Zealand. </w:t>
      </w:r>
      <w:r w:rsidR="00762B3F" w:rsidRPr="3AC37FF8">
        <w:rPr>
          <w:rFonts w:cs="Arial"/>
          <w:lang w:eastAsia="en-AU"/>
        </w:rPr>
        <w:t>Local assembly of imported materials, transport of goods, and local labour are all examples of local content or local added value</w:t>
      </w:r>
      <w:r w:rsidR="001F7A30" w:rsidRPr="3AC37FF8">
        <w:rPr>
          <w:rFonts w:cs="Arial"/>
          <w:lang w:eastAsia="en-AU"/>
        </w:rPr>
        <w:t>.</w:t>
      </w:r>
    </w:p>
    <w:p w14:paraId="339B632D" w14:textId="01C4645D" w:rsidR="008078CD" w:rsidRDefault="008078CD" w:rsidP="00DD69E1">
      <w:pPr>
        <w:pStyle w:val="Heading3"/>
        <w:ind w:left="720"/>
        <w:jc w:val="both"/>
      </w:pPr>
      <w:r w:rsidRPr="001677EF">
        <w:t>Contestability</w:t>
      </w:r>
      <w:r>
        <w:t xml:space="preserve"> assessment</w:t>
      </w:r>
    </w:p>
    <w:p w14:paraId="06C6CF09" w14:textId="3F8A8864" w:rsidR="00CC5E74" w:rsidRDefault="00CC5E74" w:rsidP="00A85BA7">
      <w:pPr>
        <w:spacing w:before="0"/>
        <w:jc w:val="both"/>
        <w:rPr>
          <w:rFonts w:cs="Arial"/>
        </w:rPr>
      </w:pPr>
      <w:r w:rsidRPr="002F5967">
        <w:rPr>
          <w:rFonts w:cs="Arial"/>
        </w:rPr>
        <w:t xml:space="preserve">Before undertaking a tender process for a </w:t>
      </w:r>
      <w:r>
        <w:rPr>
          <w:rFonts w:cs="Arial"/>
        </w:rPr>
        <w:t>Standard Project or Strategic Project</w:t>
      </w:r>
      <w:r w:rsidRPr="002F5967">
        <w:rPr>
          <w:rFonts w:cs="Arial"/>
        </w:rPr>
        <w:t>,</w:t>
      </w:r>
      <w:r>
        <w:rPr>
          <w:rFonts w:cs="Arial"/>
        </w:rPr>
        <w:t xml:space="preserve"> </w:t>
      </w:r>
      <w:r w:rsidRPr="001B36DB">
        <w:rPr>
          <w:rFonts w:cs="Arial"/>
        </w:rPr>
        <w:t xml:space="preserve">the Act requires that </w:t>
      </w:r>
      <w:r w:rsidRPr="00E94D2F">
        <w:rPr>
          <w:rFonts w:cs="Arial"/>
        </w:rPr>
        <w:t xml:space="preserve">an </w:t>
      </w:r>
      <w:r w:rsidRPr="001B36DB">
        <w:rPr>
          <w:rFonts w:cs="Arial"/>
        </w:rPr>
        <w:t xml:space="preserve">agency must obtain, in the manner set out in the Local Jobs First Policy (including these </w:t>
      </w:r>
      <w:r>
        <w:rPr>
          <w:rFonts w:cs="Arial"/>
        </w:rPr>
        <w:t>G</w:t>
      </w:r>
      <w:r w:rsidRPr="001B36DB">
        <w:rPr>
          <w:rFonts w:cs="Arial"/>
        </w:rPr>
        <w:t xml:space="preserve">uidelines), a determination </w:t>
      </w:r>
      <w:r w:rsidR="005F686C">
        <w:rPr>
          <w:rFonts w:cs="Arial"/>
        </w:rPr>
        <w:t xml:space="preserve">of </w:t>
      </w:r>
      <w:r w:rsidRPr="001B36DB">
        <w:rPr>
          <w:rFonts w:cs="Arial"/>
        </w:rPr>
        <w:t>whether the project is a non-contestable project.</w:t>
      </w:r>
    </w:p>
    <w:p w14:paraId="212FF705" w14:textId="2E57068C" w:rsidR="00D3325A" w:rsidRDefault="009A7610" w:rsidP="00A85BA7">
      <w:pPr>
        <w:spacing w:before="0" w:after="0"/>
        <w:jc w:val="both"/>
        <w:rPr>
          <w:rFonts w:cs="Arial"/>
          <w:lang w:eastAsia="en-AU"/>
        </w:rPr>
      </w:pPr>
      <w:r>
        <w:rPr>
          <w:rFonts w:cs="Arial"/>
          <w:lang w:eastAsia="en-AU"/>
        </w:rPr>
        <w:t>In practice, this means that agencies must obtain a contestability assessment from the ICN</w:t>
      </w:r>
      <w:r w:rsidR="00E046D1">
        <w:rPr>
          <w:rFonts w:cs="Arial"/>
          <w:lang w:eastAsia="en-AU"/>
        </w:rPr>
        <w:t xml:space="preserve"> before underta</w:t>
      </w:r>
      <w:r w:rsidR="00860309">
        <w:rPr>
          <w:rFonts w:cs="Arial"/>
          <w:lang w:eastAsia="en-AU"/>
        </w:rPr>
        <w:t xml:space="preserve">king a tender process. </w:t>
      </w:r>
      <w:r>
        <w:rPr>
          <w:rFonts w:cs="Arial"/>
          <w:lang w:eastAsia="en-AU"/>
        </w:rPr>
        <w:t xml:space="preserve"> </w:t>
      </w:r>
      <w:r w:rsidR="005F7E28" w:rsidRPr="676BA250">
        <w:rPr>
          <w:rFonts w:cs="Arial"/>
          <w:lang w:eastAsia="en-AU"/>
        </w:rPr>
        <w:t>A contestability assessment refers to the process where the ICN assesses whether items and services are</w:t>
      </w:r>
      <w:r w:rsidR="001D5EC0" w:rsidRPr="676BA250">
        <w:rPr>
          <w:rFonts w:cs="Arial"/>
          <w:lang w:eastAsia="en-AU"/>
        </w:rPr>
        <w:t xml:space="preserve"> </w:t>
      </w:r>
      <w:r w:rsidR="005F7E28" w:rsidRPr="676BA250">
        <w:rPr>
          <w:rFonts w:cs="Arial"/>
          <w:lang w:eastAsia="en-AU"/>
        </w:rPr>
        <w:t>available competitively locally</w:t>
      </w:r>
      <w:r w:rsidR="00935998" w:rsidRPr="676BA250">
        <w:rPr>
          <w:rFonts w:cs="Arial"/>
          <w:lang w:eastAsia="en-AU"/>
        </w:rPr>
        <w:t xml:space="preserve"> and determines w</w:t>
      </w:r>
      <w:r w:rsidR="009511AB" w:rsidRPr="676BA250">
        <w:rPr>
          <w:rFonts w:cs="Arial"/>
          <w:lang w:eastAsia="en-AU"/>
        </w:rPr>
        <w:t>hether a project is contestable or non-contestable</w:t>
      </w:r>
      <w:r w:rsidR="005F7E28" w:rsidRPr="676BA250">
        <w:rPr>
          <w:rFonts w:cs="Arial"/>
          <w:lang w:eastAsia="en-AU"/>
        </w:rPr>
        <w:t>. A list of contestable (those items available both locally and internationally)</w:t>
      </w:r>
      <w:r w:rsidR="001D5EC0" w:rsidRPr="676BA250">
        <w:rPr>
          <w:rFonts w:cs="Arial"/>
          <w:lang w:eastAsia="en-AU"/>
        </w:rPr>
        <w:t xml:space="preserve"> </w:t>
      </w:r>
      <w:r w:rsidR="005F7E28" w:rsidRPr="676BA250">
        <w:rPr>
          <w:rFonts w:cs="Arial"/>
          <w:lang w:eastAsia="en-AU"/>
        </w:rPr>
        <w:t>and non-contestable items (those items found to be available either only locally or only international) will be</w:t>
      </w:r>
      <w:r w:rsidR="001D5EC0" w:rsidRPr="676BA250">
        <w:rPr>
          <w:rFonts w:cs="Arial"/>
          <w:lang w:eastAsia="en-AU"/>
        </w:rPr>
        <w:t xml:space="preserve"> </w:t>
      </w:r>
      <w:r w:rsidR="005F7E28" w:rsidRPr="676BA250">
        <w:rPr>
          <w:rFonts w:cs="Arial"/>
          <w:lang w:eastAsia="en-AU"/>
        </w:rPr>
        <w:t>included in the LIDP for your benefit.</w:t>
      </w:r>
    </w:p>
    <w:p w14:paraId="3DE362AC" w14:textId="416727CC" w:rsidR="0021546B" w:rsidRPr="00DD69E1" w:rsidRDefault="00A26955" w:rsidP="00DD69E1">
      <w:pPr>
        <w:jc w:val="both"/>
        <w:rPr>
          <w:lang w:eastAsia="en-AU"/>
        </w:rPr>
      </w:pPr>
      <w:r w:rsidRPr="00DD69E1">
        <w:rPr>
          <w:rFonts w:cs="Arial"/>
          <w:b/>
          <w:bCs/>
          <w:lang w:eastAsia="en-AU"/>
        </w:rPr>
        <w:t xml:space="preserve">If the ICN determines that the project is non-contestable, it is not </w:t>
      </w:r>
      <w:r w:rsidRPr="005B1D4F">
        <w:rPr>
          <w:rFonts w:cs="Arial"/>
          <w:b/>
          <w:bCs/>
          <w:lang w:eastAsia="en-AU"/>
        </w:rPr>
        <w:t>a</w:t>
      </w:r>
      <w:r w:rsidR="00C73A0D" w:rsidRPr="005B1D4F">
        <w:rPr>
          <w:rFonts w:cs="Arial"/>
          <w:b/>
          <w:bCs/>
          <w:lang w:eastAsia="en-AU"/>
        </w:rPr>
        <w:t>n</w:t>
      </w:r>
      <w:r w:rsidRPr="005B1D4F">
        <w:rPr>
          <w:rFonts w:cs="Arial"/>
          <w:b/>
          <w:bCs/>
          <w:lang w:eastAsia="en-AU"/>
        </w:rPr>
        <w:t xml:space="preserve"> LJF-appli</w:t>
      </w:r>
      <w:r w:rsidR="003C53AF" w:rsidRPr="005B1D4F">
        <w:rPr>
          <w:rFonts w:cs="Arial"/>
          <w:b/>
          <w:bCs/>
          <w:lang w:eastAsia="en-AU"/>
        </w:rPr>
        <w:t>c</w:t>
      </w:r>
      <w:r w:rsidRPr="005B1D4F">
        <w:rPr>
          <w:rFonts w:cs="Arial"/>
          <w:b/>
          <w:bCs/>
          <w:lang w:eastAsia="en-AU"/>
        </w:rPr>
        <w:t>able</w:t>
      </w:r>
      <w:r w:rsidRPr="00DD69E1">
        <w:rPr>
          <w:rFonts w:cs="Arial"/>
          <w:b/>
          <w:bCs/>
          <w:lang w:eastAsia="en-AU"/>
        </w:rPr>
        <w:t xml:space="preserve"> project.</w:t>
      </w:r>
      <w:bookmarkStart w:id="573" w:name="_Toc104558158"/>
      <w:bookmarkStart w:id="574" w:name="_Toc110586016"/>
      <w:bookmarkStart w:id="575" w:name="_Toc104558159"/>
      <w:bookmarkStart w:id="576" w:name="_Toc110586017"/>
      <w:bookmarkStart w:id="577" w:name="_Strategic_Project_requirements"/>
      <w:bookmarkEnd w:id="573"/>
      <w:bookmarkEnd w:id="574"/>
      <w:bookmarkEnd w:id="575"/>
      <w:bookmarkEnd w:id="576"/>
      <w:bookmarkEnd w:id="577"/>
    </w:p>
    <w:p w14:paraId="709509F7" w14:textId="447E49BA" w:rsidR="008415BC" w:rsidRPr="006F16A0" w:rsidRDefault="00BC3CC3" w:rsidP="00DD69E1">
      <w:pPr>
        <w:pStyle w:val="Heading3"/>
        <w:ind w:left="720"/>
        <w:jc w:val="both"/>
      </w:pPr>
      <w:r>
        <w:t>Strategic Project requirements</w:t>
      </w:r>
    </w:p>
    <w:p w14:paraId="15682EDC" w14:textId="5666A489" w:rsidR="00343823" w:rsidRDefault="00343823" w:rsidP="00A85BA7">
      <w:pPr>
        <w:spacing w:before="0"/>
        <w:jc w:val="both"/>
        <w:rPr>
          <w:rFonts w:cs="Arial"/>
        </w:rPr>
      </w:pPr>
      <w:r w:rsidRPr="000B6F78">
        <w:rPr>
          <w:rFonts w:cs="Arial"/>
        </w:rPr>
        <w:t>All LJF</w:t>
      </w:r>
      <w:r w:rsidR="00520B72">
        <w:rPr>
          <w:rFonts w:cs="Arial"/>
        </w:rPr>
        <w:t>-applicable</w:t>
      </w:r>
      <w:r w:rsidRPr="000B6F78">
        <w:rPr>
          <w:rFonts w:cs="Arial"/>
        </w:rPr>
        <w:t xml:space="preserve"> Strategic Projects have minimum local content requirements set by the </w:t>
      </w:r>
      <w:r w:rsidR="00345084">
        <w:rPr>
          <w:rFonts w:cs="Arial"/>
        </w:rPr>
        <w:t>M</w:t>
      </w:r>
      <w:r w:rsidRPr="000B6F78">
        <w:rPr>
          <w:rFonts w:cs="Arial"/>
        </w:rPr>
        <w:t>inister</w:t>
      </w:r>
      <w:r w:rsidR="00502020">
        <w:rPr>
          <w:rFonts w:cs="Arial"/>
        </w:rPr>
        <w:t xml:space="preserve"> responsible for LJF</w:t>
      </w:r>
      <w:r w:rsidRPr="000B6F78">
        <w:rPr>
          <w:rFonts w:cs="Arial"/>
        </w:rPr>
        <w:t>, creating opportunities for local industry and workers to contribute to high value goods, services, and construction projects.</w:t>
      </w:r>
      <w:r>
        <w:rPr>
          <w:rFonts w:cs="Arial"/>
        </w:rPr>
        <w:t xml:space="preserve"> The </w:t>
      </w:r>
      <w:r w:rsidR="00345084">
        <w:rPr>
          <w:rFonts w:cs="Arial"/>
        </w:rPr>
        <w:t>M</w:t>
      </w:r>
      <w:r>
        <w:rPr>
          <w:rFonts w:cs="Arial"/>
        </w:rPr>
        <w:t xml:space="preserve">inister </w:t>
      </w:r>
      <w:r w:rsidR="00502020">
        <w:rPr>
          <w:rFonts w:cs="Arial"/>
        </w:rPr>
        <w:t xml:space="preserve">responsible for LJF </w:t>
      </w:r>
      <w:r w:rsidRPr="000B6F78">
        <w:rPr>
          <w:rFonts w:eastAsia="MS Mincho" w:cs="Arial"/>
          <w:szCs w:val="18"/>
        </w:rPr>
        <w:t xml:space="preserve">may </w:t>
      </w:r>
      <w:r>
        <w:rPr>
          <w:rFonts w:eastAsia="MS Mincho" w:cs="Arial"/>
          <w:szCs w:val="18"/>
        </w:rPr>
        <w:t xml:space="preserve">also </w:t>
      </w:r>
      <w:r w:rsidRPr="000B6F78">
        <w:rPr>
          <w:rFonts w:eastAsia="MS Mincho" w:cs="Arial"/>
          <w:szCs w:val="18"/>
        </w:rPr>
        <w:t>set additional requirements</w:t>
      </w:r>
      <w:r>
        <w:rPr>
          <w:rFonts w:cs="Arial"/>
        </w:rPr>
        <w:t xml:space="preserve"> </w:t>
      </w:r>
      <w:r w:rsidRPr="000B6F78">
        <w:rPr>
          <w:rFonts w:cs="Arial"/>
        </w:rPr>
        <w:t>that agencies and/or suppliers must meet.</w:t>
      </w:r>
    </w:p>
    <w:p w14:paraId="29AE576D" w14:textId="423AE419" w:rsidR="00DF35F2" w:rsidRPr="00042ADB" w:rsidRDefault="00BC40C5" w:rsidP="00A85BA7">
      <w:pPr>
        <w:spacing w:before="0"/>
        <w:jc w:val="both"/>
      </w:pPr>
      <w:r>
        <w:t>DJSIR</w:t>
      </w:r>
      <w:r w:rsidRPr="000D7EE9">
        <w:t xml:space="preserve"> </w:t>
      </w:r>
      <w:r w:rsidR="00DF35F2" w:rsidRPr="000D7EE9">
        <w:t xml:space="preserve">advises the </w:t>
      </w:r>
      <w:r w:rsidR="00345084">
        <w:t>M</w:t>
      </w:r>
      <w:r w:rsidR="00DF35F2" w:rsidRPr="000D7EE9">
        <w:t xml:space="preserve">inister </w:t>
      </w:r>
      <w:r w:rsidR="00502020">
        <w:t xml:space="preserve">responsible for LJF </w:t>
      </w:r>
      <w:r w:rsidR="00DF35F2" w:rsidRPr="000D7EE9">
        <w:t>of the</w:t>
      </w:r>
      <w:r w:rsidR="00910FD4">
        <w:t xml:space="preserve"> proposed</w:t>
      </w:r>
      <w:r w:rsidR="00DF35F2" w:rsidRPr="000D7EE9">
        <w:t xml:space="preserve"> local content requirements, which may be informed by </w:t>
      </w:r>
      <w:r w:rsidR="007E6D66">
        <w:t>the</w:t>
      </w:r>
      <w:r w:rsidR="007E6D66" w:rsidRPr="000D7EE9">
        <w:t xml:space="preserve"> </w:t>
      </w:r>
      <w:r w:rsidR="00DF35F2" w:rsidRPr="000D7EE9">
        <w:t>contestability assessment undertaken by the ICN.</w:t>
      </w:r>
      <w:r w:rsidR="00A52CD7">
        <w:t xml:space="preserve"> </w:t>
      </w:r>
      <w:r w:rsidR="00DF35F2" w:rsidRPr="00042ADB">
        <w:t xml:space="preserve">Section 7B (2) of the Act provides that the </w:t>
      </w:r>
      <w:r w:rsidR="00345084">
        <w:t>M</w:t>
      </w:r>
      <w:r w:rsidR="00834F59">
        <w:t>inister</w:t>
      </w:r>
      <w:r w:rsidR="00DF35F2" w:rsidRPr="00042ADB">
        <w:t xml:space="preserve"> </w:t>
      </w:r>
      <w:r w:rsidR="002E74EA">
        <w:t xml:space="preserve">responsible for LJF </w:t>
      </w:r>
      <w:r w:rsidR="00DF35F2" w:rsidRPr="00042ADB">
        <w:t>must set local content requirements at no less than:</w:t>
      </w:r>
    </w:p>
    <w:p w14:paraId="77FCA4CC" w14:textId="6C22ECC8" w:rsidR="00AF63E8" w:rsidRPr="00042ADB" w:rsidRDefault="00DF35F2" w:rsidP="00DD69E1">
      <w:pPr>
        <w:pStyle w:val="dotpoints"/>
        <w:spacing w:line="240" w:lineRule="auto"/>
        <w:ind w:left="357" w:hanging="357"/>
        <w:jc w:val="both"/>
        <w:rPr>
          <w:sz w:val="24"/>
        </w:rPr>
      </w:pPr>
      <w:r w:rsidRPr="00042ADB">
        <w:t>90% for a Strategic Project that is a construction project</w:t>
      </w:r>
    </w:p>
    <w:p w14:paraId="2F336116" w14:textId="11D35812" w:rsidR="00AF63E8" w:rsidRPr="00042ADB" w:rsidRDefault="00DF35F2" w:rsidP="00DD69E1">
      <w:pPr>
        <w:pStyle w:val="dotpoints"/>
        <w:spacing w:line="240" w:lineRule="auto"/>
        <w:ind w:left="357" w:hanging="357"/>
        <w:jc w:val="both"/>
        <w:rPr>
          <w:sz w:val="24"/>
        </w:rPr>
      </w:pPr>
      <w:r w:rsidRPr="00042ADB">
        <w:t>80% for a Strategic Project that is a services or maintenance contract</w:t>
      </w:r>
    </w:p>
    <w:p w14:paraId="1F7C3BE7" w14:textId="68CE448D" w:rsidR="00AF63E8" w:rsidRPr="00042ADB" w:rsidRDefault="00DF35F2" w:rsidP="00DD69E1">
      <w:pPr>
        <w:pStyle w:val="dotpoints"/>
        <w:spacing w:line="240" w:lineRule="auto"/>
        <w:ind w:left="357" w:hanging="357"/>
        <w:jc w:val="both"/>
        <w:rPr>
          <w:rFonts w:ascii="Times New Roman" w:hAnsi="Times New Roman"/>
          <w:sz w:val="24"/>
          <w:szCs w:val="24"/>
        </w:rPr>
      </w:pPr>
      <w:r w:rsidRPr="00042ADB">
        <w:t>80% for the maintenance or operations phase of a Strategic Project.</w:t>
      </w:r>
    </w:p>
    <w:p w14:paraId="59D629FF" w14:textId="684D5C53" w:rsidR="00DF35F2" w:rsidRDefault="00DF35F2" w:rsidP="00A85BA7">
      <w:pPr>
        <w:jc w:val="both"/>
      </w:pPr>
      <w:r w:rsidRPr="00042ADB">
        <w:t xml:space="preserve">The Act also provides that the </w:t>
      </w:r>
      <w:r w:rsidR="00345084">
        <w:t>M</w:t>
      </w:r>
      <w:r w:rsidRPr="00042ADB">
        <w:t xml:space="preserve">inister </w:t>
      </w:r>
      <w:r w:rsidR="00F83479">
        <w:t xml:space="preserve">responsible for LJF </w:t>
      </w:r>
      <w:r w:rsidRPr="00042ADB">
        <w:t>may determine other matters relating to Strategic Projects, including but not limited to:</w:t>
      </w:r>
    </w:p>
    <w:p w14:paraId="30E3F7C4" w14:textId="737DCAA2" w:rsidR="00AA48A4" w:rsidRPr="00042ADB" w:rsidRDefault="00A52CD7" w:rsidP="00DD69E1">
      <w:pPr>
        <w:pStyle w:val="dotpoints"/>
        <w:spacing w:line="240" w:lineRule="auto"/>
        <w:ind w:left="357" w:hanging="357"/>
        <w:jc w:val="both"/>
      </w:pPr>
      <w:r>
        <w:t>r</w:t>
      </w:r>
      <w:r w:rsidR="00AA48A4" w:rsidRPr="00042ADB">
        <w:t>equirements to maximise or specify the use of steel products produced by local industry</w:t>
      </w:r>
    </w:p>
    <w:p w14:paraId="5689E104" w14:textId="2D90A228" w:rsidR="00AA48A4" w:rsidRPr="00042ADB" w:rsidRDefault="00AA48A4" w:rsidP="00DD69E1">
      <w:pPr>
        <w:pStyle w:val="dotpoints"/>
        <w:spacing w:line="240" w:lineRule="auto"/>
        <w:ind w:left="357" w:hanging="357"/>
        <w:jc w:val="both"/>
      </w:pPr>
      <w:r w:rsidRPr="00042ADB">
        <w:t xml:space="preserve">requirements to maximise </w:t>
      </w:r>
      <w:r w:rsidR="00D30DBD">
        <w:t xml:space="preserve">or specify </w:t>
      </w:r>
      <w:r w:rsidRPr="00042ADB">
        <w:t>the use of uniform and personal protective equipment (PPE) produced by local industry</w:t>
      </w:r>
    </w:p>
    <w:p w14:paraId="1354452B" w14:textId="3AC306FE" w:rsidR="00DF35F2" w:rsidRPr="00DD69E1" w:rsidRDefault="00AA48A4" w:rsidP="00DD69E1">
      <w:pPr>
        <w:pStyle w:val="dotpoints"/>
        <w:spacing w:line="240" w:lineRule="auto"/>
        <w:ind w:left="357" w:hanging="357"/>
        <w:jc w:val="both"/>
      </w:pPr>
      <w:r w:rsidRPr="00042ADB">
        <w:t>any other requirements or conditions.</w:t>
      </w:r>
    </w:p>
    <w:p w14:paraId="6D9561A1" w14:textId="66F01557" w:rsidR="00520B72" w:rsidRPr="00520B72" w:rsidRDefault="00520B72" w:rsidP="00DD69E1">
      <w:pPr>
        <w:spacing w:before="240"/>
        <w:jc w:val="both"/>
      </w:pPr>
      <w:r w:rsidRPr="00520B72">
        <w:t xml:space="preserve">The </w:t>
      </w:r>
      <w:r w:rsidR="00345084">
        <w:t>M</w:t>
      </w:r>
      <w:r w:rsidRPr="00520B72">
        <w:t xml:space="preserve">inister </w:t>
      </w:r>
      <w:r w:rsidR="004B3FB1">
        <w:t xml:space="preserve">responsible for LJF </w:t>
      </w:r>
      <w:r w:rsidRPr="00520B72">
        <w:t xml:space="preserve">may </w:t>
      </w:r>
      <w:r w:rsidR="00D66328">
        <w:t>have regard to any of the</w:t>
      </w:r>
      <w:r w:rsidRPr="00520B72">
        <w:t xml:space="preserve"> LJF Policy objectives when setting local content requirements or determining other matters related to Strategic Projects.</w:t>
      </w:r>
    </w:p>
    <w:p w14:paraId="2084CE5D" w14:textId="601BD936" w:rsidR="00430154" w:rsidRDefault="00430154" w:rsidP="00DD69E1">
      <w:pPr>
        <w:pStyle w:val="Heading3"/>
        <w:ind w:left="720"/>
        <w:jc w:val="both"/>
      </w:pPr>
      <w:r>
        <w:t>M</w:t>
      </w:r>
      <w:r w:rsidR="00F961B1">
        <w:t>ajor Projects Skills Guarantee (</w:t>
      </w:r>
      <w:r w:rsidR="006E3D28">
        <w:t>M</w:t>
      </w:r>
      <w:r>
        <w:t>PSG</w:t>
      </w:r>
      <w:r w:rsidR="006E3D28">
        <w:t>)</w:t>
      </w:r>
      <w:r w:rsidR="00E70CED">
        <w:t xml:space="preserve"> requirements</w:t>
      </w:r>
    </w:p>
    <w:p w14:paraId="0B50459A" w14:textId="27F585DD" w:rsidR="00045AFA" w:rsidRDefault="00CE45D7" w:rsidP="00DD69E1">
      <w:pPr>
        <w:autoSpaceDE w:val="0"/>
        <w:autoSpaceDN w:val="0"/>
        <w:adjustRightInd w:val="0"/>
        <w:spacing w:before="0" w:after="0"/>
        <w:jc w:val="both"/>
      </w:pPr>
      <w:r w:rsidRPr="003E03F9">
        <w:rPr>
          <w:rFonts w:cstheme="minorHAnsi"/>
          <w:szCs w:val="18"/>
          <w:lang w:val="en-US"/>
        </w:rPr>
        <w:t>The MPSG</w:t>
      </w:r>
      <w:r>
        <w:rPr>
          <w:rFonts w:cstheme="minorHAnsi"/>
          <w:szCs w:val="18"/>
          <w:lang w:val="en-US"/>
        </w:rPr>
        <w:t xml:space="preserve"> </w:t>
      </w:r>
      <w:r w:rsidRPr="003E03F9">
        <w:rPr>
          <w:rFonts w:cstheme="minorHAnsi"/>
          <w:szCs w:val="18"/>
          <w:lang w:val="en-US"/>
        </w:rPr>
        <w:t>provides</w:t>
      </w:r>
      <w:r>
        <w:rPr>
          <w:rFonts w:cstheme="minorHAnsi"/>
          <w:szCs w:val="18"/>
          <w:lang w:val="en-US"/>
        </w:rPr>
        <w:t xml:space="preserve"> </w:t>
      </w:r>
      <w:r w:rsidRPr="003E03F9">
        <w:rPr>
          <w:rFonts w:cstheme="minorHAnsi"/>
          <w:szCs w:val="18"/>
          <w:lang w:val="en-US"/>
        </w:rPr>
        <w:t>opportunities for</w:t>
      </w:r>
      <w:r w:rsidR="00D76E65">
        <w:rPr>
          <w:rFonts w:cstheme="minorHAnsi"/>
          <w:szCs w:val="18"/>
          <w:lang w:val="en-US"/>
        </w:rPr>
        <w:t xml:space="preserve"> </w:t>
      </w:r>
      <w:r w:rsidR="00801F49">
        <w:rPr>
          <w:rFonts w:cstheme="minorHAnsi"/>
          <w:szCs w:val="18"/>
          <w:lang w:val="en-US"/>
        </w:rPr>
        <w:t>ATCs</w:t>
      </w:r>
      <w:r>
        <w:rPr>
          <w:rFonts w:cstheme="minorHAnsi"/>
          <w:szCs w:val="18"/>
          <w:lang w:val="en-US"/>
        </w:rPr>
        <w:t xml:space="preserve"> </w:t>
      </w:r>
      <w:r w:rsidRPr="003E03F9">
        <w:rPr>
          <w:rFonts w:cstheme="minorHAnsi"/>
          <w:szCs w:val="18"/>
          <w:lang w:val="en-US"/>
        </w:rPr>
        <w:t>to work on Victoria’s largest construction projects.</w:t>
      </w:r>
      <w:r>
        <w:rPr>
          <w:rFonts w:cstheme="minorHAnsi"/>
          <w:szCs w:val="18"/>
          <w:lang w:val="en-US"/>
        </w:rPr>
        <w:t xml:space="preserve"> </w:t>
      </w:r>
      <w:r w:rsidRPr="003E03F9">
        <w:rPr>
          <w:rFonts w:cstheme="minorHAnsi"/>
          <w:szCs w:val="18"/>
          <w:lang w:val="en-US"/>
        </w:rPr>
        <w:t>This helps to ensure Victorians starting their career</w:t>
      </w:r>
      <w:r>
        <w:rPr>
          <w:rFonts w:cstheme="minorHAnsi"/>
          <w:szCs w:val="18"/>
          <w:lang w:val="en-US"/>
        </w:rPr>
        <w:t xml:space="preserve"> </w:t>
      </w:r>
      <w:r w:rsidRPr="003E03F9">
        <w:rPr>
          <w:rFonts w:cstheme="minorHAnsi"/>
          <w:szCs w:val="18"/>
          <w:lang w:val="en-US"/>
        </w:rPr>
        <w:t>in the construction industry have more opportunities</w:t>
      </w:r>
      <w:r>
        <w:rPr>
          <w:rFonts w:cstheme="minorHAnsi"/>
          <w:szCs w:val="18"/>
          <w:lang w:val="en-US"/>
        </w:rPr>
        <w:t xml:space="preserve"> </w:t>
      </w:r>
      <w:r w:rsidRPr="003E03F9">
        <w:rPr>
          <w:rFonts w:cstheme="minorHAnsi"/>
          <w:szCs w:val="18"/>
          <w:lang w:val="en-US"/>
        </w:rPr>
        <w:t>to receive on</w:t>
      </w:r>
      <w:r>
        <w:rPr>
          <w:rFonts w:cstheme="minorHAnsi"/>
          <w:szCs w:val="18"/>
          <w:lang w:val="en-US"/>
        </w:rPr>
        <w:t>-</w:t>
      </w:r>
      <w:r w:rsidRPr="003E03F9">
        <w:rPr>
          <w:rFonts w:cstheme="minorHAnsi"/>
          <w:szCs w:val="18"/>
          <w:lang w:val="en-US"/>
        </w:rPr>
        <w:t>the</w:t>
      </w:r>
      <w:r>
        <w:rPr>
          <w:rFonts w:cstheme="minorHAnsi"/>
          <w:szCs w:val="18"/>
          <w:lang w:val="en-US"/>
        </w:rPr>
        <w:t>-</w:t>
      </w:r>
      <w:r w:rsidRPr="003E03F9">
        <w:rPr>
          <w:rFonts w:cstheme="minorHAnsi"/>
          <w:szCs w:val="18"/>
          <w:lang w:val="en-US"/>
        </w:rPr>
        <w:t>job training.</w:t>
      </w:r>
      <w:r>
        <w:rPr>
          <w:rFonts w:cstheme="minorHAnsi"/>
          <w:szCs w:val="18"/>
          <w:lang w:val="en-US"/>
        </w:rPr>
        <w:t xml:space="preserve"> </w:t>
      </w:r>
      <w:r w:rsidRPr="007A73AB">
        <w:rPr>
          <w:rFonts w:cstheme="minorHAnsi"/>
          <w:szCs w:val="18"/>
          <w:lang w:val="en-US"/>
        </w:rPr>
        <w:t xml:space="preserve">Further information about the MPSG’s objectives is available in the </w:t>
      </w:r>
      <w:r w:rsidRPr="007A73AB">
        <w:rPr>
          <w:rFonts w:cstheme="minorHAnsi"/>
          <w:i/>
          <w:iCs/>
          <w:szCs w:val="18"/>
          <w:lang w:val="en-US"/>
        </w:rPr>
        <w:t>M</w:t>
      </w:r>
      <w:r w:rsidR="0030027E" w:rsidRPr="007A73AB">
        <w:rPr>
          <w:rFonts w:cstheme="minorHAnsi"/>
          <w:i/>
          <w:iCs/>
          <w:szCs w:val="18"/>
          <w:lang w:val="en-US"/>
        </w:rPr>
        <w:t xml:space="preserve">ajor </w:t>
      </w:r>
      <w:r w:rsidRPr="007A73AB">
        <w:rPr>
          <w:rFonts w:cstheme="minorHAnsi"/>
          <w:i/>
          <w:iCs/>
          <w:szCs w:val="18"/>
          <w:lang w:val="en-US"/>
        </w:rPr>
        <w:t>P</w:t>
      </w:r>
      <w:r w:rsidR="0030027E" w:rsidRPr="007A73AB">
        <w:rPr>
          <w:rFonts w:cstheme="minorHAnsi"/>
          <w:i/>
          <w:iCs/>
          <w:szCs w:val="18"/>
          <w:lang w:val="en-US"/>
        </w:rPr>
        <w:t xml:space="preserve">rojects </w:t>
      </w:r>
      <w:r w:rsidRPr="007A73AB">
        <w:rPr>
          <w:rFonts w:cstheme="minorHAnsi"/>
          <w:i/>
          <w:iCs/>
          <w:szCs w:val="18"/>
          <w:lang w:val="en-US"/>
        </w:rPr>
        <w:t>S</w:t>
      </w:r>
      <w:r w:rsidR="0030027E" w:rsidRPr="007A73AB">
        <w:rPr>
          <w:rFonts w:cstheme="minorHAnsi"/>
          <w:i/>
          <w:iCs/>
          <w:szCs w:val="18"/>
          <w:lang w:val="en-US"/>
        </w:rPr>
        <w:t xml:space="preserve">kills </w:t>
      </w:r>
      <w:r w:rsidRPr="007A73AB">
        <w:rPr>
          <w:rFonts w:cstheme="minorHAnsi"/>
          <w:i/>
          <w:iCs/>
          <w:szCs w:val="18"/>
          <w:lang w:val="en-US"/>
        </w:rPr>
        <w:t>G</w:t>
      </w:r>
      <w:r w:rsidR="0030027E" w:rsidRPr="007A73AB">
        <w:rPr>
          <w:rFonts w:cstheme="minorHAnsi"/>
          <w:i/>
          <w:iCs/>
          <w:szCs w:val="18"/>
          <w:lang w:val="en-US"/>
        </w:rPr>
        <w:t>uarantee</w:t>
      </w:r>
      <w:r w:rsidRPr="007A73AB">
        <w:rPr>
          <w:rFonts w:cstheme="minorHAnsi"/>
          <w:i/>
          <w:iCs/>
          <w:szCs w:val="18"/>
          <w:lang w:val="en-US"/>
        </w:rPr>
        <w:t xml:space="preserve"> Policy Statement</w:t>
      </w:r>
      <w:r w:rsidRPr="007A73AB">
        <w:rPr>
          <w:rFonts w:cstheme="minorHAnsi"/>
          <w:szCs w:val="18"/>
          <w:lang w:val="en-US"/>
        </w:rPr>
        <w:t xml:space="preserve"> at </w:t>
      </w:r>
      <w:hyperlink r:id="rId23" w:history="1">
        <w:r w:rsidRPr="007A73AB">
          <w:rPr>
            <w:rStyle w:val="Hyperlink"/>
            <w:rFonts w:cstheme="minorHAnsi"/>
            <w:szCs w:val="18"/>
            <w:lang w:val="en-US"/>
          </w:rPr>
          <w:t>https://localjobsfirst.vic.gov.au/key-documents</w:t>
        </w:r>
      </w:hyperlink>
      <w:r w:rsidRPr="007A73AB">
        <w:rPr>
          <w:rFonts w:cstheme="minorHAnsi"/>
          <w:szCs w:val="18"/>
          <w:lang w:val="en-US"/>
        </w:rPr>
        <w:t>.</w:t>
      </w:r>
    </w:p>
    <w:p w14:paraId="10D007F6" w14:textId="77777777" w:rsidR="00045AFA" w:rsidRDefault="00045AFA" w:rsidP="00A85BA7">
      <w:pPr>
        <w:spacing w:before="0" w:after="0"/>
        <w:jc w:val="both"/>
      </w:pPr>
    </w:p>
    <w:p w14:paraId="01F334B5" w14:textId="28CC3F12" w:rsidR="00045AFA" w:rsidRDefault="005678F6" w:rsidP="00A85BA7">
      <w:pPr>
        <w:spacing w:before="0" w:after="0"/>
        <w:jc w:val="both"/>
      </w:pPr>
      <w:r>
        <w:t>Under s</w:t>
      </w:r>
      <w:r w:rsidR="008F5257" w:rsidRPr="00042ADB">
        <w:t xml:space="preserve">ection 7C </w:t>
      </w:r>
      <w:r w:rsidR="008F5257">
        <w:t xml:space="preserve">of the </w:t>
      </w:r>
      <w:r w:rsidR="00274439">
        <w:rPr>
          <w:iCs/>
        </w:rPr>
        <w:t>Act</w:t>
      </w:r>
      <w:r w:rsidR="008F5257" w:rsidRPr="000D7EE9">
        <w:t xml:space="preserve"> </w:t>
      </w:r>
      <w:r w:rsidR="008F5257" w:rsidRPr="00042ADB">
        <w:t xml:space="preserve">the MPSG applies to </w:t>
      </w:r>
      <w:r w:rsidR="0085017C">
        <w:t>S</w:t>
      </w:r>
      <w:r w:rsidR="008F5257" w:rsidRPr="00042ADB">
        <w:t xml:space="preserve">tandard </w:t>
      </w:r>
      <w:r w:rsidR="0085017C">
        <w:t>P</w:t>
      </w:r>
      <w:r w:rsidR="008F5257" w:rsidRPr="00042ADB">
        <w:t xml:space="preserve">rojects that are construction projects with a budget of $20 million or more and </w:t>
      </w:r>
      <w:r w:rsidR="009061E5">
        <w:t>S</w:t>
      </w:r>
      <w:r w:rsidR="008F5257" w:rsidRPr="00042ADB">
        <w:t xml:space="preserve">trategic </w:t>
      </w:r>
      <w:r w:rsidR="009061E5">
        <w:t>P</w:t>
      </w:r>
      <w:r w:rsidR="008F5257" w:rsidRPr="00042ADB">
        <w:t>rojects that are construction projects.</w:t>
      </w:r>
    </w:p>
    <w:p w14:paraId="4714E4AF" w14:textId="77777777" w:rsidR="001F7A30" w:rsidRDefault="001F7A30" w:rsidP="00A85BA7">
      <w:pPr>
        <w:spacing w:before="0" w:after="0"/>
        <w:jc w:val="both"/>
      </w:pPr>
    </w:p>
    <w:p w14:paraId="62BC3C53" w14:textId="0F6487B4" w:rsidR="008F5257" w:rsidRPr="000A0C98" w:rsidRDefault="001F7A30" w:rsidP="00A85BA7">
      <w:pPr>
        <w:spacing w:before="0" w:after="0"/>
        <w:jc w:val="both"/>
      </w:pPr>
      <w:r w:rsidRPr="000210EA">
        <w:t>If your p</w:t>
      </w:r>
      <w:r w:rsidRPr="001077F1">
        <w:t>roject is</w:t>
      </w:r>
      <w:r w:rsidR="00592B43" w:rsidRPr="001077F1">
        <w:t xml:space="preserve"> MPSG-applicable, </w:t>
      </w:r>
      <w:r w:rsidR="00A10B9B" w:rsidRPr="001077F1">
        <w:t xml:space="preserve">please </w:t>
      </w:r>
      <w:r w:rsidR="00592B43" w:rsidRPr="001077F1">
        <w:t>refer to</w:t>
      </w:r>
      <w:r w:rsidR="00175C7E">
        <w:t xml:space="preserve"> </w:t>
      </w:r>
      <w:hyperlink w:anchor="_Additional_Guidance_for_2" w:history="1">
        <w:r w:rsidR="00175C7E" w:rsidRPr="00175C7E">
          <w:rPr>
            <w:rStyle w:val="Hyperlink"/>
          </w:rPr>
          <w:t>Additional Guidance for Major Projects Skills Guarantee (MPSG) Projects</w:t>
        </w:r>
      </w:hyperlink>
      <w:r w:rsidR="00175C7E">
        <w:t xml:space="preserve"> </w:t>
      </w:r>
      <w:r w:rsidR="00592B43" w:rsidRPr="000210EA">
        <w:t>for</w:t>
      </w:r>
      <w:r w:rsidR="00592B43" w:rsidRPr="001077F1">
        <w:t xml:space="preserve"> important </w:t>
      </w:r>
      <w:r w:rsidR="002E53DF" w:rsidRPr="001077F1">
        <w:t xml:space="preserve">further </w:t>
      </w:r>
      <w:r w:rsidR="00592B43" w:rsidRPr="001077F1">
        <w:t>information.</w:t>
      </w:r>
      <w:r w:rsidR="002E53DF" w:rsidRPr="002E53DF">
        <w:t xml:space="preserve"> This includes</w:t>
      </w:r>
      <w:r w:rsidR="00BD651E">
        <w:t xml:space="preserve"> how MPSG </w:t>
      </w:r>
      <w:r w:rsidR="002E53DF" w:rsidRPr="002E53DF">
        <w:t>commitments</w:t>
      </w:r>
      <w:r w:rsidR="00BD651E">
        <w:t xml:space="preserve"> are calculated</w:t>
      </w:r>
      <w:r w:rsidR="002E53DF" w:rsidRPr="002E53DF">
        <w:t xml:space="preserve"> in the LIDP, and detailed information about eligible </w:t>
      </w:r>
      <w:r w:rsidR="00457D11">
        <w:t>ATCs</w:t>
      </w:r>
      <w:r w:rsidR="002E53DF" w:rsidRPr="002E53DF">
        <w:t xml:space="preserve"> and eligible labour hours.</w:t>
      </w:r>
    </w:p>
    <w:p w14:paraId="6D90DF41" w14:textId="47CE8E24" w:rsidR="00D41A9A" w:rsidRPr="00042ADB" w:rsidRDefault="002A6E45" w:rsidP="00DD69E1">
      <w:pPr>
        <w:pStyle w:val="Heading2"/>
        <w:ind w:left="578" w:hanging="578"/>
        <w:jc w:val="both"/>
        <w:rPr>
          <w:sz w:val="24"/>
          <w:szCs w:val="24"/>
        </w:rPr>
      </w:pPr>
      <w:bookmarkStart w:id="578" w:name="_Toc110586507"/>
      <w:bookmarkStart w:id="579" w:name="_Toc207867993"/>
      <w:r w:rsidRPr="00042ADB">
        <w:rPr>
          <w:sz w:val="24"/>
          <w:szCs w:val="24"/>
        </w:rPr>
        <w:t xml:space="preserve">Step 2 - </w:t>
      </w:r>
      <w:r w:rsidR="00D41A9A" w:rsidRPr="00042ADB">
        <w:rPr>
          <w:sz w:val="24"/>
          <w:szCs w:val="24"/>
        </w:rPr>
        <w:t>Prepare and submit L</w:t>
      </w:r>
      <w:r w:rsidR="00AE3E12" w:rsidRPr="00042ADB">
        <w:rPr>
          <w:sz w:val="24"/>
          <w:szCs w:val="24"/>
        </w:rPr>
        <w:t>ocal Industry Development P</w:t>
      </w:r>
      <w:r w:rsidR="00A46074" w:rsidRPr="00042ADB">
        <w:rPr>
          <w:sz w:val="24"/>
          <w:szCs w:val="24"/>
        </w:rPr>
        <w:t>l</w:t>
      </w:r>
      <w:r w:rsidR="00AE3E12" w:rsidRPr="00042ADB">
        <w:rPr>
          <w:sz w:val="24"/>
          <w:szCs w:val="24"/>
        </w:rPr>
        <w:t>an</w:t>
      </w:r>
      <w:r w:rsidR="00A46074" w:rsidRPr="00042ADB">
        <w:rPr>
          <w:sz w:val="24"/>
          <w:szCs w:val="24"/>
        </w:rPr>
        <w:t xml:space="preserve"> (L</w:t>
      </w:r>
      <w:r w:rsidR="00D41A9A" w:rsidRPr="00042ADB">
        <w:rPr>
          <w:sz w:val="24"/>
          <w:szCs w:val="24"/>
        </w:rPr>
        <w:t>IDP</w:t>
      </w:r>
      <w:r w:rsidR="00A46074" w:rsidRPr="00042ADB">
        <w:rPr>
          <w:sz w:val="24"/>
          <w:szCs w:val="24"/>
        </w:rPr>
        <w:t>)</w:t>
      </w:r>
      <w:r w:rsidR="00D41A9A" w:rsidRPr="00042ADB">
        <w:rPr>
          <w:sz w:val="24"/>
          <w:szCs w:val="24"/>
        </w:rPr>
        <w:t xml:space="preserve"> in consultation with ICN</w:t>
      </w:r>
      <w:bookmarkEnd w:id="578"/>
      <w:bookmarkEnd w:id="579"/>
    </w:p>
    <w:p w14:paraId="2E7A790E" w14:textId="236F86FE" w:rsidR="0072444B" w:rsidRDefault="0072444B" w:rsidP="00A85BA7">
      <w:pPr>
        <w:spacing w:before="0"/>
        <w:jc w:val="both"/>
      </w:pPr>
      <w:r>
        <w:rPr>
          <w:rFonts w:cs="Arial"/>
        </w:rPr>
        <w:t>Under the</w:t>
      </w:r>
      <w:r w:rsidRPr="00441BE2">
        <w:rPr>
          <w:rFonts w:cs="Arial"/>
          <w:i/>
          <w:iCs/>
        </w:rPr>
        <w:t xml:space="preserve"> </w:t>
      </w:r>
      <w:r w:rsidR="00D13CF6">
        <w:rPr>
          <w:rFonts w:cs="Arial"/>
        </w:rPr>
        <w:t>Act</w:t>
      </w:r>
      <w:r>
        <w:rPr>
          <w:rFonts w:cs="Arial"/>
        </w:rPr>
        <w:t xml:space="preserve">, </w:t>
      </w:r>
      <w:r w:rsidR="00834F59">
        <w:t>LJF</w:t>
      </w:r>
      <w:r>
        <w:t xml:space="preserve"> commitments are</w:t>
      </w:r>
      <w:r w:rsidRPr="00441BE2">
        <w:t xml:space="preserve"> </w:t>
      </w:r>
      <w:r>
        <w:t xml:space="preserve">weighted </w:t>
      </w:r>
      <w:r w:rsidR="005958AE">
        <w:t>as part of</w:t>
      </w:r>
      <w:r w:rsidR="00436240">
        <w:t xml:space="preserve"> the</w:t>
      </w:r>
      <w:r>
        <w:t xml:space="preserve"> tender evaluation</w:t>
      </w:r>
      <w:r w:rsidRPr="00441BE2">
        <w:t>.</w:t>
      </w:r>
    </w:p>
    <w:p w14:paraId="461DF24E" w14:textId="089A96B1" w:rsidR="00534507" w:rsidRDefault="006F44C2" w:rsidP="00A85BA7">
      <w:pPr>
        <w:spacing w:before="0"/>
        <w:jc w:val="both"/>
        <w:rPr>
          <w:rFonts w:cs="Arial"/>
        </w:rPr>
      </w:pPr>
      <w:r>
        <w:rPr>
          <w:rFonts w:cs="Arial"/>
        </w:rPr>
        <w:t>All b</w:t>
      </w:r>
      <w:r w:rsidR="007A3B81">
        <w:rPr>
          <w:rFonts w:cs="Arial"/>
        </w:rPr>
        <w:t>idders must submit a</w:t>
      </w:r>
      <w:r w:rsidR="007A3B81" w:rsidRPr="0024377E">
        <w:rPr>
          <w:rFonts w:cs="Arial"/>
        </w:rPr>
        <w:t xml:space="preserve"> </w:t>
      </w:r>
      <w:r w:rsidR="007A3B81">
        <w:rPr>
          <w:rFonts w:cs="Arial"/>
        </w:rPr>
        <w:t>compliant LIDP</w:t>
      </w:r>
      <w:r w:rsidR="007A3B81" w:rsidRPr="0024377E">
        <w:rPr>
          <w:rFonts w:cs="Arial"/>
        </w:rPr>
        <w:t xml:space="preserve"> </w:t>
      </w:r>
      <w:r w:rsidR="007A3B81">
        <w:rPr>
          <w:rFonts w:cs="Arial"/>
        </w:rPr>
        <w:t xml:space="preserve">and ICN Acknowledgement Letter to the agency </w:t>
      </w:r>
      <w:r w:rsidR="007A3B81" w:rsidRPr="00086288">
        <w:rPr>
          <w:rFonts w:cs="Arial"/>
        </w:rPr>
        <w:t>as part</w:t>
      </w:r>
      <w:r w:rsidR="007A3B81" w:rsidRPr="00350D38">
        <w:rPr>
          <w:rFonts w:cs="Arial"/>
          <w:szCs w:val="18"/>
        </w:rPr>
        <w:t xml:space="preserve"> of the tender document</w:t>
      </w:r>
      <w:r w:rsidR="002A1606">
        <w:rPr>
          <w:rFonts w:cs="Arial"/>
          <w:szCs w:val="18"/>
        </w:rPr>
        <w:t>ation</w:t>
      </w:r>
      <w:r w:rsidR="007A3B81" w:rsidRPr="0024377E">
        <w:rPr>
          <w:rFonts w:cs="Arial"/>
        </w:rPr>
        <w:t xml:space="preserve"> for any project subject </w:t>
      </w:r>
      <w:r w:rsidR="007A3B81" w:rsidRPr="0058517D">
        <w:rPr>
          <w:rFonts w:cs="Arial"/>
        </w:rPr>
        <w:t>to LJF.</w:t>
      </w:r>
      <w:r w:rsidR="007A3B81">
        <w:rPr>
          <w:rFonts w:cs="Arial"/>
        </w:rPr>
        <w:t xml:space="preserve"> </w:t>
      </w:r>
      <w:r w:rsidR="007A3B81" w:rsidRPr="002E63A2">
        <w:rPr>
          <w:rFonts w:cs="Arial"/>
        </w:rPr>
        <w:t>The LIDP is an online form</w:t>
      </w:r>
      <w:r w:rsidR="007A3B81">
        <w:rPr>
          <w:rFonts w:cs="Arial"/>
        </w:rPr>
        <w:t>, which</w:t>
      </w:r>
      <w:r w:rsidR="007A3B81" w:rsidRPr="002E63A2">
        <w:rPr>
          <w:rFonts w:cs="Arial"/>
        </w:rPr>
        <w:t xml:space="preserve"> </w:t>
      </w:r>
      <w:r w:rsidR="007A3B81">
        <w:rPr>
          <w:rFonts w:cs="Arial"/>
        </w:rPr>
        <w:t>b</w:t>
      </w:r>
      <w:r w:rsidR="007A3B81" w:rsidRPr="007C5FF4">
        <w:rPr>
          <w:rFonts w:cs="Arial"/>
        </w:rPr>
        <w:t xml:space="preserve">idders submit </w:t>
      </w:r>
      <w:r w:rsidR="007A3B81">
        <w:rPr>
          <w:rFonts w:cs="Arial"/>
        </w:rPr>
        <w:t xml:space="preserve">to the ICN </w:t>
      </w:r>
      <w:r w:rsidR="007A3B81" w:rsidRPr="007C5FF4">
        <w:rPr>
          <w:rFonts w:cs="Arial"/>
        </w:rPr>
        <w:t xml:space="preserve">through the </w:t>
      </w:r>
      <w:hyperlink r:id="rId24" w:history="1">
        <w:r w:rsidR="007A3B81" w:rsidRPr="00B93A4A">
          <w:rPr>
            <w:rStyle w:val="Hyperlink"/>
            <w:rFonts w:cs="Arial"/>
          </w:rPr>
          <w:t>VMC</w:t>
        </w:r>
      </w:hyperlink>
      <w:r w:rsidR="007A3B81">
        <w:t>.</w:t>
      </w:r>
      <w:r w:rsidR="007A3B81">
        <w:rPr>
          <w:rFonts w:cs="Arial"/>
        </w:rPr>
        <w:t xml:space="preserve"> </w:t>
      </w:r>
      <w:r w:rsidR="007A3B81" w:rsidRPr="00845D38">
        <w:rPr>
          <w:rFonts w:cs="Arial"/>
        </w:rPr>
        <w:t>The ICN will issue an Acknowledgement Letter to a bidder via email</w:t>
      </w:r>
      <w:r w:rsidR="007A3B81" w:rsidRPr="00F3697B">
        <w:rPr>
          <w:rFonts w:cs="Arial"/>
        </w:rPr>
        <w:t xml:space="preserve"> if the LIDP has been completed properly and submitted on time.</w:t>
      </w:r>
    </w:p>
    <w:p w14:paraId="5E2419FA" w14:textId="2D93C4AA" w:rsidR="00D41A9A" w:rsidRDefault="007A3B81" w:rsidP="00A85BA7">
      <w:pPr>
        <w:shd w:val="pct5" w:color="auto" w:fill="auto"/>
        <w:spacing w:before="0"/>
        <w:jc w:val="both"/>
        <w:rPr>
          <w:rFonts w:cs="Arial"/>
        </w:rPr>
      </w:pPr>
      <w:r w:rsidRPr="003A4712">
        <w:rPr>
          <w:rFonts w:cs="Arial"/>
          <w:b/>
          <w:bCs/>
        </w:rPr>
        <w:t>A tender proposal is not complete without an ICN Acknowledgement Letter</w:t>
      </w:r>
      <w:r>
        <w:rPr>
          <w:rFonts w:cs="Arial"/>
        </w:rPr>
        <w:t>.</w:t>
      </w:r>
      <w:r w:rsidR="00534507">
        <w:rPr>
          <w:rFonts w:cs="Arial"/>
        </w:rPr>
        <w:t xml:space="preserve"> </w:t>
      </w:r>
      <w:r w:rsidRPr="00AE74D9">
        <w:rPr>
          <w:rFonts w:cs="Arial"/>
        </w:rPr>
        <w:t>Only bidders with</w:t>
      </w:r>
      <w:r>
        <w:rPr>
          <w:rFonts w:cs="Arial"/>
        </w:rPr>
        <w:t xml:space="preserve"> an</w:t>
      </w:r>
      <w:r w:rsidRPr="00AE74D9">
        <w:rPr>
          <w:rFonts w:cs="Arial"/>
        </w:rPr>
        <w:t xml:space="preserve"> ICN </w:t>
      </w:r>
      <w:r>
        <w:rPr>
          <w:rFonts w:cs="Arial"/>
        </w:rPr>
        <w:t>acknowledged</w:t>
      </w:r>
      <w:r w:rsidRPr="00AE74D9">
        <w:rPr>
          <w:rFonts w:cs="Arial"/>
        </w:rPr>
        <w:t xml:space="preserve"> </w:t>
      </w:r>
      <w:r w:rsidRPr="00AB658B">
        <w:rPr>
          <w:rFonts w:cs="Arial"/>
        </w:rPr>
        <w:t xml:space="preserve">LIDP </w:t>
      </w:r>
      <w:r w:rsidRPr="00AE74D9">
        <w:rPr>
          <w:rFonts w:cs="Arial"/>
        </w:rPr>
        <w:t xml:space="preserve">may be considered by the </w:t>
      </w:r>
      <w:r>
        <w:rPr>
          <w:rFonts w:cs="Arial"/>
        </w:rPr>
        <w:t>agency during</w:t>
      </w:r>
      <w:r w:rsidRPr="00AE74D9">
        <w:rPr>
          <w:rFonts w:cs="Arial"/>
        </w:rPr>
        <w:t xml:space="preserve"> selecti</w:t>
      </w:r>
      <w:r>
        <w:rPr>
          <w:rFonts w:cs="Arial"/>
        </w:rPr>
        <w:t>on of</w:t>
      </w:r>
      <w:r w:rsidRPr="00AE74D9">
        <w:rPr>
          <w:rFonts w:cs="Arial"/>
        </w:rPr>
        <w:t xml:space="preserve"> the preferred </w:t>
      </w:r>
      <w:r>
        <w:rPr>
          <w:rFonts w:cs="Arial"/>
        </w:rPr>
        <w:t xml:space="preserve">bidder. </w:t>
      </w:r>
      <w:r w:rsidRPr="009D3C4C">
        <w:rPr>
          <w:rFonts w:cs="Arial"/>
        </w:rPr>
        <w:t xml:space="preserve">Failure to provide the Acknowledgement Letter </w:t>
      </w:r>
      <w:r w:rsidR="00FA06DC">
        <w:rPr>
          <w:rFonts w:cs="Arial"/>
        </w:rPr>
        <w:t>will</w:t>
      </w:r>
      <w:r w:rsidR="00FA06DC" w:rsidRPr="009D3C4C">
        <w:rPr>
          <w:rFonts w:cs="Arial"/>
        </w:rPr>
        <w:t xml:space="preserve"> </w:t>
      </w:r>
      <w:r w:rsidRPr="009D3C4C">
        <w:rPr>
          <w:rFonts w:cs="Arial"/>
        </w:rPr>
        <w:t>mean the end of the procurement process for the bidder.</w:t>
      </w:r>
    </w:p>
    <w:p w14:paraId="232236FA" w14:textId="4FBF75C5" w:rsidR="003A74C6" w:rsidRPr="00B36000" w:rsidRDefault="00395B66" w:rsidP="00A85BA7">
      <w:pPr>
        <w:jc w:val="both"/>
        <w:rPr>
          <w:rFonts w:cs="Arial"/>
        </w:rPr>
      </w:pPr>
      <w:r w:rsidRPr="009E7215">
        <w:rPr>
          <w:rFonts w:cs="Arial"/>
        </w:rPr>
        <w:t xml:space="preserve">Agencies </w:t>
      </w:r>
      <w:r w:rsidRPr="006468C7">
        <w:rPr>
          <w:rFonts w:cs="Arial"/>
        </w:rPr>
        <w:t xml:space="preserve">and </w:t>
      </w:r>
      <w:r w:rsidR="00FA06DC">
        <w:rPr>
          <w:rFonts w:cs="Arial"/>
        </w:rPr>
        <w:t>DJSIR</w:t>
      </w:r>
      <w:r w:rsidR="00FA06DC" w:rsidRPr="006468C7">
        <w:rPr>
          <w:rFonts w:cs="Arial"/>
        </w:rPr>
        <w:t xml:space="preserve"> </w:t>
      </w:r>
      <w:r>
        <w:rPr>
          <w:rFonts w:cs="Arial"/>
        </w:rPr>
        <w:t>have access to</w:t>
      </w:r>
      <w:r w:rsidRPr="004A0184">
        <w:rPr>
          <w:rFonts w:cs="Arial"/>
        </w:rPr>
        <w:t xml:space="preserve"> </w:t>
      </w:r>
      <w:r w:rsidRPr="00AD0A63">
        <w:rPr>
          <w:rFonts w:cs="Arial"/>
        </w:rPr>
        <w:t>the submitted LIDP</w:t>
      </w:r>
      <w:r w:rsidRPr="00170FF8">
        <w:rPr>
          <w:rFonts w:cs="Arial"/>
        </w:rPr>
        <w:t xml:space="preserve">s, </w:t>
      </w:r>
      <w:r>
        <w:rPr>
          <w:rFonts w:cs="Arial"/>
        </w:rPr>
        <w:t>Acknowledgement Letter</w:t>
      </w:r>
      <w:r w:rsidRPr="00722E9E">
        <w:rPr>
          <w:rFonts w:cs="Arial"/>
        </w:rPr>
        <w:t xml:space="preserve">s, </w:t>
      </w:r>
      <w:r>
        <w:rPr>
          <w:rFonts w:cs="Arial"/>
        </w:rPr>
        <w:t>contestability assessment</w:t>
      </w:r>
      <w:r w:rsidRPr="00722E9E">
        <w:rPr>
          <w:rFonts w:cs="Arial"/>
        </w:rPr>
        <w:t xml:space="preserve"> and </w:t>
      </w:r>
      <w:r>
        <w:rPr>
          <w:rFonts w:cs="Arial"/>
        </w:rPr>
        <w:t xml:space="preserve">the </w:t>
      </w:r>
      <w:r w:rsidRPr="00722E9E">
        <w:rPr>
          <w:rFonts w:cs="Arial"/>
        </w:rPr>
        <w:t xml:space="preserve">ICN </w:t>
      </w:r>
      <w:r w:rsidR="0074666E">
        <w:rPr>
          <w:rFonts w:cs="Arial"/>
          <w:szCs w:val="18"/>
        </w:rPr>
        <w:t>Achievability Rating</w:t>
      </w:r>
      <w:r>
        <w:rPr>
          <w:rFonts w:cs="Arial"/>
          <w:szCs w:val="18"/>
        </w:rPr>
        <w:t xml:space="preserve"> </w:t>
      </w:r>
      <w:r w:rsidR="00CF1594">
        <w:rPr>
          <w:rFonts w:cs="Arial"/>
          <w:szCs w:val="18"/>
        </w:rPr>
        <w:t>R</w:t>
      </w:r>
      <w:r>
        <w:rPr>
          <w:rFonts w:cs="Arial"/>
          <w:szCs w:val="18"/>
        </w:rPr>
        <w:t>eport</w:t>
      </w:r>
      <w:r w:rsidR="0074666E">
        <w:rPr>
          <w:rFonts w:cs="Arial"/>
          <w:szCs w:val="18"/>
        </w:rPr>
        <w:t xml:space="preserve"> (formerly the Risk Evaluation Report)</w:t>
      </w:r>
      <w:r w:rsidRPr="00A31BA5">
        <w:rPr>
          <w:rFonts w:cs="Arial"/>
          <w:szCs w:val="18"/>
        </w:rPr>
        <w:t xml:space="preserve"> </w:t>
      </w:r>
      <w:r w:rsidR="008210E8" w:rsidRPr="00C53BF0">
        <w:rPr>
          <w:rFonts w:cs="Arial"/>
        </w:rPr>
        <w:t>through the VMC.</w:t>
      </w:r>
    </w:p>
    <w:p w14:paraId="7BF541BF" w14:textId="77777777" w:rsidR="006829E3" w:rsidRDefault="006829E3" w:rsidP="00DD69E1">
      <w:pPr>
        <w:pStyle w:val="Heading3"/>
        <w:ind w:left="720"/>
        <w:jc w:val="both"/>
      </w:pPr>
      <w:r>
        <w:t>Importance of the LIDP</w:t>
      </w:r>
    </w:p>
    <w:p w14:paraId="0AE845F5" w14:textId="5F5E53A7" w:rsidR="006829E3" w:rsidRDefault="006829E3" w:rsidP="00DD69E1">
      <w:pPr>
        <w:pStyle w:val="bodycopy"/>
        <w:jc w:val="both"/>
        <w:rPr>
          <w:szCs w:val="18"/>
        </w:rPr>
      </w:pPr>
      <w:r w:rsidRPr="000210EA">
        <w:rPr>
          <w:szCs w:val="18"/>
        </w:rPr>
        <w:t>A</w:t>
      </w:r>
      <w:r w:rsidRPr="0069768B">
        <w:rPr>
          <w:szCs w:val="18"/>
        </w:rPr>
        <w:t xml:space="preserve">n LIDP outlines the supplier’s commitment to address the LJF requirements for the project and details the expected local content and job outcomes. </w:t>
      </w:r>
      <w:r w:rsidRPr="00042ADB">
        <w:rPr>
          <w:szCs w:val="18"/>
        </w:rPr>
        <w:t>The LIDP informs assessment of the 20 per cent LJF weighting during the tender process, and the preferred bidder’s LIDP is incorporated within the contract. The supplier must then comply with the LJF commitments contained within their LIDP and contract.</w:t>
      </w:r>
    </w:p>
    <w:p w14:paraId="5A206EEB" w14:textId="18EC88B9" w:rsidR="0090723F" w:rsidRDefault="0090723F" w:rsidP="00A85BA7">
      <w:pPr>
        <w:spacing w:before="0" w:after="0"/>
        <w:jc w:val="both"/>
        <w:rPr>
          <w:rFonts w:cs="Arial"/>
          <w:szCs w:val="18"/>
        </w:rPr>
      </w:pPr>
      <w:r w:rsidRPr="00086288">
        <w:rPr>
          <w:rFonts w:cs="Arial"/>
        </w:rPr>
        <w:t>A</w:t>
      </w:r>
      <w:r>
        <w:rPr>
          <w:rFonts w:cs="Arial"/>
        </w:rPr>
        <w:t>n</w:t>
      </w:r>
      <w:r w:rsidRPr="00086288">
        <w:rPr>
          <w:rFonts w:cs="Arial"/>
        </w:rPr>
        <w:t xml:space="preserve"> LIDP must reflect the size and complexity of the project. </w:t>
      </w:r>
      <w:r w:rsidRPr="00350D38">
        <w:rPr>
          <w:rFonts w:cs="Arial"/>
          <w:szCs w:val="18"/>
        </w:rPr>
        <w:t>Information</w:t>
      </w:r>
      <w:r>
        <w:rPr>
          <w:rFonts w:cs="Arial"/>
          <w:szCs w:val="18"/>
        </w:rPr>
        <w:t xml:space="preserve"> required </w:t>
      </w:r>
      <w:r w:rsidRPr="00350D38">
        <w:rPr>
          <w:rFonts w:cs="Arial"/>
          <w:szCs w:val="18"/>
        </w:rPr>
        <w:t>in the LIDP</w:t>
      </w:r>
      <w:r>
        <w:rPr>
          <w:rFonts w:cs="Arial"/>
          <w:szCs w:val="18"/>
        </w:rPr>
        <w:t xml:space="preserve"> will be contingent on the size and type of the project. Broadly, it will include information on:</w:t>
      </w:r>
    </w:p>
    <w:p w14:paraId="294C0138" w14:textId="77777777" w:rsidR="0090723F" w:rsidRPr="00441BE2" w:rsidRDefault="0090723F" w:rsidP="00A85BA7">
      <w:pPr>
        <w:spacing w:before="0" w:after="0"/>
        <w:ind w:left="354"/>
        <w:jc w:val="both"/>
        <w:rPr>
          <w:rFonts w:cs="Arial"/>
          <w:szCs w:val="18"/>
        </w:rPr>
      </w:pPr>
    </w:p>
    <w:p w14:paraId="63D77EA2" w14:textId="1022B006" w:rsidR="0090723F" w:rsidRPr="00441BE2" w:rsidRDefault="0090723F" w:rsidP="00DD69E1">
      <w:pPr>
        <w:pStyle w:val="ListParagraph"/>
        <w:numPr>
          <w:ilvl w:val="0"/>
          <w:numId w:val="20"/>
        </w:numPr>
        <w:ind w:left="357" w:hanging="357"/>
        <w:jc w:val="both"/>
        <w:rPr>
          <w:rFonts w:ascii="VIC" w:hAnsi="VIC" w:cstheme="minorHAnsi"/>
          <w:sz w:val="18"/>
          <w:szCs w:val="18"/>
        </w:rPr>
      </w:pPr>
      <w:r w:rsidRPr="00441BE2">
        <w:rPr>
          <w:rFonts w:ascii="VIC" w:hAnsi="VIC" w:cstheme="minorHAnsi"/>
          <w:b/>
          <w:bCs/>
          <w:sz w:val="18"/>
          <w:szCs w:val="18"/>
        </w:rPr>
        <w:t>industry development commitments</w:t>
      </w:r>
      <w:r w:rsidRPr="00441BE2">
        <w:rPr>
          <w:rFonts w:ascii="VIC" w:hAnsi="VIC" w:cstheme="minorHAnsi"/>
          <w:sz w:val="18"/>
          <w:szCs w:val="18"/>
        </w:rPr>
        <w:t xml:space="preserve"> (Victorian Industry Participation Policy (VIPP) commitments</w:t>
      </w:r>
      <w:r w:rsidR="00394658">
        <w:rPr>
          <w:rFonts w:ascii="VIC" w:hAnsi="VIC" w:cstheme="minorHAnsi"/>
          <w:sz w:val="18"/>
          <w:szCs w:val="18"/>
        </w:rPr>
        <w:t>),</w:t>
      </w:r>
      <w:r w:rsidRPr="00441BE2">
        <w:rPr>
          <w:rFonts w:ascii="VIC" w:hAnsi="VIC" w:cstheme="minorHAnsi"/>
          <w:sz w:val="18"/>
          <w:szCs w:val="18"/>
        </w:rPr>
        <w:t xml:space="preserve"> </w:t>
      </w:r>
      <w:r w:rsidR="00BF1DE4">
        <w:rPr>
          <w:rFonts w:ascii="VIC" w:hAnsi="VIC" w:cstheme="minorHAnsi"/>
          <w:sz w:val="18"/>
          <w:szCs w:val="18"/>
        </w:rPr>
        <w:t xml:space="preserve">for example, </w:t>
      </w:r>
      <w:r w:rsidRPr="00441BE2">
        <w:rPr>
          <w:rFonts w:ascii="VIC" w:hAnsi="VIC" w:cstheme="minorHAnsi"/>
          <w:sz w:val="18"/>
          <w:szCs w:val="18"/>
        </w:rPr>
        <w:t>local content, technology transfer, supply chain engagement)</w:t>
      </w:r>
    </w:p>
    <w:p w14:paraId="5D21FD05" w14:textId="0593C45A" w:rsidR="0090723F" w:rsidRPr="00441BE2" w:rsidRDefault="0090723F" w:rsidP="00DD69E1">
      <w:pPr>
        <w:pStyle w:val="ListParagraph"/>
        <w:numPr>
          <w:ilvl w:val="0"/>
          <w:numId w:val="20"/>
        </w:numPr>
        <w:ind w:left="357" w:hanging="357"/>
        <w:jc w:val="both"/>
        <w:rPr>
          <w:rFonts w:ascii="VIC" w:hAnsi="VIC" w:cstheme="minorHAnsi"/>
          <w:sz w:val="18"/>
          <w:szCs w:val="18"/>
        </w:rPr>
      </w:pPr>
      <w:r w:rsidRPr="00441BE2">
        <w:rPr>
          <w:rFonts w:ascii="VIC" w:hAnsi="VIC" w:cstheme="minorHAnsi"/>
          <w:b/>
          <w:bCs/>
          <w:sz w:val="18"/>
          <w:szCs w:val="18"/>
        </w:rPr>
        <w:t>job outcomes commitments</w:t>
      </w:r>
      <w:r w:rsidRPr="00441BE2">
        <w:rPr>
          <w:rFonts w:ascii="VIC" w:hAnsi="VIC" w:cstheme="minorHAnsi"/>
          <w:sz w:val="18"/>
          <w:szCs w:val="18"/>
        </w:rPr>
        <w:t xml:space="preserve"> (new and retained jobs, training), including MPSG commitments where applicable (opportunities for </w:t>
      </w:r>
      <w:r w:rsidR="00457D11">
        <w:rPr>
          <w:rFonts w:ascii="VIC" w:hAnsi="VIC" w:cstheme="minorHAnsi"/>
          <w:sz w:val="18"/>
          <w:szCs w:val="18"/>
        </w:rPr>
        <w:t>ATCs</w:t>
      </w:r>
      <w:r w:rsidRPr="00441BE2">
        <w:rPr>
          <w:rFonts w:ascii="VIC" w:hAnsi="VIC" w:cstheme="minorHAnsi"/>
          <w:sz w:val="18"/>
          <w:szCs w:val="18"/>
        </w:rPr>
        <w:t>)</w:t>
      </w:r>
    </w:p>
    <w:p w14:paraId="7BF47F6E" w14:textId="77777777" w:rsidR="0090723F" w:rsidRPr="00441BE2" w:rsidRDefault="0090723F" w:rsidP="00DD69E1">
      <w:pPr>
        <w:pStyle w:val="ListParagraph"/>
        <w:numPr>
          <w:ilvl w:val="0"/>
          <w:numId w:val="20"/>
        </w:numPr>
        <w:ind w:left="357" w:hanging="357"/>
        <w:jc w:val="both"/>
        <w:rPr>
          <w:rFonts w:ascii="VIC" w:hAnsi="VIC" w:cstheme="minorHAnsi"/>
          <w:sz w:val="18"/>
          <w:szCs w:val="18"/>
        </w:rPr>
      </w:pPr>
      <w:r w:rsidRPr="00441BE2">
        <w:rPr>
          <w:rFonts w:ascii="VIC" w:hAnsi="VIC" w:cstheme="minorHAnsi"/>
          <w:b/>
          <w:bCs/>
          <w:sz w:val="18"/>
          <w:szCs w:val="18"/>
        </w:rPr>
        <w:t>how the LIDP will be implemented</w:t>
      </w:r>
      <w:r w:rsidRPr="00441BE2">
        <w:rPr>
          <w:rFonts w:ascii="VIC" w:hAnsi="VIC" w:cstheme="minorHAnsi"/>
          <w:sz w:val="18"/>
          <w:szCs w:val="18"/>
        </w:rPr>
        <w:t xml:space="preserve"> and management of risks, including industry engagement strategies and selection and benchmarking of local content</w:t>
      </w:r>
    </w:p>
    <w:p w14:paraId="6DC99E43" w14:textId="77777777" w:rsidR="0090723F" w:rsidRPr="00441BE2" w:rsidRDefault="0090723F" w:rsidP="00DD69E1">
      <w:pPr>
        <w:pStyle w:val="ListParagraph"/>
        <w:numPr>
          <w:ilvl w:val="0"/>
          <w:numId w:val="20"/>
        </w:numPr>
        <w:ind w:left="357" w:hanging="357"/>
        <w:jc w:val="both"/>
        <w:rPr>
          <w:rFonts w:ascii="VIC" w:hAnsi="VIC" w:cstheme="minorHAnsi"/>
          <w:sz w:val="18"/>
          <w:szCs w:val="18"/>
        </w:rPr>
      </w:pPr>
      <w:r w:rsidRPr="00441BE2">
        <w:rPr>
          <w:rFonts w:ascii="VIC" w:hAnsi="VIC" w:cstheme="minorHAnsi"/>
          <w:b/>
          <w:bCs/>
          <w:sz w:val="18"/>
          <w:szCs w:val="18"/>
        </w:rPr>
        <w:t>monitoring and reporting requirements</w:t>
      </w:r>
      <w:r w:rsidRPr="00441BE2">
        <w:rPr>
          <w:rFonts w:ascii="VIC" w:hAnsi="VIC" w:cstheme="minorHAnsi"/>
          <w:sz w:val="18"/>
          <w:szCs w:val="18"/>
        </w:rPr>
        <w:t>, including those to be delivered as part of normal project management procedures</w:t>
      </w:r>
    </w:p>
    <w:p w14:paraId="0A2F75FF" w14:textId="77777777" w:rsidR="00427887" w:rsidRPr="00DD69E1" w:rsidRDefault="0090723F" w:rsidP="00DD69E1">
      <w:pPr>
        <w:pStyle w:val="ListParagraph"/>
        <w:numPr>
          <w:ilvl w:val="0"/>
          <w:numId w:val="20"/>
        </w:numPr>
        <w:ind w:left="357" w:hanging="357"/>
        <w:jc w:val="both"/>
        <w:rPr>
          <w:rFonts w:cstheme="minorHAnsi"/>
          <w:b/>
          <w:bCs/>
          <w:szCs w:val="18"/>
        </w:rPr>
      </w:pPr>
      <w:r w:rsidRPr="00DD69E1">
        <w:rPr>
          <w:rFonts w:ascii="VIC" w:hAnsi="VIC" w:cstheme="minorHAnsi"/>
          <w:sz w:val="18"/>
          <w:szCs w:val="18"/>
        </w:rPr>
        <w:t xml:space="preserve">the </w:t>
      </w:r>
      <w:r w:rsidR="002C41ED" w:rsidRPr="00DD69E1">
        <w:rPr>
          <w:rFonts w:ascii="VIC" w:hAnsi="VIC" w:cstheme="minorHAnsi"/>
          <w:sz w:val="18"/>
          <w:szCs w:val="18"/>
        </w:rPr>
        <w:t>number</w:t>
      </w:r>
      <w:r w:rsidRPr="00DD69E1">
        <w:rPr>
          <w:rFonts w:ascii="VIC" w:hAnsi="VIC" w:cstheme="minorHAnsi"/>
          <w:sz w:val="18"/>
          <w:szCs w:val="18"/>
        </w:rPr>
        <w:t xml:space="preserve"> of</w:t>
      </w:r>
      <w:r w:rsidRPr="00042ADB">
        <w:rPr>
          <w:rFonts w:ascii="VIC" w:hAnsi="VIC" w:cstheme="minorHAnsi"/>
          <w:b/>
          <w:bCs/>
          <w:sz w:val="18"/>
          <w:szCs w:val="18"/>
        </w:rPr>
        <w:t xml:space="preserve"> </w:t>
      </w:r>
      <w:r w:rsidRPr="00543782">
        <w:rPr>
          <w:rFonts w:ascii="VIC" w:hAnsi="VIC" w:cstheme="minorHAnsi"/>
          <w:b/>
          <w:bCs/>
          <w:sz w:val="18"/>
          <w:szCs w:val="18"/>
        </w:rPr>
        <w:t xml:space="preserve">SMEs </w:t>
      </w:r>
      <w:r w:rsidRPr="00DD69E1">
        <w:rPr>
          <w:rFonts w:ascii="VIC" w:hAnsi="VIC" w:cstheme="minorHAnsi"/>
          <w:b/>
          <w:bCs/>
          <w:sz w:val="18"/>
          <w:szCs w:val="18"/>
        </w:rPr>
        <w:t>that will be engaged</w:t>
      </w:r>
      <w:r w:rsidRPr="00042ADB">
        <w:rPr>
          <w:rFonts w:ascii="VIC" w:hAnsi="VIC" w:cstheme="minorHAnsi"/>
          <w:sz w:val="18"/>
          <w:szCs w:val="18"/>
        </w:rPr>
        <w:t xml:space="preserve"> as part of the contract</w:t>
      </w:r>
    </w:p>
    <w:p w14:paraId="4332E156" w14:textId="008BC48D" w:rsidR="00D05FA4" w:rsidRPr="00C01359" w:rsidRDefault="00427887" w:rsidP="00066FB4">
      <w:pPr>
        <w:pStyle w:val="ListParagraph"/>
        <w:numPr>
          <w:ilvl w:val="0"/>
          <w:numId w:val="20"/>
        </w:numPr>
        <w:ind w:left="357" w:hanging="357"/>
        <w:jc w:val="both"/>
        <w:rPr>
          <w:rFonts w:cstheme="minorHAnsi"/>
          <w:szCs w:val="18"/>
          <w:lang w:val="en-US"/>
        </w:rPr>
      </w:pPr>
      <w:r>
        <w:rPr>
          <w:rFonts w:ascii="VIC" w:hAnsi="VIC" w:cstheme="minorHAnsi"/>
          <w:b/>
          <w:bCs/>
          <w:sz w:val="18"/>
          <w:szCs w:val="18"/>
        </w:rPr>
        <w:t xml:space="preserve">any other commitments in relation to requirements or conditions </w:t>
      </w:r>
      <w:r>
        <w:rPr>
          <w:rFonts w:ascii="VIC" w:hAnsi="VIC" w:cstheme="minorHAnsi"/>
          <w:sz w:val="18"/>
          <w:szCs w:val="18"/>
        </w:rPr>
        <w:t xml:space="preserve">set by the </w:t>
      </w:r>
      <w:r w:rsidR="00345084">
        <w:rPr>
          <w:rFonts w:ascii="VIC" w:hAnsi="VIC" w:cstheme="minorHAnsi"/>
          <w:sz w:val="18"/>
          <w:szCs w:val="18"/>
        </w:rPr>
        <w:t>M</w:t>
      </w:r>
      <w:r>
        <w:rPr>
          <w:rFonts w:ascii="VIC" w:hAnsi="VIC" w:cstheme="minorHAnsi"/>
          <w:sz w:val="18"/>
          <w:szCs w:val="18"/>
        </w:rPr>
        <w:t>inister responsible for LJF in relation to the project</w:t>
      </w:r>
      <w:r w:rsidR="0090723F" w:rsidRPr="00042ADB">
        <w:rPr>
          <w:rFonts w:ascii="VIC" w:hAnsi="VIC" w:cstheme="minorHAnsi"/>
          <w:sz w:val="18"/>
          <w:szCs w:val="18"/>
        </w:rPr>
        <w:t>.</w:t>
      </w:r>
    </w:p>
    <w:p w14:paraId="4A9EBA4F" w14:textId="2B2BB14A" w:rsidR="00FD6E5A" w:rsidRDefault="00FD6E5A" w:rsidP="00DD69E1">
      <w:pPr>
        <w:pStyle w:val="Heading3"/>
        <w:ind w:left="720"/>
        <w:jc w:val="both"/>
      </w:pPr>
      <w:bookmarkStart w:id="580" w:name="_Toc104558165"/>
      <w:bookmarkStart w:id="581" w:name="_Toc110586023"/>
      <w:bookmarkStart w:id="582" w:name="_Toc104558166"/>
      <w:bookmarkStart w:id="583" w:name="_Toc110586024"/>
      <w:bookmarkStart w:id="584" w:name="_Toc104558167"/>
      <w:bookmarkStart w:id="585" w:name="_Toc110586025"/>
      <w:bookmarkStart w:id="586" w:name="_Toc104558168"/>
      <w:bookmarkStart w:id="587" w:name="_Toc110586026"/>
      <w:bookmarkStart w:id="588" w:name="_Toc104558169"/>
      <w:bookmarkStart w:id="589" w:name="_Toc110586027"/>
      <w:bookmarkStart w:id="590" w:name="_Toc104558170"/>
      <w:bookmarkStart w:id="591" w:name="_Toc110586028"/>
      <w:bookmarkStart w:id="592" w:name="_ICN_Acknowledgement_Letter"/>
      <w:bookmarkStart w:id="593" w:name="_Toc103355239"/>
      <w:bookmarkEnd w:id="580"/>
      <w:bookmarkEnd w:id="581"/>
      <w:bookmarkEnd w:id="582"/>
      <w:bookmarkEnd w:id="583"/>
      <w:bookmarkEnd w:id="584"/>
      <w:bookmarkEnd w:id="585"/>
      <w:bookmarkEnd w:id="586"/>
      <w:bookmarkEnd w:id="587"/>
      <w:bookmarkEnd w:id="588"/>
      <w:bookmarkEnd w:id="589"/>
      <w:bookmarkEnd w:id="590"/>
      <w:bookmarkEnd w:id="591"/>
      <w:bookmarkEnd w:id="592"/>
      <w:r>
        <w:t>LIDP industry development commitment</w:t>
      </w:r>
      <w:r w:rsidR="00EA61DA">
        <w:t xml:space="preserve"> (10 per </w:t>
      </w:r>
      <w:r w:rsidR="00100F29">
        <w:t>cent weighting)</w:t>
      </w:r>
    </w:p>
    <w:p w14:paraId="4964E849" w14:textId="6DD29BD8" w:rsidR="00BB368A" w:rsidRDefault="00BB368A" w:rsidP="00A85BA7">
      <w:pPr>
        <w:spacing w:before="0" w:after="120"/>
        <w:jc w:val="both"/>
        <w:rPr>
          <w:rFonts w:cs="Arial"/>
        </w:rPr>
      </w:pPr>
      <w:r w:rsidRPr="00C53BF0">
        <w:rPr>
          <w:rFonts w:cs="Arial"/>
        </w:rPr>
        <w:t>LJF has a clear objective to</w:t>
      </w:r>
      <w:r>
        <w:rPr>
          <w:rFonts w:cs="Arial"/>
        </w:rPr>
        <w:t xml:space="preserve"> support</w:t>
      </w:r>
      <w:r w:rsidRPr="00C53BF0">
        <w:rPr>
          <w:rFonts w:cs="Arial"/>
        </w:rPr>
        <w:t xml:space="preserve"> local industry development</w:t>
      </w:r>
      <w:r>
        <w:rPr>
          <w:rFonts w:cs="Arial"/>
        </w:rPr>
        <w:t xml:space="preserve"> by:</w:t>
      </w:r>
    </w:p>
    <w:p w14:paraId="3F300818" w14:textId="77777777" w:rsidR="00BB368A" w:rsidRDefault="00BB368A" w:rsidP="00DD69E1">
      <w:pPr>
        <w:pStyle w:val="dotpoints"/>
        <w:spacing w:before="0" w:after="0" w:line="240" w:lineRule="auto"/>
        <w:ind w:left="357" w:hanging="357"/>
        <w:jc w:val="both"/>
      </w:pPr>
      <w:r>
        <w:t>expanding market opportunities for local businesses</w:t>
      </w:r>
    </w:p>
    <w:p w14:paraId="636754CC" w14:textId="77777777" w:rsidR="00C71965" w:rsidRDefault="00C71965" w:rsidP="00DD69E1">
      <w:pPr>
        <w:pStyle w:val="dotpoints"/>
        <w:spacing w:before="0" w:after="0" w:line="240" w:lineRule="auto"/>
        <w:ind w:left="357" w:hanging="357"/>
        <w:jc w:val="both"/>
      </w:pPr>
      <w:r>
        <w:t>providing Aboriginal businesses with opportunities to participate in LJF projects</w:t>
      </w:r>
    </w:p>
    <w:p w14:paraId="0E2CFA25" w14:textId="77777777" w:rsidR="00C71965" w:rsidRDefault="00C71965" w:rsidP="00DD69E1">
      <w:pPr>
        <w:pStyle w:val="dotpoints"/>
        <w:spacing w:before="0" w:after="0" w:line="240" w:lineRule="auto"/>
        <w:ind w:left="357" w:hanging="357"/>
        <w:jc w:val="both"/>
      </w:pPr>
      <w:r>
        <w:t>encouraging SMEs based in regional areas to participate in LJF projects</w:t>
      </w:r>
    </w:p>
    <w:p w14:paraId="6E85145D" w14:textId="77777777" w:rsidR="00C71965" w:rsidRDefault="00C71965" w:rsidP="00DD69E1">
      <w:pPr>
        <w:pStyle w:val="dotpoints"/>
        <w:spacing w:before="0" w:after="0" w:line="240" w:lineRule="auto"/>
        <w:ind w:left="357" w:hanging="357"/>
        <w:jc w:val="both"/>
      </w:pPr>
      <w:r>
        <w:t>encouraging the use of local content at each stage of construction or manufacturing projects</w:t>
      </w:r>
    </w:p>
    <w:p w14:paraId="026B1319" w14:textId="77777777" w:rsidR="00C71965" w:rsidRDefault="00C71965" w:rsidP="00DD69E1">
      <w:pPr>
        <w:pStyle w:val="dotpoints"/>
        <w:spacing w:before="0" w:after="0" w:line="240" w:lineRule="auto"/>
        <w:ind w:left="357" w:hanging="357"/>
        <w:jc w:val="both"/>
      </w:pPr>
      <w:r>
        <w:t>promoting the use of Australian Standards on LJF projects</w:t>
      </w:r>
    </w:p>
    <w:p w14:paraId="60C85B5B" w14:textId="25EE2D5D" w:rsidR="00C71965" w:rsidRPr="00A711EB" w:rsidRDefault="00C71965" w:rsidP="00DD69E1">
      <w:pPr>
        <w:pStyle w:val="dotpoints"/>
        <w:spacing w:before="0" w:after="0" w:line="240" w:lineRule="auto"/>
        <w:ind w:left="357" w:hanging="357"/>
        <w:jc w:val="both"/>
      </w:pPr>
      <w:r>
        <w:t>designing tender and procurement processes to provide fair and reasonable opportunities for local industry participation</w:t>
      </w:r>
    </w:p>
    <w:p w14:paraId="30B356D0" w14:textId="77777777" w:rsidR="00BB368A" w:rsidRPr="00A711EB" w:rsidRDefault="00BB368A" w:rsidP="00DD69E1">
      <w:pPr>
        <w:pStyle w:val="dotpoints"/>
        <w:spacing w:before="0" w:after="0" w:line="240" w:lineRule="auto"/>
        <w:ind w:left="357" w:hanging="357"/>
        <w:jc w:val="both"/>
      </w:pPr>
      <w:r w:rsidRPr="00A711EB">
        <w:t>increa</w:t>
      </w:r>
      <w:r>
        <w:t>sing</w:t>
      </w:r>
      <w:r w:rsidRPr="00A711EB">
        <w:t xml:space="preserve"> </w:t>
      </w:r>
      <w:r>
        <w:t xml:space="preserve">contractor </w:t>
      </w:r>
      <w:r w:rsidRPr="00A711EB">
        <w:t>access to</w:t>
      </w:r>
      <w:r>
        <w:t xml:space="preserve"> and</w:t>
      </w:r>
      <w:r w:rsidRPr="00A711EB">
        <w:t xml:space="preserve"> awareness of local industry capability</w:t>
      </w:r>
    </w:p>
    <w:p w14:paraId="7623DCE8" w14:textId="77777777" w:rsidR="00BB368A" w:rsidRDefault="00BB368A" w:rsidP="00DD69E1">
      <w:pPr>
        <w:pStyle w:val="dotpoints"/>
        <w:spacing w:before="0" w:after="0" w:line="240" w:lineRule="auto"/>
        <w:ind w:left="357" w:hanging="357"/>
        <w:jc w:val="both"/>
      </w:pPr>
      <w:r>
        <w:t>providing e</w:t>
      </w:r>
      <w:r w:rsidRPr="00A711EB">
        <w:t>xpos</w:t>
      </w:r>
      <w:r>
        <w:t>ure</w:t>
      </w:r>
      <w:r w:rsidRPr="00A711EB">
        <w:t xml:space="preserve"> to </w:t>
      </w:r>
      <w:r>
        <w:t>innovation, including use of new technologies and materials, and</w:t>
      </w:r>
    </w:p>
    <w:p w14:paraId="2E59E2F7" w14:textId="67279FA1" w:rsidR="00BB368A" w:rsidRDefault="00BB368A" w:rsidP="00DD69E1">
      <w:pPr>
        <w:pStyle w:val="dotpoints"/>
        <w:spacing w:before="0" w:after="0" w:line="240" w:lineRule="auto"/>
        <w:ind w:left="357" w:hanging="357"/>
        <w:jc w:val="both"/>
      </w:pPr>
      <w:r>
        <w:t>d</w:t>
      </w:r>
      <w:r w:rsidRPr="00A711EB">
        <w:t>evelopin</w:t>
      </w:r>
      <w:r>
        <w:t>g</w:t>
      </w:r>
      <w:r w:rsidRPr="00A711EB">
        <w:t xml:space="preserve"> international competitiveness</w:t>
      </w:r>
      <w:r>
        <w:t xml:space="preserve"> and </w:t>
      </w:r>
      <w:r w:rsidRPr="0069768B">
        <w:t>flexibility in responding to changing global markets.</w:t>
      </w:r>
    </w:p>
    <w:p w14:paraId="0BB9FC26" w14:textId="1691636E" w:rsidR="00287A56" w:rsidRDefault="00891990" w:rsidP="00A85BA7">
      <w:pPr>
        <w:jc w:val="both"/>
        <w:rPr>
          <w:rFonts w:cs="Arial"/>
        </w:rPr>
      </w:pPr>
      <w:r w:rsidRPr="00C53BF0">
        <w:rPr>
          <w:rFonts w:cs="Arial"/>
        </w:rPr>
        <w:t xml:space="preserve">The weighting for </w:t>
      </w:r>
      <w:r>
        <w:rPr>
          <w:rFonts w:cs="Arial"/>
        </w:rPr>
        <w:t>industry development</w:t>
      </w:r>
      <w:r w:rsidRPr="00C53BF0">
        <w:rPr>
          <w:rFonts w:cs="Arial"/>
        </w:rPr>
        <w:t xml:space="preserve"> outcomes is designed to ensure that </w:t>
      </w:r>
      <w:r>
        <w:rPr>
          <w:rFonts w:cs="Arial"/>
        </w:rPr>
        <w:t xml:space="preserve">local content </w:t>
      </w:r>
      <w:r w:rsidR="00DE5908">
        <w:rPr>
          <w:rFonts w:cs="Arial"/>
        </w:rPr>
        <w:t>is</w:t>
      </w:r>
      <w:r w:rsidRPr="00C53BF0">
        <w:rPr>
          <w:rFonts w:cs="Arial"/>
        </w:rPr>
        <w:t xml:space="preserve"> maximised by bidders in delivery of the project</w:t>
      </w:r>
      <w:r w:rsidR="00BB368A">
        <w:rPr>
          <w:rFonts w:cs="Arial"/>
        </w:rPr>
        <w:t>, to support these objectives</w:t>
      </w:r>
      <w:r w:rsidRPr="00C53BF0">
        <w:rPr>
          <w:rFonts w:cs="Arial"/>
        </w:rPr>
        <w:t>.</w:t>
      </w:r>
      <w:r>
        <w:rPr>
          <w:rFonts w:cs="Arial"/>
        </w:rPr>
        <w:t xml:space="preserve"> </w:t>
      </w:r>
      <w:r w:rsidR="00351C44">
        <w:rPr>
          <w:rFonts w:cs="Arial"/>
        </w:rPr>
        <w:t>The ICN can assist bidders to</w:t>
      </w:r>
      <w:r w:rsidR="002F41B4">
        <w:rPr>
          <w:rFonts w:cs="Arial"/>
        </w:rPr>
        <w:t xml:space="preserve"> identify local suppliers of contestable items.</w:t>
      </w:r>
    </w:p>
    <w:p w14:paraId="11224D43" w14:textId="3D4F1CA1" w:rsidR="00FB4518" w:rsidRPr="00DC38C6" w:rsidRDefault="00287A56" w:rsidP="00A85BA7">
      <w:pPr>
        <w:spacing w:before="0"/>
        <w:jc w:val="both"/>
        <w:rPr>
          <w:rFonts w:cs="Arial"/>
        </w:rPr>
      </w:pPr>
      <w:r>
        <w:rPr>
          <w:rFonts w:cs="Arial"/>
        </w:rPr>
        <w:t>When awarding a contract, a</w:t>
      </w:r>
      <w:r w:rsidR="00710799">
        <w:rPr>
          <w:rFonts w:cs="Arial"/>
        </w:rPr>
        <w:t>gencies</w:t>
      </w:r>
      <w:r w:rsidR="00FB4518" w:rsidRPr="00DC38C6">
        <w:rPr>
          <w:rFonts w:cs="Arial"/>
        </w:rPr>
        <w:t xml:space="preserve"> will consider each bidder’s commitment to industry development</w:t>
      </w:r>
      <w:r w:rsidR="006A1157">
        <w:rPr>
          <w:rFonts w:cs="Arial"/>
        </w:rPr>
        <w:t xml:space="preserve"> as outlined in the LIDP and </w:t>
      </w:r>
      <w:r w:rsidR="00FB4518" w:rsidRPr="00DC38C6">
        <w:rPr>
          <w:rFonts w:cs="Arial"/>
        </w:rPr>
        <w:t>the risk of delivery and hence achievement of local content commitments</w:t>
      </w:r>
      <w:r w:rsidR="00FB4518" w:rsidRPr="00C53BF0">
        <w:rPr>
          <w:rFonts w:cs="Arial"/>
        </w:rPr>
        <w:t xml:space="preserve">, using the </w:t>
      </w:r>
      <w:hyperlink w:anchor="_ICN_Achievability_Rating" w:history="1">
        <w:r w:rsidR="001D3331">
          <w:rPr>
            <w:rStyle w:val="Hyperlink"/>
            <w:rFonts w:cs="Arial"/>
          </w:rPr>
          <w:t xml:space="preserve">ICN Achievability Rating Report </w:t>
        </w:r>
      </w:hyperlink>
      <w:r w:rsidR="00FB4518" w:rsidRPr="00DC38C6">
        <w:rPr>
          <w:rFonts w:cs="Arial"/>
        </w:rPr>
        <w:t>.</w:t>
      </w:r>
    </w:p>
    <w:p w14:paraId="4E3B66C9" w14:textId="2F7899FD" w:rsidR="001B2D7D" w:rsidRDefault="0090723F" w:rsidP="00DD69E1">
      <w:pPr>
        <w:pStyle w:val="Heading3"/>
        <w:ind w:left="720"/>
        <w:jc w:val="both"/>
      </w:pPr>
      <w:r>
        <w:t xml:space="preserve">LIDP </w:t>
      </w:r>
      <w:r w:rsidR="00FD6E5A">
        <w:t>e</w:t>
      </w:r>
      <w:r w:rsidR="00C724F3">
        <w:t xml:space="preserve">mployment </w:t>
      </w:r>
      <w:r w:rsidR="00FD6E5A">
        <w:t>c</w:t>
      </w:r>
      <w:r w:rsidR="00C724F3">
        <w:t>ommitment</w:t>
      </w:r>
      <w:r w:rsidR="00EA61DA">
        <w:t xml:space="preserve"> (10 per cent weighting)</w:t>
      </w:r>
    </w:p>
    <w:p w14:paraId="6D875A61" w14:textId="0CFFFA77" w:rsidR="00F20FE3" w:rsidRPr="00042ADB" w:rsidRDefault="00F20FE3" w:rsidP="00A85BA7">
      <w:pPr>
        <w:spacing w:before="0"/>
        <w:jc w:val="both"/>
        <w:rPr>
          <w:rFonts w:cstheme="minorHAnsi"/>
          <w:szCs w:val="18"/>
          <w:lang w:val="en-US"/>
        </w:rPr>
      </w:pPr>
      <w:r w:rsidRPr="00042ADB">
        <w:rPr>
          <w:rFonts w:cstheme="minorHAnsi"/>
          <w:szCs w:val="18"/>
          <w:lang w:val="en-US"/>
        </w:rPr>
        <w:t xml:space="preserve">A </w:t>
      </w:r>
      <w:r w:rsidR="00E51DBB">
        <w:rPr>
          <w:rFonts w:cstheme="minorHAnsi"/>
          <w:szCs w:val="18"/>
          <w:lang w:val="en-US"/>
        </w:rPr>
        <w:t>key</w:t>
      </w:r>
      <w:r w:rsidR="00E51DBB" w:rsidRPr="00042ADB">
        <w:rPr>
          <w:rFonts w:cstheme="minorHAnsi"/>
          <w:szCs w:val="18"/>
          <w:lang w:val="en-US"/>
        </w:rPr>
        <w:t xml:space="preserve"> </w:t>
      </w:r>
      <w:r w:rsidRPr="00042ADB">
        <w:rPr>
          <w:rFonts w:cstheme="minorHAnsi"/>
          <w:szCs w:val="18"/>
          <w:lang w:val="en-US"/>
        </w:rPr>
        <w:t xml:space="preserve">objective of </w:t>
      </w:r>
      <w:r w:rsidR="00486D4F">
        <w:rPr>
          <w:rFonts w:cstheme="minorHAnsi"/>
          <w:szCs w:val="18"/>
          <w:lang w:val="en-US"/>
        </w:rPr>
        <w:t>LJF</w:t>
      </w:r>
      <w:r w:rsidRPr="00042ADB">
        <w:rPr>
          <w:rFonts w:cstheme="minorHAnsi"/>
          <w:szCs w:val="18"/>
          <w:lang w:val="en-US"/>
        </w:rPr>
        <w:t xml:space="preserve"> is to promote employment and business growth by providing opportunities for local businesses. </w:t>
      </w:r>
      <w:r w:rsidR="006727EA" w:rsidRPr="00C53BF0">
        <w:rPr>
          <w:rFonts w:cs="Arial"/>
        </w:rPr>
        <w:t>The weighting for job outcomes is designed to ensure that job opportunities for new and retained employees are maximised by bidders in delivery of the project.</w:t>
      </w:r>
      <w:r w:rsidR="001D5D12">
        <w:rPr>
          <w:rFonts w:cs="Arial"/>
        </w:rPr>
        <w:t xml:space="preserve"> </w:t>
      </w:r>
      <w:r w:rsidR="001D5D12" w:rsidRPr="00DC38C6">
        <w:rPr>
          <w:rFonts w:cstheme="minorHAnsi"/>
          <w:szCs w:val="18"/>
          <w:lang w:val="en-US"/>
        </w:rPr>
        <w:t>Agencies must consider the job outcomes of bids when awarding a contract.</w:t>
      </w:r>
    </w:p>
    <w:p w14:paraId="7CA32B8D" w14:textId="443612D9" w:rsidR="00F20FE3" w:rsidRPr="00042ADB" w:rsidRDefault="00BD1730" w:rsidP="00A85BA7">
      <w:pPr>
        <w:jc w:val="both"/>
        <w:rPr>
          <w:rFonts w:cstheme="minorHAnsi"/>
          <w:szCs w:val="18"/>
          <w:lang w:val="en-US"/>
        </w:rPr>
      </w:pPr>
      <w:r>
        <w:rPr>
          <w:rFonts w:cstheme="minorHAnsi"/>
          <w:szCs w:val="18"/>
          <w:lang w:val="en-US"/>
        </w:rPr>
        <w:t>Suppliers</w:t>
      </w:r>
      <w:r w:rsidR="00C34997">
        <w:rPr>
          <w:rFonts w:cstheme="minorHAnsi"/>
          <w:szCs w:val="18"/>
          <w:lang w:val="en-US"/>
        </w:rPr>
        <w:t xml:space="preserve"> will need to c</w:t>
      </w:r>
      <w:r w:rsidR="00F20FE3" w:rsidRPr="00042ADB">
        <w:rPr>
          <w:rFonts w:cstheme="minorHAnsi"/>
          <w:szCs w:val="18"/>
          <w:lang w:val="en-US"/>
        </w:rPr>
        <w:t xml:space="preserve">alculate the number of retained and/or new jobs to be created in Australia and/or New Zealand during the life of </w:t>
      </w:r>
      <w:r w:rsidR="0094756A">
        <w:rPr>
          <w:rFonts w:cstheme="minorHAnsi"/>
          <w:szCs w:val="18"/>
          <w:lang w:val="en-US"/>
        </w:rPr>
        <w:t>the</w:t>
      </w:r>
      <w:r w:rsidR="0094756A" w:rsidRPr="00042ADB">
        <w:rPr>
          <w:rFonts w:cstheme="minorHAnsi"/>
          <w:szCs w:val="18"/>
          <w:lang w:val="en-US"/>
        </w:rPr>
        <w:t xml:space="preserve"> </w:t>
      </w:r>
      <w:r w:rsidR="00F20FE3" w:rsidRPr="00042ADB">
        <w:rPr>
          <w:rFonts w:cstheme="minorHAnsi"/>
          <w:szCs w:val="18"/>
          <w:lang w:val="en-US"/>
        </w:rPr>
        <w:t>project. This number covers both your company and those from your supply chain, if you are using a supply chain.</w:t>
      </w:r>
    </w:p>
    <w:p w14:paraId="1ACACB38" w14:textId="0765F8D8" w:rsidR="00F20FE3" w:rsidRPr="00042ADB" w:rsidRDefault="00F20FE3" w:rsidP="00A85BA7">
      <w:pPr>
        <w:jc w:val="both"/>
        <w:rPr>
          <w:rFonts w:cstheme="minorHAnsi"/>
          <w:szCs w:val="18"/>
          <w:lang w:val="en-US"/>
        </w:rPr>
      </w:pPr>
      <w:r w:rsidRPr="00042ADB">
        <w:rPr>
          <w:rFonts w:cstheme="minorHAnsi"/>
          <w:szCs w:val="18"/>
          <w:lang w:val="en-US"/>
        </w:rPr>
        <w:t xml:space="preserve">A </w:t>
      </w:r>
      <w:r w:rsidRPr="00042ADB">
        <w:rPr>
          <w:rFonts w:cstheme="minorHAnsi"/>
          <w:b/>
          <w:bCs/>
          <w:szCs w:val="18"/>
          <w:lang w:val="en-US"/>
        </w:rPr>
        <w:t>retained job</w:t>
      </w:r>
      <w:r w:rsidR="00FB13B8">
        <w:rPr>
          <w:rFonts w:cstheme="minorHAnsi"/>
          <w:b/>
          <w:bCs/>
          <w:szCs w:val="18"/>
          <w:lang w:val="en-US"/>
        </w:rPr>
        <w:t>,</w:t>
      </w:r>
      <w:r w:rsidRPr="00042ADB">
        <w:rPr>
          <w:rFonts w:cstheme="minorHAnsi"/>
          <w:szCs w:val="18"/>
          <w:lang w:val="en-US"/>
        </w:rPr>
        <w:t xml:space="preserve"> means a job (one Annual Employee Equivalent) that has been working for a supplier or subcontractor before signing a project contract, working in tasks/works related to the project. This may also be referred to as an existing employee.</w:t>
      </w:r>
    </w:p>
    <w:p w14:paraId="70E2D4B8" w14:textId="167A3F00" w:rsidR="00F20FE3" w:rsidRPr="00042ADB" w:rsidRDefault="00F20FE3" w:rsidP="00A85BA7">
      <w:pPr>
        <w:jc w:val="both"/>
        <w:rPr>
          <w:rFonts w:cstheme="minorHAnsi"/>
          <w:szCs w:val="18"/>
          <w:lang w:val="en-US"/>
        </w:rPr>
      </w:pPr>
      <w:proofErr w:type="gramStart"/>
      <w:r w:rsidRPr="00042ADB">
        <w:rPr>
          <w:rFonts w:cstheme="minorHAnsi"/>
          <w:szCs w:val="18"/>
          <w:lang w:val="en-US"/>
        </w:rPr>
        <w:t xml:space="preserve">A </w:t>
      </w:r>
      <w:r w:rsidRPr="00042ADB">
        <w:rPr>
          <w:rFonts w:cstheme="minorHAnsi"/>
          <w:b/>
          <w:bCs/>
          <w:szCs w:val="18"/>
          <w:lang w:val="en-US"/>
        </w:rPr>
        <w:t>new job</w:t>
      </w:r>
      <w:r w:rsidR="00FB13B8">
        <w:rPr>
          <w:rFonts w:cstheme="minorHAnsi"/>
          <w:b/>
          <w:bCs/>
          <w:szCs w:val="18"/>
          <w:lang w:val="en-US"/>
        </w:rPr>
        <w:t>,</w:t>
      </w:r>
      <w:proofErr w:type="gramEnd"/>
      <w:r w:rsidRPr="00042ADB">
        <w:rPr>
          <w:rFonts w:cstheme="minorHAnsi"/>
          <w:szCs w:val="18"/>
          <w:lang w:val="en-US"/>
        </w:rPr>
        <w:t xml:space="preserve"> means a job (one Annual Employee Equivalent) that has been specifically employed by a supplier or subcontractor because of the work generated by a specific project.</w:t>
      </w:r>
    </w:p>
    <w:p w14:paraId="5905A276" w14:textId="0A1B3E6E" w:rsidR="00E17FD2" w:rsidRPr="00042ADB" w:rsidRDefault="00F20FE3" w:rsidP="00A85BA7">
      <w:pPr>
        <w:jc w:val="both"/>
        <w:rPr>
          <w:rFonts w:cstheme="minorBidi"/>
          <w:highlight w:val="yellow"/>
          <w:lang w:val="en-US"/>
        </w:rPr>
      </w:pPr>
      <w:r w:rsidRPr="1127033D">
        <w:rPr>
          <w:rFonts w:cstheme="minorBidi"/>
          <w:lang w:val="en-US"/>
        </w:rPr>
        <w:t>Annual Employee Equivalent (AEE) is used in place of Full Time Equivalen</w:t>
      </w:r>
      <w:r w:rsidR="00C14D1B">
        <w:rPr>
          <w:rFonts w:cstheme="minorBidi"/>
          <w:lang w:val="en-US"/>
        </w:rPr>
        <w:t>t</w:t>
      </w:r>
      <w:r w:rsidRPr="1127033D">
        <w:rPr>
          <w:rFonts w:cstheme="minorBidi"/>
          <w:lang w:val="en-US"/>
        </w:rPr>
        <w:t xml:space="preserve"> (FTE). Created/retained numbers must be provided in AEE. </w:t>
      </w:r>
      <w:r w:rsidR="00B26436" w:rsidRPr="1127033D">
        <w:rPr>
          <w:rFonts w:cstheme="minorBidi"/>
          <w:lang w:val="en-US"/>
        </w:rPr>
        <w:t>AEE</w:t>
      </w:r>
      <w:r w:rsidRPr="1127033D">
        <w:rPr>
          <w:rFonts w:cstheme="minorBidi"/>
          <w:lang w:val="en-US"/>
        </w:rPr>
        <w:t xml:space="preserve"> is calculated by dividing the total paid hours of the contract by 1,976. 1,976 reflects the total full-time working hours paid yearly to a full-time employee (38 hours per week for 52 weeks). Agencies will not give </w:t>
      </w:r>
      <w:proofErr w:type="gramStart"/>
      <w:r w:rsidRPr="1127033D">
        <w:rPr>
          <w:rFonts w:cstheme="minorBidi"/>
          <w:lang w:val="en-US"/>
        </w:rPr>
        <w:t>a higher</w:t>
      </w:r>
      <w:proofErr w:type="gramEnd"/>
      <w:r w:rsidRPr="1127033D">
        <w:rPr>
          <w:rFonts w:cstheme="minorBidi"/>
          <w:lang w:val="en-US"/>
        </w:rPr>
        <w:t xml:space="preserve"> weighting for more created or retained </w:t>
      </w:r>
      <w:proofErr w:type="gramStart"/>
      <w:r w:rsidRPr="1127033D">
        <w:rPr>
          <w:rFonts w:cstheme="minorBidi"/>
          <w:lang w:val="en-US"/>
        </w:rPr>
        <w:t>jobs</w:t>
      </w:r>
      <w:r w:rsidR="00F013FD">
        <w:rPr>
          <w:rFonts w:cstheme="minorBidi"/>
          <w:lang w:val="en-US"/>
        </w:rPr>
        <w:t>,</w:t>
      </w:r>
      <w:proofErr w:type="gramEnd"/>
      <w:r w:rsidRPr="1127033D">
        <w:rPr>
          <w:rFonts w:cstheme="minorBidi"/>
          <w:lang w:val="en-US"/>
        </w:rPr>
        <w:t xml:space="preserve"> they will be considered equal.</w:t>
      </w:r>
    </w:p>
    <w:p w14:paraId="725622F1" w14:textId="5236AB8C" w:rsidR="00F20FE3" w:rsidRPr="00F20FE3" w:rsidRDefault="001077F1" w:rsidP="00A85BA7">
      <w:pPr>
        <w:jc w:val="both"/>
      </w:pPr>
      <w:r>
        <w:rPr>
          <w:rFonts w:cstheme="minorHAnsi"/>
          <w:szCs w:val="18"/>
          <w:lang w:val="en-US"/>
        </w:rPr>
        <w:t>Note that</w:t>
      </w:r>
      <w:r w:rsidR="000C6D15">
        <w:rPr>
          <w:b/>
          <w:bCs/>
        </w:rPr>
        <w:t xml:space="preserve"> for MPSG projects</w:t>
      </w:r>
      <w:r w:rsidR="000C6D15" w:rsidRPr="00042ADB">
        <w:t>,</w:t>
      </w:r>
      <w:r w:rsidR="00695395">
        <w:rPr>
          <w:b/>
          <w:bCs/>
        </w:rPr>
        <w:t xml:space="preserve"> </w:t>
      </w:r>
      <w:r w:rsidR="00695395" w:rsidRPr="00441BE2">
        <w:rPr>
          <w:rFonts w:cstheme="minorHAnsi"/>
          <w:szCs w:val="18"/>
          <w:lang w:val="en-US"/>
        </w:rPr>
        <w:t xml:space="preserve">commitments to use </w:t>
      </w:r>
      <w:r w:rsidR="00695395">
        <w:rPr>
          <w:rFonts w:cstheme="minorHAnsi"/>
          <w:szCs w:val="18"/>
          <w:lang w:val="en-US"/>
        </w:rPr>
        <w:t xml:space="preserve">Victorian </w:t>
      </w:r>
      <w:r w:rsidR="00457D11">
        <w:rPr>
          <w:rFonts w:cstheme="minorHAnsi"/>
          <w:szCs w:val="18"/>
          <w:lang w:val="en-US"/>
        </w:rPr>
        <w:t>ATCs</w:t>
      </w:r>
      <w:r w:rsidR="00695395" w:rsidRPr="00441BE2">
        <w:rPr>
          <w:rFonts w:cstheme="minorHAnsi"/>
          <w:szCs w:val="18"/>
          <w:lang w:val="en-US"/>
        </w:rPr>
        <w:t xml:space="preserve"> for a minimum of 10 per cent of </w:t>
      </w:r>
      <w:r w:rsidR="00695395">
        <w:rPr>
          <w:rFonts w:cstheme="minorHAnsi"/>
          <w:szCs w:val="18"/>
          <w:lang w:val="en-US"/>
        </w:rPr>
        <w:t xml:space="preserve">the total project </w:t>
      </w:r>
      <w:r w:rsidR="00695395" w:rsidRPr="00441BE2">
        <w:rPr>
          <w:rFonts w:cstheme="minorHAnsi"/>
          <w:szCs w:val="18"/>
          <w:lang w:val="en-US"/>
        </w:rPr>
        <w:t xml:space="preserve">labour hours must be identified in the LIDP. </w:t>
      </w:r>
      <w:r w:rsidR="00695395">
        <w:rPr>
          <w:rFonts w:cstheme="minorHAnsi"/>
          <w:szCs w:val="18"/>
          <w:lang w:val="en-US"/>
        </w:rPr>
        <w:t xml:space="preserve">See </w:t>
      </w:r>
      <w:hyperlink w:anchor="_Toc104558275" w:history="1">
        <w:r w:rsidR="00695395" w:rsidRPr="00695395">
          <w:rPr>
            <w:rStyle w:val="Hyperlink"/>
            <w:rFonts w:cstheme="minorHAnsi"/>
            <w:szCs w:val="18"/>
            <w:lang w:val="en-US"/>
          </w:rPr>
          <w:t>Calculating MPSG commitments</w:t>
        </w:r>
      </w:hyperlink>
      <w:r w:rsidR="00695395">
        <w:rPr>
          <w:rFonts w:cstheme="minorHAnsi"/>
          <w:szCs w:val="18"/>
          <w:lang w:val="en-US"/>
        </w:rPr>
        <w:t xml:space="preserve"> for more information.</w:t>
      </w:r>
    </w:p>
    <w:p w14:paraId="7C485412" w14:textId="1F0A3025" w:rsidR="001D5D12" w:rsidRDefault="001D5D12" w:rsidP="00DD69E1">
      <w:pPr>
        <w:pStyle w:val="Heading3"/>
        <w:ind w:left="720"/>
        <w:jc w:val="both"/>
      </w:pPr>
      <w:bookmarkStart w:id="594" w:name="_ICN_Acknowledgement_Letter_1"/>
      <w:bookmarkEnd w:id="594"/>
      <w:r>
        <w:t>Completing the online LIDP</w:t>
      </w:r>
    </w:p>
    <w:p w14:paraId="7DCE2129" w14:textId="64E5C53E" w:rsidR="001D5D12" w:rsidRPr="0099205B" w:rsidRDefault="001D5D12" w:rsidP="00A85BA7">
      <w:pPr>
        <w:pStyle w:val="bodycopy"/>
        <w:jc w:val="both"/>
        <w:rPr>
          <w:szCs w:val="18"/>
          <w:lang w:val="en-US"/>
        </w:rPr>
      </w:pPr>
      <w:r w:rsidRPr="000210EA">
        <w:rPr>
          <w:szCs w:val="18"/>
          <w:lang w:val="en-US"/>
        </w:rPr>
        <w:t>B</w:t>
      </w:r>
      <w:r w:rsidRPr="0099205B">
        <w:rPr>
          <w:szCs w:val="18"/>
          <w:lang w:val="en-US"/>
        </w:rPr>
        <w:t xml:space="preserve">idders must register their business details on the </w:t>
      </w:r>
      <w:hyperlink r:id="rId25" w:history="1">
        <w:r w:rsidRPr="0099205B">
          <w:rPr>
            <w:rStyle w:val="Hyperlink"/>
            <w:szCs w:val="18"/>
          </w:rPr>
          <w:t>VMC</w:t>
        </w:r>
      </w:hyperlink>
      <w:r w:rsidRPr="0099205B">
        <w:rPr>
          <w:szCs w:val="18"/>
          <w:lang w:val="en-US"/>
        </w:rPr>
        <w:t>, unless previously registered. The LIDP is completed by logging into the VMC and selecting the relevant tender. If the tender is not listed, contact the procuring agency.</w:t>
      </w:r>
    </w:p>
    <w:p w14:paraId="67DB0E04" w14:textId="169AA5CE" w:rsidR="001D5D12" w:rsidRPr="0099205B" w:rsidRDefault="001D5D12" w:rsidP="00A85BA7">
      <w:pPr>
        <w:pStyle w:val="bodycopy"/>
        <w:jc w:val="both"/>
        <w:rPr>
          <w:szCs w:val="18"/>
          <w:lang w:val="en-US"/>
        </w:rPr>
      </w:pPr>
      <w:r w:rsidRPr="00441BE2">
        <w:rPr>
          <w:szCs w:val="18"/>
          <w:lang w:val="en-US"/>
        </w:rPr>
        <w:t>The Victorian Government funds the ICN to help bidders prepar</w:t>
      </w:r>
      <w:r>
        <w:rPr>
          <w:szCs w:val="18"/>
          <w:lang w:val="en-US"/>
        </w:rPr>
        <w:t>e</w:t>
      </w:r>
      <w:r w:rsidRPr="00441BE2">
        <w:rPr>
          <w:szCs w:val="18"/>
          <w:lang w:val="en-US"/>
        </w:rPr>
        <w:t xml:space="preserve"> LIDPs and identify opportunities for local suppliers.</w:t>
      </w:r>
      <w:r>
        <w:rPr>
          <w:szCs w:val="18"/>
          <w:lang w:val="en-US"/>
        </w:rPr>
        <w:t xml:space="preserve"> Select</w:t>
      </w:r>
      <w:r w:rsidRPr="0099205B">
        <w:rPr>
          <w:szCs w:val="18"/>
          <w:lang w:val="en-US"/>
        </w:rPr>
        <w:t xml:space="preserve"> ‘Assistance’ mode within the VMC</w:t>
      </w:r>
      <w:r>
        <w:rPr>
          <w:szCs w:val="18"/>
          <w:lang w:val="en-US"/>
        </w:rPr>
        <w:t xml:space="preserve"> to receive ICN a</w:t>
      </w:r>
      <w:r w:rsidRPr="0099205B">
        <w:rPr>
          <w:szCs w:val="18"/>
          <w:lang w:val="en-US"/>
        </w:rPr>
        <w:t>dvice on local capabilities.</w:t>
      </w:r>
    </w:p>
    <w:p w14:paraId="59B58D7D" w14:textId="3C97F4C2" w:rsidR="001D5D12" w:rsidRPr="0099205B" w:rsidRDefault="00916421" w:rsidP="00A85BA7">
      <w:pPr>
        <w:pStyle w:val="bodycopy"/>
        <w:jc w:val="both"/>
        <w:rPr>
          <w:szCs w:val="18"/>
        </w:rPr>
      </w:pPr>
      <w:r>
        <w:rPr>
          <w:szCs w:val="18"/>
        </w:rPr>
        <w:t>The p</w:t>
      </w:r>
      <w:r w:rsidR="001D5D12" w:rsidRPr="0099205B">
        <w:rPr>
          <w:szCs w:val="18"/>
        </w:rPr>
        <w:t xml:space="preserve">reparation of an LIDP can take up to </w:t>
      </w:r>
      <w:r w:rsidR="00027B2D">
        <w:rPr>
          <w:szCs w:val="18"/>
        </w:rPr>
        <w:t>3</w:t>
      </w:r>
      <w:r w:rsidR="001D5D12" w:rsidRPr="0099205B">
        <w:rPr>
          <w:szCs w:val="18"/>
        </w:rPr>
        <w:t xml:space="preserve"> weeks</w:t>
      </w:r>
      <w:r w:rsidR="000E0FF7">
        <w:rPr>
          <w:szCs w:val="18"/>
        </w:rPr>
        <w:t>.</w:t>
      </w:r>
      <w:r w:rsidR="001D5D12" w:rsidRPr="0099205B">
        <w:rPr>
          <w:szCs w:val="18"/>
        </w:rPr>
        <w:t xml:space="preserve"> </w:t>
      </w:r>
      <w:r w:rsidR="000E0FF7">
        <w:rPr>
          <w:szCs w:val="18"/>
        </w:rPr>
        <w:t>H</w:t>
      </w:r>
      <w:r w:rsidR="001D5D12" w:rsidRPr="0099205B">
        <w:rPr>
          <w:szCs w:val="18"/>
        </w:rPr>
        <w:t>owever</w:t>
      </w:r>
      <w:r w:rsidR="000E0FF7">
        <w:rPr>
          <w:szCs w:val="18"/>
        </w:rPr>
        <w:t>,</w:t>
      </w:r>
      <w:r w:rsidR="001D5D12" w:rsidRPr="0099205B">
        <w:rPr>
          <w:szCs w:val="18"/>
        </w:rPr>
        <w:t xml:space="preserve"> </w:t>
      </w:r>
      <w:r w:rsidR="001D5D12" w:rsidRPr="0099205B">
        <w:rPr>
          <w:szCs w:val="18"/>
          <w:lang w:val="en-US"/>
        </w:rPr>
        <w:t xml:space="preserve">LIDPs generally take between </w:t>
      </w:r>
      <w:r w:rsidR="00027B2D">
        <w:rPr>
          <w:szCs w:val="18"/>
          <w:lang w:val="en-US"/>
        </w:rPr>
        <w:t>1</w:t>
      </w:r>
      <w:r w:rsidR="001D5D12" w:rsidRPr="0099205B">
        <w:rPr>
          <w:szCs w:val="18"/>
          <w:lang w:val="en-US"/>
        </w:rPr>
        <w:t xml:space="preserve"> to </w:t>
      </w:r>
      <w:r w:rsidR="00027B2D">
        <w:rPr>
          <w:szCs w:val="18"/>
          <w:lang w:val="en-US"/>
        </w:rPr>
        <w:t xml:space="preserve">6 </w:t>
      </w:r>
      <w:r w:rsidR="001D5D12" w:rsidRPr="0099205B">
        <w:rPr>
          <w:szCs w:val="18"/>
          <w:lang w:val="en-US"/>
        </w:rPr>
        <w:t>working days to prepare depending on the complexity of the project, nature of the contestable items or experience with LJF by the bidder.</w:t>
      </w:r>
      <w:r w:rsidR="001D5D12">
        <w:rPr>
          <w:szCs w:val="18"/>
          <w:lang w:val="en-US"/>
        </w:rPr>
        <w:t xml:space="preserve"> </w:t>
      </w:r>
      <w:r w:rsidR="001D5D12" w:rsidRPr="00441BE2">
        <w:rPr>
          <w:szCs w:val="18"/>
        </w:rPr>
        <w:t>All fields within the online LIDP must be completed before it can be submitted.</w:t>
      </w:r>
      <w:r w:rsidR="001D5D12" w:rsidRPr="000210EA">
        <w:rPr>
          <w:szCs w:val="18"/>
          <w:lang w:val="en-US"/>
        </w:rPr>
        <w:t xml:space="preserve"> </w:t>
      </w:r>
      <w:r w:rsidR="001D5D12">
        <w:rPr>
          <w:szCs w:val="18"/>
        </w:rPr>
        <w:t>You</w:t>
      </w:r>
      <w:r w:rsidR="001D5D12" w:rsidRPr="0099205B">
        <w:rPr>
          <w:szCs w:val="18"/>
        </w:rPr>
        <w:t xml:space="preserve"> should </w:t>
      </w:r>
      <w:r w:rsidR="001D5D12">
        <w:rPr>
          <w:szCs w:val="18"/>
        </w:rPr>
        <w:t xml:space="preserve">also </w:t>
      </w:r>
      <w:r w:rsidR="001D5D12" w:rsidRPr="000210EA">
        <w:rPr>
          <w:szCs w:val="18"/>
        </w:rPr>
        <w:t>allow time for</w:t>
      </w:r>
      <w:r w:rsidR="00A20935">
        <w:rPr>
          <w:szCs w:val="18"/>
        </w:rPr>
        <w:t xml:space="preserve"> the</w:t>
      </w:r>
      <w:r w:rsidR="001D5D12" w:rsidRPr="000210EA">
        <w:rPr>
          <w:szCs w:val="18"/>
        </w:rPr>
        <w:t xml:space="preserve"> </w:t>
      </w:r>
      <w:r w:rsidR="00E378B1" w:rsidRPr="00DD69E1">
        <w:t>ICN to acknowledge the LIDP</w:t>
      </w:r>
      <w:r w:rsidR="00ED2BC8">
        <w:t xml:space="preserve"> and prepare an Acknowledgement Letter</w:t>
      </w:r>
      <w:r w:rsidR="001D5D12" w:rsidRPr="0099205B">
        <w:rPr>
          <w:szCs w:val="18"/>
        </w:rPr>
        <w:t>.</w:t>
      </w:r>
    </w:p>
    <w:p w14:paraId="2501CCAD" w14:textId="45D79A9D" w:rsidR="001D5D12" w:rsidRPr="000210EA" w:rsidRDefault="001D5D12" w:rsidP="00A85BA7">
      <w:pPr>
        <w:pStyle w:val="bodycopy"/>
        <w:jc w:val="both"/>
      </w:pPr>
      <w:r w:rsidRPr="000210EA">
        <w:rPr>
          <w:szCs w:val="18"/>
        </w:rPr>
        <w:t xml:space="preserve">If </w:t>
      </w:r>
      <w:r w:rsidRPr="0099205B">
        <w:rPr>
          <w:szCs w:val="18"/>
        </w:rPr>
        <w:t xml:space="preserve">you wish to submit an LIDP after the tender close </w:t>
      </w:r>
      <w:r w:rsidR="00ED2BC8" w:rsidRPr="0099205B">
        <w:rPr>
          <w:szCs w:val="18"/>
        </w:rPr>
        <w:t>date,</w:t>
      </w:r>
      <w:r w:rsidR="00FE5C8F">
        <w:rPr>
          <w:szCs w:val="18"/>
        </w:rPr>
        <w:t xml:space="preserve"> please </w:t>
      </w:r>
      <w:r w:rsidRPr="0099205B">
        <w:rPr>
          <w:szCs w:val="18"/>
        </w:rPr>
        <w:t>contact the agency. The agency will notify the ICN and all bidders on whether an extension has been allowed</w:t>
      </w:r>
      <w:r w:rsidR="00A522AD">
        <w:rPr>
          <w:szCs w:val="18"/>
        </w:rPr>
        <w:t>. If the agency agrees to an extension</w:t>
      </w:r>
      <w:r w:rsidR="00A20935">
        <w:rPr>
          <w:szCs w:val="18"/>
        </w:rPr>
        <w:t>,</w:t>
      </w:r>
      <w:r w:rsidR="00096B55">
        <w:rPr>
          <w:szCs w:val="18"/>
        </w:rPr>
        <w:t xml:space="preserve"> they will</w:t>
      </w:r>
      <w:r w:rsidRPr="0099205B">
        <w:rPr>
          <w:szCs w:val="18"/>
        </w:rPr>
        <w:t xml:space="preserve"> advise the revised due date for all LIDPs</w:t>
      </w:r>
      <w:r w:rsidR="007537F2">
        <w:rPr>
          <w:szCs w:val="18"/>
        </w:rPr>
        <w:t xml:space="preserve"> and </w:t>
      </w:r>
      <w:r w:rsidRPr="0099205B">
        <w:rPr>
          <w:szCs w:val="18"/>
        </w:rPr>
        <w:t>revise the timeline on the VMC as appropriate.</w:t>
      </w:r>
    </w:p>
    <w:p w14:paraId="1B30FF8B" w14:textId="052E7105" w:rsidR="008C5C13" w:rsidRDefault="00754112" w:rsidP="00DD69E1">
      <w:pPr>
        <w:pStyle w:val="Heading3"/>
        <w:ind w:left="720"/>
        <w:jc w:val="both"/>
      </w:pPr>
      <w:r>
        <w:t>ICN Acknowledgement Letter</w:t>
      </w:r>
      <w:bookmarkEnd w:id="593"/>
    </w:p>
    <w:p w14:paraId="0AB7EAE2" w14:textId="376F81C0" w:rsidR="00C174CE" w:rsidRPr="00C95676" w:rsidRDefault="00C174CE" w:rsidP="00C84694">
      <w:pPr>
        <w:pStyle w:val="bodycopy"/>
        <w:jc w:val="both"/>
        <w:rPr>
          <w:szCs w:val="18"/>
        </w:rPr>
      </w:pPr>
      <w:r w:rsidRPr="00ED31F6">
        <w:rPr>
          <w:szCs w:val="18"/>
        </w:rPr>
        <w:t xml:space="preserve">The </w:t>
      </w:r>
      <w:r w:rsidRPr="00C95676">
        <w:rPr>
          <w:szCs w:val="18"/>
        </w:rPr>
        <w:t xml:space="preserve">ICN will review each bidder’s LIDP </w:t>
      </w:r>
      <w:r>
        <w:rPr>
          <w:szCs w:val="18"/>
        </w:rPr>
        <w:t>and consider completeness</w:t>
      </w:r>
      <w:r w:rsidR="00E23024">
        <w:rPr>
          <w:szCs w:val="18"/>
        </w:rPr>
        <w:t xml:space="preserve"> and</w:t>
      </w:r>
      <w:r>
        <w:rPr>
          <w:szCs w:val="18"/>
        </w:rPr>
        <w:t xml:space="preserve"> compliance of the information. </w:t>
      </w:r>
      <w:r w:rsidR="00E23024">
        <w:rPr>
          <w:szCs w:val="18"/>
        </w:rPr>
        <w:t xml:space="preserve">The </w:t>
      </w:r>
      <w:r w:rsidR="007C6876" w:rsidRPr="00441BE2">
        <w:rPr>
          <w:szCs w:val="18"/>
        </w:rPr>
        <w:t>ICN administers its LIDP review function separately from its identification of local goods and services and other assistance functions, for reasons of probity and privacy.</w:t>
      </w:r>
    </w:p>
    <w:p w14:paraId="42DFA8BF" w14:textId="3F889450" w:rsidR="00333EB4" w:rsidRDefault="00333EB4" w:rsidP="00C84694">
      <w:pPr>
        <w:spacing w:before="0"/>
        <w:contextualSpacing/>
        <w:jc w:val="both"/>
        <w:rPr>
          <w:rFonts w:cs="Arial"/>
        </w:rPr>
      </w:pPr>
      <w:r>
        <w:rPr>
          <w:rFonts w:cs="Arial"/>
        </w:rPr>
        <w:t xml:space="preserve">The </w:t>
      </w:r>
      <w:r w:rsidRPr="00A00B17">
        <w:rPr>
          <w:rFonts w:cs="Arial"/>
        </w:rPr>
        <w:t>IC</w:t>
      </w:r>
      <w:r>
        <w:rPr>
          <w:rFonts w:cs="Arial"/>
        </w:rPr>
        <w:t>N will acknowledge receipt of an</w:t>
      </w:r>
      <w:r w:rsidRPr="00A00B17">
        <w:rPr>
          <w:rFonts w:cs="Arial"/>
        </w:rPr>
        <w:t xml:space="preserve"> </w:t>
      </w:r>
      <w:r>
        <w:rPr>
          <w:rFonts w:cs="Arial"/>
        </w:rPr>
        <w:t>LIDP</w:t>
      </w:r>
      <w:r w:rsidRPr="00A00B17">
        <w:rPr>
          <w:rFonts w:cs="Arial"/>
        </w:rPr>
        <w:t xml:space="preserve"> and issue an </w:t>
      </w:r>
      <w:r>
        <w:rPr>
          <w:rFonts w:cs="Arial"/>
        </w:rPr>
        <w:t xml:space="preserve">Acknowledgement Letter to </w:t>
      </w:r>
      <w:r w:rsidR="00745EBA" w:rsidRPr="0607158B">
        <w:rPr>
          <w:rFonts w:cs="Arial"/>
        </w:rPr>
        <w:t>bidders that have submitted a complete and compliant LIDP</w:t>
      </w:r>
      <w:r>
        <w:rPr>
          <w:rFonts w:cs="Arial"/>
        </w:rPr>
        <w:t xml:space="preserve">. </w:t>
      </w:r>
      <w:bookmarkStart w:id="595" w:name="_Hlk524333149"/>
      <w:r w:rsidR="000D71B7" w:rsidRPr="0607158B">
        <w:rPr>
          <w:rFonts w:cs="Arial"/>
        </w:rPr>
        <w:t>This can take</w:t>
      </w:r>
      <w:r w:rsidR="00D743B2" w:rsidRPr="0607158B">
        <w:rPr>
          <w:rFonts w:cs="Arial"/>
        </w:rPr>
        <w:t xml:space="preserve"> a minimum of</w:t>
      </w:r>
      <w:r w:rsidR="000D71B7" w:rsidRPr="0607158B">
        <w:rPr>
          <w:rFonts w:cs="Arial"/>
        </w:rPr>
        <w:t xml:space="preserve"> </w:t>
      </w:r>
      <w:r w:rsidR="00D578DE">
        <w:rPr>
          <w:rFonts w:cs="Arial"/>
        </w:rPr>
        <w:t>3</w:t>
      </w:r>
      <w:r w:rsidR="00D743B2" w:rsidRPr="0607158B">
        <w:rPr>
          <w:rFonts w:cs="Arial"/>
        </w:rPr>
        <w:t xml:space="preserve"> to </w:t>
      </w:r>
      <w:r w:rsidR="00D578DE">
        <w:rPr>
          <w:rFonts w:cs="Arial"/>
        </w:rPr>
        <w:t>5</w:t>
      </w:r>
      <w:r w:rsidR="000D71B7" w:rsidRPr="0607158B">
        <w:rPr>
          <w:rFonts w:cs="Arial"/>
        </w:rPr>
        <w:t xml:space="preserve"> working days. </w:t>
      </w:r>
      <w:r>
        <w:rPr>
          <w:rFonts w:cs="Arial"/>
        </w:rPr>
        <w:t xml:space="preserve">The ICN will </w:t>
      </w:r>
      <w:r w:rsidRPr="00060EFA">
        <w:rPr>
          <w:rFonts w:cs="Arial"/>
          <w:u w:val="single"/>
        </w:rPr>
        <w:t>only</w:t>
      </w:r>
      <w:r>
        <w:rPr>
          <w:rFonts w:cs="Arial"/>
        </w:rPr>
        <w:t xml:space="preserve"> issue the Acknowledgement Letter if:</w:t>
      </w:r>
    </w:p>
    <w:p w14:paraId="19598C78" w14:textId="69F9EB3A" w:rsidR="00333EB4" w:rsidRDefault="00333EB4" w:rsidP="00DD69E1">
      <w:pPr>
        <w:pStyle w:val="dotpoints"/>
        <w:spacing w:line="240" w:lineRule="auto"/>
        <w:ind w:left="357" w:hanging="357"/>
        <w:jc w:val="both"/>
      </w:pPr>
      <w:r w:rsidRPr="005D1253">
        <w:t xml:space="preserve">all sections of the </w:t>
      </w:r>
      <w:r>
        <w:t>LIDP</w:t>
      </w:r>
      <w:r w:rsidRPr="005D1253">
        <w:t xml:space="preserve"> are</w:t>
      </w:r>
      <w:r w:rsidR="007B19ED">
        <w:t xml:space="preserve"> satisfacto</w:t>
      </w:r>
      <w:r w:rsidR="00A47A68">
        <w:t>rily</w:t>
      </w:r>
      <w:r w:rsidRPr="005D1253">
        <w:t xml:space="preserve"> complete</w:t>
      </w:r>
      <w:r w:rsidR="00A47A68">
        <w:t>d</w:t>
      </w:r>
    </w:p>
    <w:p w14:paraId="795D476B" w14:textId="42FEB647" w:rsidR="00B21C28" w:rsidRDefault="0071592B" w:rsidP="00DD69E1">
      <w:pPr>
        <w:pStyle w:val="dotpoints"/>
        <w:spacing w:line="240" w:lineRule="auto"/>
        <w:ind w:left="357" w:hanging="357"/>
        <w:jc w:val="both"/>
      </w:pPr>
      <w:r>
        <w:t>the LIDP is</w:t>
      </w:r>
      <w:r w:rsidR="00B21C28">
        <w:t xml:space="preserve"> complian</w:t>
      </w:r>
      <w:r>
        <w:t>t</w:t>
      </w:r>
      <w:r w:rsidR="00B21C28">
        <w:t xml:space="preserve"> with the minimum local content requirements on the project a</w:t>
      </w:r>
      <w:r w:rsidR="00B21C28" w:rsidRPr="008B269B">
        <w:t xml:space="preserve">nd any additional requirements set by the </w:t>
      </w:r>
      <w:r w:rsidR="00345084">
        <w:t>M</w:t>
      </w:r>
      <w:r w:rsidR="00B21C28" w:rsidRPr="008B269B">
        <w:t>in</w:t>
      </w:r>
      <w:r w:rsidR="00B21C28">
        <w:t>i</w:t>
      </w:r>
      <w:r w:rsidR="00B21C28" w:rsidRPr="008B269B">
        <w:t>ster</w:t>
      </w:r>
      <w:r w:rsidR="00E23024">
        <w:t xml:space="preserve"> responsible for LJF</w:t>
      </w:r>
      <w:r w:rsidR="00F62E9E">
        <w:t xml:space="preserve"> (</w:t>
      </w:r>
      <w:r w:rsidR="00AF2A86">
        <w:t xml:space="preserve">applies to </w:t>
      </w:r>
      <w:r w:rsidR="00E75B52">
        <w:t xml:space="preserve">all </w:t>
      </w:r>
      <w:r w:rsidR="00F62E9E" w:rsidRPr="00441BE2">
        <w:t>Strategic Projects</w:t>
      </w:r>
      <w:r w:rsidR="00F62E9E">
        <w:t xml:space="preserve"> </w:t>
      </w:r>
      <w:r w:rsidR="00E75B52">
        <w:t xml:space="preserve">and </w:t>
      </w:r>
      <w:r w:rsidR="00AF2A86">
        <w:t xml:space="preserve">may apply to some </w:t>
      </w:r>
      <w:r w:rsidR="00E75B52">
        <w:t>Standard Projects</w:t>
      </w:r>
      <w:r w:rsidR="00F62E9E">
        <w:t>)</w:t>
      </w:r>
    </w:p>
    <w:p w14:paraId="13C2CE66" w14:textId="3C5CE571" w:rsidR="0071592B" w:rsidRPr="005D1253" w:rsidRDefault="00F62E9E" w:rsidP="00DD69E1">
      <w:pPr>
        <w:pStyle w:val="dotpoints"/>
        <w:spacing w:line="240" w:lineRule="auto"/>
        <w:ind w:left="357" w:hanging="357"/>
        <w:jc w:val="both"/>
      </w:pPr>
      <w:r>
        <w:t xml:space="preserve">the LIDP is compliant with </w:t>
      </w:r>
      <w:r w:rsidR="0071592B" w:rsidRPr="006051E0">
        <w:t>the</w:t>
      </w:r>
      <w:r>
        <w:t xml:space="preserve"> minimum</w:t>
      </w:r>
      <w:r w:rsidR="0071592B" w:rsidRPr="006051E0">
        <w:t xml:space="preserve"> MPSG</w:t>
      </w:r>
      <w:r>
        <w:t xml:space="preserve"> requirement (</w:t>
      </w:r>
      <w:r w:rsidRPr="00441BE2">
        <w:t>MPSG projects</w:t>
      </w:r>
      <w:r>
        <w:t xml:space="preserve"> only)</w:t>
      </w:r>
    </w:p>
    <w:p w14:paraId="1B6E8C59" w14:textId="52DAF7CA" w:rsidR="00333EB4" w:rsidRPr="005D1253" w:rsidRDefault="00333EB4" w:rsidP="00DD69E1">
      <w:pPr>
        <w:pStyle w:val="dotpoints"/>
        <w:spacing w:line="240" w:lineRule="auto"/>
        <w:ind w:left="357" w:hanging="357"/>
        <w:jc w:val="both"/>
      </w:pPr>
      <w:r w:rsidRPr="005D1253">
        <w:t xml:space="preserve">the </w:t>
      </w:r>
      <w:r>
        <w:t>LIDP</w:t>
      </w:r>
      <w:r w:rsidRPr="005D1253">
        <w:t xml:space="preserve"> has been submitted within the specified tender timeframe</w:t>
      </w:r>
    </w:p>
    <w:p w14:paraId="261E0951" w14:textId="4737743A" w:rsidR="00E43D1E" w:rsidRDefault="00333EB4" w:rsidP="00DD69E1">
      <w:pPr>
        <w:pStyle w:val="dotpoints"/>
        <w:spacing w:line="240" w:lineRule="auto"/>
        <w:ind w:left="357" w:hanging="357"/>
        <w:jc w:val="both"/>
      </w:pPr>
      <w:r w:rsidRPr="005D1253">
        <w:t>the Statutory Declaration and all other conditions are agreed, including monitoring, reporting, auditing and compliance.</w:t>
      </w:r>
      <w:bookmarkEnd w:id="595"/>
    </w:p>
    <w:p w14:paraId="179890B4" w14:textId="77777777" w:rsidR="00944C6C" w:rsidRDefault="00944C6C" w:rsidP="00DD69E1">
      <w:pPr>
        <w:pStyle w:val="Heading3"/>
        <w:ind w:left="720"/>
        <w:jc w:val="both"/>
      </w:pPr>
      <w:bookmarkStart w:id="596" w:name="_Toc104558173"/>
      <w:bookmarkStart w:id="597" w:name="_Toc110586031"/>
      <w:bookmarkStart w:id="598" w:name="_Toc104558174"/>
      <w:bookmarkStart w:id="599" w:name="_Toc110586032"/>
      <w:bookmarkStart w:id="600" w:name="_Toc104558175"/>
      <w:bookmarkStart w:id="601" w:name="_Toc110586033"/>
      <w:bookmarkStart w:id="602" w:name="_Toc104558176"/>
      <w:bookmarkStart w:id="603" w:name="_Toc110586034"/>
      <w:bookmarkStart w:id="604" w:name="_Toc104558177"/>
      <w:bookmarkStart w:id="605" w:name="_Toc110586035"/>
      <w:bookmarkStart w:id="606" w:name="_Toc104558178"/>
      <w:bookmarkStart w:id="607" w:name="_Toc110586036"/>
      <w:bookmarkStart w:id="608" w:name="_Toc104558179"/>
      <w:bookmarkStart w:id="609" w:name="_Toc110586037"/>
      <w:bookmarkStart w:id="610" w:name="_Toc104558180"/>
      <w:bookmarkStart w:id="611" w:name="_Toc110586038"/>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r>
        <w:t>Non-compliant LIDPs</w:t>
      </w:r>
    </w:p>
    <w:p w14:paraId="52F40243" w14:textId="7F34D3DF" w:rsidR="00944C6C" w:rsidRPr="008B4B1A" w:rsidRDefault="00944C6C" w:rsidP="00A85BA7">
      <w:pPr>
        <w:spacing w:before="0"/>
        <w:jc w:val="both"/>
      </w:pPr>
      <w:r w:rsidRPr="7BEE95FE">
        <w:rPr>
          <w:rFonts w:cs="Arial"/>
        </w:rPr>
        <w:t xml:space="preserve">The ICN will inform a bidder and the agency in writing if the bidder’s LIDP has been deemed non-compliant due to </w:t>
      </w:r>
      <w:r w:rsidR="0069660A">
        <w:rPr>
          <w:rFonts w:cs="Arial"/>
        </w:rPr>
        <w:t xml:space="preserve">not meeting minimum local content requirements (if applicable), </w:t>
      </w:r>
      <w:r w:rsidRPr="7BEE95FE">
        <w:rPr>
          <w:rFonts w:cs="Arial"/>
        </w:rPr>
        <w:t xml:space="preserve">incompleteness or inaccessible information being provided. When this happens, a non-compliance letter will be issued. </w:t>
      </w:r>
      <w:r w:rsidR="00153D4C" w:rsidRPr="00441BE2">
        <w:rPr>
          <w:rFonts w:cs="Arial"/>
        </w:rPr>
        <w:t xml:space="preserve">The agency may choose to </w:t>
      </w:r>
      <w:r w:rsidR="00153D4C" w:rsidRPr="00042ADB">
        <w:t>request that the supplier resubmits the LIDP</w:t>
      </w:r>
      <w:r w:rsidR="00153D4C" w:rsidRPr="00441BE2">
        <w:rPr>
          <w:rFonts w:cs="Arial"/>
        </w:rPr>
        <w:t>.</w:t>
      </w:r>
    </w:p>
    <w:p w14:paraId="2A0585F5" w14:textId="680A6C9D" w:rsidR="00D41A9A" w:rsidRPr="00042ADB" w:rsidRDefault="002A6E45" w:rsidP="00DD69E1">
      <w:pPr>
        <w:pStyle w:val="Heading2"/>
        <w:ind w:left="578" w:hanging="578"/>
        <w:jc w:val="both"/>
        <w:rPr>
          <w:sz w:val="24"/>
          <w:szCs w:val="24"/>
        </w:rPr>
      </w:pPr>
      <w:bookmarkStart w:id="612" w:name="_Toc110586508"/>
      <w:bookmarkStart w:id="613" w:name="_Toc207867994"/>
      <w:r w:rsidRPr="00042ADB">
        <w:rPr>
          <w:sz w:val="24"/>
          <w:szCs w:val="24"/>
        </w:rPr>
        <w:t xml:space="preserve">Step 3 - </w:t>
      </w:r>
      <w:r w:rsidR="00D41A9A" w:rsidRPr="00042ADB">
        <w:rPr>
          <w:sz w:val="24"/>
          <w:szCs w:val="24"/>
        </w:rPr>
        <w:t xml:space="preserve">Submit LIDP and Acknowledgement Letter to the </w:t>
      </w:r>
      <w:r w:rsidR="00EB3C9F" w:rsidRPr="00042ADB">
        <w:rPr>
          <w:sz w:val="24"/>
          <w:szCs w:val="24"/>
        </w:rPr>
        <w:t>a</w:t>
      </w:r>
      <w:r w:rsidR="00D41A9A" w:rsidRPr="00042ADB">
        <w:rPr>
          <w:sz w:val="24"/>
          <w:szCs w:val="24"/>
        </w:rPr>
        <w:t>gency</w:t>
      </w:r>
      <w:bookmarkEnd w:id="612"/>
      <w:bookmarkEnd w:id="613"/>
    </w:p>
    <w:p w14:paraId="237A474C" w14:textId="103B9082" w:rsidR="00D41A9A" w:rsidRPr="00042ADB" w:rsidRDefault="00D41A9A" w:rsidP="00A85BA7">
      <w:pPr>
        <w:spacing w:before="0"/>
        <w:jc w:val="both"/>
        <w:rPr>
          <w:rFonts w:ascii="Arial" w:hAnsi="Arial" w:cs="Arial"/>
          <w:szCs w:val="18"/>
        </w:rPr>
      </w:pPr>
      <w:r>
        <w:rPr>
          <w:rFonts w:cs="Arial"/>
          <w:szCs w:val="18"/>
        </w:rPr>
        <w:t>B</w:t>
      </w:r>
      <w:r w:rsidRPr="006875FB">
        <w:rPr>
          <w:rFonts w:cs="Arial"/>
          <w:szCs w:val="18"/>
        </w:rPr>
        <w:t xml:space="preserve">idders must submit their LIDP and </w:t>
      </w:r>
      <w:r>
        <w:rPr>
          <w:rFonts w:cs="Arial"/>
          <w:szCs w:val="18"/>
        </w:rPr>
        <w:t>Acknowledgement Letter</w:t>
      </w:r>
      <w:r w:rsidRPr="006875FB">
        <w:rPr>
          <w:rFonts w:cs="Arial"/>
          <w:szCs w:val="18"/>
        </w:rPr>
        <w:t xml:space="preserve"> to the</w:t>
      </w:r>
      <w:r w:rsidR="00305DA1">
        <w:rPr>
          <w:rFonts w:cs="Arial"/>
          <w:szCs w:val="18"/>
        </w:rPr>
        <w:t xml:space="preserve"> </w:t>
      </w:r>
      <w:r w:rsidR="00B26436">
        <w:rPr>
          <w:rFonts w:cs="Arial"/>
          <w:szCs w:val="18"/>
        </w:rPr>
        <w:t>a</w:t>
      </w:r>
      <w:r w:rsidRPr="006875FB">
        <w:rPr>
          <w:rFonts w:cs="Arial"/>
          <w:szCs w:val="18"/>
        </w:rPr>
        <w:t>genc</w:t>
      </w:r>
      <w:r>
        <w:rPr>
          <w:rFonts w:cs="Arial"/>
          <w:szCs w:val="18"/>
        </w:rPr>
        <w:t>y.</w:t>
      </w:r>
      <w:r w:rsidR="006C4F25">
        <w:rPr>
          <w:rFonts w:cs="Arial"/>
          <w:szCs w:val="18"/>
        </w:rPr>
        <w:t xml:space="preserve"> </w:t>
      </w:r>
      <w:r w:rsidRPr="000210EA">
        <w:rPr>
          <w:rFonts w:cs="Arial"/>
          <w:szCs w:val="18"/>
        </w:rPr>
        <w:t xml:space="preserve">The LIDP and Acknowledgement Letter </w:t>
      </w:r>
      <w:r w:rsidR="00EE0E13">
        <w:rPr>
          <w:rFonts w:cs="Arial"/>
          <w:szCs w:val="18"/>
        </w:rPr>
        <w:t>may be submitted in hardcopy or electronically</w:t>
      </w:r>
      <w:r w:rsidRPr="000210EA">
        <w:rPr>
          <w:rFonts w:cs="Arial"/>
          <w:szCs w:val="18"/>
        </w:rPr>
        <w:t xml:space="preserve"> to the tender evaluation panel</w:t>
      </w:r>
      <w:r w:rsidR="00EE0E13">
        <w:rPr>
          <w:rFonts w:cs="Arial"/>
          <w:szCs w:val="18"/>
        </w:rPr>
        <w:t>.</w:t>
      </w:r>
      <w:r w:rsidRPr="00042ADB">
        <w:rPr>
          <w:rFonts w:ascii="Arial" w:hAnsi="Arial" w:cs="Arial"/>
          <w:szCs w:val="18"/>
          <w:highlight w:val="yellow"/>
        </w:rPr>
        <w:t xml:space="preserve"> </w:t>
      </w:r>
    </w:p>
    <w:p w14:paraId="5DAFC852" w14:textId="7B535D83" w:rsidR="00D41A9A" w:rsidRPr="00A31BA5" w:rsidRDefault="00D41A9A" w:rsidP="00A85BA7">
      <w:pPr>
        <w:spacing w:before="0"/>
        <w:jc w:val="both"/>
        <w:rPr>
          <w:rFonts w:cs="Arial"/>
          <w:szCs w:val="18"/>
        </w:rPr>
      </w:pPr>
      <w:r w:rsidRPr="00A31BA5">
        <w:rPr>
          <w:rFonts w:cs="Arial"/>
          <w:szCs w:val="18"/>
        </w:rPr>
        <w:t>During the tender evaluation process, the agency</w:t>
      </w:r>
      <w:r w:rsidR="005E00D7">
        <w:rPr>
          <w:rFonts w:cs="Arial"/>
          <w:szCs w:val="18"/>
        </w:rPr>
        <w:t xml:space="preserve"> may</w:t>
      </w:r>
      <w:r w:rsidRPr="00A31BA5">
        <w:rPr>
          <w:rFonts w:cs="Arial"/>
          <w:szCs w:val="18"/>
        </w:rPr>
        <w:t xml:space="preserve"> address with bidders any issues of concern with the LIDPs, including </w:t>
      </w:r>
      <w:r w:rsidR="00856BD9">
        <w:rPr>
          <w:rFonts w:cs="Arial"/>
          <w:szCs w:val="18"/>
        </w:rPr>
        <w:t>issues</w:t>
      </w:r>
      <w:r w:rsidRPr="00A31BA5">
        <w:rPr>
          <w:rFonts w:cs="Arial"/>
          <w:szCs w:val="18"/>
        </w:rPr>
        <w:t xml:space="preserve"> identified </w:t>
      </w:r>
      <w:r w:rsidR="0084281C">
        <w:rPr>
          <w:rFonts w:cs="Arial"/>
          <w:szCs w:val="18"/>
        </w:rPr>
        <w:t xml:space="preserve">by the ICN </w:t>
      </w:r>
      <w:r w:rsidRPr="00A31BA5">
        <w:rPr>
          <w:rFonts w:cs="Arial"/>
          <w:szCs w:val="18"/>
        </w:rPr>
        <w:t xml:space="preserve">in the </w:t>
      </w:r>
      <w:r w:rsidR="00856BD9">
        <w:rPr>
          <w:rFonts w:cs="Arial"/>
          <w:szCs w:val="18"/>
        </w:rPr>
        <w:t>Achievability Rating</w:t>
      </w:r>
      <w:r w:rsidRPr="00A31BA5">
        <w:rPr>
          <w:rFonts w:cs="Arial"/>
          <w:szCs w:val="18"/>
        </w:rPr>
        <w:t xml:space="preserve"> </w:t>
      </w:r>
      <w:r w:rsidR="00330D66">
        <w:rPr>
          <w:rFonts w:cs="Arial"/>
          <w:szCs w:val="18"/>
        </w:rPr>
        <w:t>R</w:t>
      </w:r>
      <w:r w:rsidRPr="00A31BA5">
        <w:rPr>
          <w:rFonts w:cs="Arial"/>
          <w:szCs w:val="18"/>
        </w:rPr>
        <w:t>eport.</w:t>
      </w:r>
    </w:p>
    <w:p w14:paraId="3BA4CD21" w14:textId="48375AAF" w:rsidR="00D41A9A" w:rsidRDefault="00D41A9A" w:rsidP="00A85BA7">
      <w:pPr>
        <w:spacing w:before="0"/>
        <w:jc w:val="both"/>
        <w:rPr>
          <w:rFonts w:cs="Arial"/>
          <w:szCs w:val="18"/>
        </w:rPr>
      </w:pPr>
      <w:r w:rsidRPr="00A31BA5">
        <w:rPr>
          <w:rFonts w:cs="Arial"/>
          <w:szCs w:val="18"/>
        </w:rPr>
        <w:t xml:space="preserve">Only notified bidders with </w:t>
      </w:r>
      <w:r>
        <w:rPr>
          <w:rFonts w:cs="Arial"/>
          <w:szCs w:val="18"/>
        </w:rPr>
        <w:t>an LIDP</w:t>
      </w:r>
      <w:r w:rsidRPr="00A31BA5">
        <w:rPr>
          <w:rFonts w:cs="Arial"/>
          <w:szCs w:val="18"/>
        </w:rPr>
        <w:t xml:space="preserve"> and ICN </w:t>
      </w:r>
      <w:r>
        <w:rPr>
          <w:rFonts w:cs="Arial"/>
          <w:szCs w:val="18"/>
        </w:rPr>
        <w:t>Acknowledgement Letter</w:t>
      </w:r>
      <w:r w:rsidRPr="00A31BA5">
        <w:rPr>
          <w:rFonts w:cs="Arial"/>
          <w:szCs w:val="18"/>
        </w:rPr>
        <w:t xml:space="preserve"> may be considered by the tender evaluation panel when selecting the successful applicant.</w:t>
      </w:r>
    </w:p>
    <w:p w14:paraId="3C5E2E93" w14:textId="1836B767" w:rsidR="00D41A9A" w:rsidRDefault="00D41A9A" w:rsidP="00A85BA7">
      <w:pPr>
        <w:spacing w:before="0"/>
        <w:jc w:val="both"/>
      </w:pPr>
      <w:r>
        <w:rPr>
          <w:rFonts w:cs="Arial"/>
          <w:szCs w:val="18"/>
        </w:rPr>
        <w:t xml:space="preserve">Should you wish to see guidance on how agencies evaluate LIDPs, refer to the </w:t>
      </w:r>
      <w:r w:rsidR="00834F59" w:rsidRPr="00042ADB">
        <w:rPr>
          <w:rFonts w:cs="Arial"/>
          <w:i/>
          <w:iCs/>
          <w:szCs w:val="18"/>
        </w:rPr>
        <w:t>LJF</w:t>
      </w:r>
      <w:r w:rsidRPr="00042ADB">
        <w:rPr>
          <w:rFonts w:cs="Arial"/>
          <w:i/>
          <w:iCs/>
          <w:szCs w:val="18"/>
        </w:rPr>
        <w:t xml:space="preserve"> Agency Guidelines</w:t>
      </w:r>
      <w:r>
        <w:rPr>
          <w:rFonts w:cs="Arial"/>
          <w:szCs w:val="18"/>
        </w:rPr>
        <w:t xml:space="preserve"> which can be found at </w:t>
      </w:r>
      <w:hyperlink r:id="rId26" w:history="1">
        <w:r w:rsidRPr="00C61B53">
          <w:rPr>
            <w:color w:val="0000FF"/>
            <w:u w:val="single"/>
          </w:rPr>
          <w:t>localjobsfirst.vic.gov.au/key-documents</w:t>
        </w:r>
      </w:hyperlink>
      <w:r>
        <w:t>.</w:t>
      </w:r>
    </w:p>
    <w:p w14:paraId="601872D1" w14:textId="2B37E1BB" w:rsidR="00284E10" w:rsidRDefault="00284E10" w:rsidP="00DD69E1">
      <w:pPr>
        <w:pStyle w:val="Heading3"/>
        <w:ind w:left="720"/>
        <w:jc w:val="both"/>
      </w:pPr>
      <w:bookmarkStart w:id="614" w:name="_ICN_Risk_Evaluation"/>
      <w:bookmarkStart w:id="615" w:name="_ICN_Achievability_Rating"/>
      <w:bookmarkEnd w:id="614"/>
      <w:bookmarkEnd w:id="615"/>
      <w:r>
        <w:t xml:space="preserve">ICN </w:t>
      </w:r>
      <w:r w:rsidR="006942AB">
        <w:t xml:space="preserve">Achievability Rating Report (formerly the </w:t>
      </w:r>
      <w:r>
        <w:t>Risk Evaluation Report</w:t>
      </w:r>
      <w:r w:rsidR="006942AB">
        <w:t>)</w:t>
      </w:r>
    </w:p>
    <w:p w14:paraId="24F99F0F" w14:textId="79F4BC64" w:rsidR="00284E10" w:rsidRDefault="003214F7" w:rsidP="00A85BA7">
      <w:pPr>
        <w:spacing w:before="0"/>
        <w:jc w:val="both"/>
        <w:rPr>
          <w:rFonts w:cs="Arial"/>
          <w:szCs w:val="18"/>
        </w:rPr>
      </w:pPr>
      <w:r>
        <w:rPr>
          <w:rFonts w:cs="Arial"/>
          <w:szCs w:val="18"/>
        </w:rPr>
        <w:t>After the tender close date, t</w:t>
      </w:r>
      <w:r w:rsidR="00284E10" w:rsidRPr="00ED31F6">
        <w:rPr>
          <w:rFonts w:cs="Arial"/>
          <w:szCs w:val="18"/>
        </w:rPr>
        <w:t xml:space="preserve">he </w:t>
      </w:r>
      <w:r w:rsidR="00284E10" w:rsidRPr="00C95676">
        <w:rPr>
          <w:rFonts w:cs="Arial"/>
          <w:szCs w:val="18"/>
        </w:rPr>
        <w:t>ICN will issue a</w:t>
      </w:r>
      <w:r w:rsidR="00284E10">
        <w:rPr>
          <w:rFonts w:cs="Arial"/>
          <w:szCs w:val="18"/>
        </w:rPr>
        <w:t>n</w:t>
      </w:r>
      <w:r w:rsidR="00284E10" w:rsidRPr="00C95676">
        <w:rPr>
          <w:rFonts w:cs="Arial"/>
          <w:szCs w:val="18"/>
        </w:rPr>
        <w:t xml:space="preserve"> LJF </w:t>
      </w:r>
      <w:r w:rsidR="006942AB">
        <w:rPr>
          <w:rFonts w:cs="Arial"/>
          <w:szCs w:val="18"/>
        </w:rPr>
        <w:t>Achievability Rating</w:t>
      </w:r>
      <w:r w:rsidR="00284E10" w:rsidRPr="00C95676">
        <w:rPr>
          <w:rFonts w:cs="Arial"/>
          <w:szCs w:val="18"/>
        </w:rPr>
        <w:t xml:space="preserve"> </w:t>
      </w:r>
      <w:r w:rsidR="00EA5C10">
        <w:rPr>
          <w:rFonts w:cs="Arial"/>
          <w:szCs w:val="18"/>
        </w:rPr>
        <w:t>R</w:t>
      </w:r>
      <w:r w:rsidR="00284E10" w:rsidRPr="00C95676">
        <w:rPr>
          <w:rFonts w:cs="Arial"/>
          <w:szCs w:val="18"/>
        </w:rPr>
        <w:t>eport</w:t>
      </w:r>
      <w:r w:rsidR="00E47BE0">
        <w:rPr>
          <w:rFonts w:cs="Arial"/>
          <w:szCs w:val="18"/>
        </w:rPr>
        <w:t xml:space="preserve"> to the agency. This report</w:t>
      </w:r>
      <w:r w:rsidR="00284E10" w:rsidRPr="00C95676">
        <w:rPr>
          <w:rFonts w:cs="Arial"/>
          <w:szCs w:val="18"/>
        </w:rPr>
        <w:t xml:space="preserve"> assesses the achievability of the commitments made in each of the LIDPs submitted by all bidders</w:t>
      </w:r>
      <w:r w:rsidR="00284E10" w:rsidRPr="0044374D">
        <w:rPr>
          <w:rFonts w:cs="Arial"/>
          <w:szCs w:val="18"/>
        </w:rPr>
        <w:t xml:space="preserve"> and provide</w:t>
      </w:r>
      <w:r w:rsidR="00284E10">
        <w:rPr>
          <w:rFonts w:cs="Arial"/>
          <w:szCs w:val="18"/>
        </w:rPr>
        <w:t>s</w:t>
      </w:r>
      <w:r w:rsidR="00284E10" w:rsidRPr="0044374D">
        <w:rPr>
          <w:rFonts w:cs="Arial"/>
          <w:szCs w:val="18"/>
        </w:rPr>
        <w:t xml:space="preserve"> a risk rating of either high, medium or low. This rating reflects ICN’s expert opinion on how likely you are to meet the commitments you have made in your LIDP and allows for agencies to provide a full and fair opportunity to bidders. It is therefore very important to fill out the LIDP correctly and honestly.</w:t>
      </w:r>
    </w:p>
    <w:p w14:paraId="1757C1D7" w14:textId="7A8156C4" w:rsidR="00284E10" w:rsidRPr="00A31BA5" w:rsidRDefault="00284E10" w:rsidP="00A85BA7">
      <w:pPr>
        <w:spacing w:before="0"/>
        <w:jc w:val="both"/>
        <w:rPr>
          <w:rFonts w:cs="Arial"/>
        </w:rPr>
      </w:pPr>
      <w:r w:rsidRPr="68000B7C">
        <w:rPr>
          <w:rFonts w:cs="Arial"/>
        </w:rPr>
        <w:t xml:space="preserve">Agencies will apply a ‘risk discount’ in their assessment of your bid. If you </w:t>
      </w:r>
      <w:r w:rsidR="005327BB" w:rsidRPr="68000B7C">
        <w:rPr>
          <w:rFonts w:cs="Arial"/>
        </w:rPr>
        <w:t>receive</w:t>
      </w:r>
      <w:r w:rsidRPr="68000B7C">
        <w:rPr>
          <w:rFonts w:cs="Arial"/>
        </w:rPr>
        <w:t xml:space="preserve"> a high</w:t>
      </w:r>
      <w:r w:rsidR="00270D0B" w:rsidRPr="68000B7C">
        <w:rPr>
          <w:rFonts w:cs="Arial"/>
        </w:rPr>
        <w:t>-</w:t>
      </w:r>
      <w:r w:rsidRPr="68000B7C">
        <w:rPr>
          <w:rFonts w:cs="Arial"/>
        </w:rPr>
        <w:t>risk</w:t>
      </w:r>
      <w:r w:rsidR="008B3957" w:rsidRPr="68000B7C">
        <w:rPr>
          <w:rFonts w:cs="Arial"/>
        </w:rPr>
        <w:t xml:space="preserve"> rating</w:t>
      </w:r>
      <w:r w:rsidR="005327BB" w:rsidRPr="68000B7C">
        <w:rPr>
          <w:rFonts w:cs="Arial"/>
        </w:rPr>
        <w:t xml:space="preserve"> for your LIDP commitments</w:t>
      </w:r>
      <w:r w:rsidRPr="68000B7C">
        <w:rPr>
          <w:rFonts w:cs="Arial"/>
        </w:rPr>
        <w:t xml:space="preserve">, you </w:t>
      </w:r>
      <w:r w:rsidR="009E1182" w:rsidRPr="68000B7C">
        <w:rPr>
          <w:rFonts w:cs="Arial"/>
        </w:rPr>
        <w:t>may</w:t>
      </w:r>
      <w:r w:rsidRPr="68000B7C">
        <w:rPr>
          <w:rFonts w:cs="Arial"/>
        </w:rPr>
        <w:t xml:space="preserve"> automatically score a zero for the LJF </w:t>
      </w:r>
      <w:r w:rsidR="009B013A" w:rsidRPr="68000B7C">
        <w:rPr>
          <w:rFonts w:cs="Arial"/>
        </w:rPr>
        <w:t xml:space="preserve">industry development </w:t>
      </w:r>
      <w:r w:rsidRPr="68000B7C">
        <w:rPr>
          <w:rFonts w:cs="Arial"/>
        </w:rPr>
        <w:t>weighting. If you get a medium risk, you may lose two points against the weightings. It is therefore very important to get the right balance between committing to local content and jobs</w:t>
      </w:r>
      <w:r w:rsidR="001D41CC" w:rsidRPr="68000B7C">
        <w:rPr>
          <w:rFonts w:cs="Arial"/>
        </w:rPr>
        <w:t xml:space="preserve"> while</w:t>
      </w:r>
      <w:r w:rsidRPr="68000B7C">
        <w:rPr>
          <w:rFonts w:cs="Arial"/>
        </w:rPr>
        <w:t xml:space="preserve"> also being realistic in </w:t>
      </w:r>
      <w:r w:rsidR="008850C9" w:rsidRPr="68000B7C">
        <w:rPr>
          <w:rFonts w:cs="Arial"/>
        </w:rPr>
        <w:t>preparing your LIDP</w:t>
      </w:r>
      <w:r w:rsidRPr="68000B7C">
        <w:rPr>
          <w:rFonts w:cs="Arial"/>
        </w:rPr>
        <w:t>.</w:t>
      </w:r>
    </w:p>
    <w:p w14:paraId="1CB42236" w14:textId="4EEA8DF8" w:rsidR="00284E10" w:rsidRPr="009D10DB" w:rsidRDefault="00284E10" w:rsidP="00A85BA7">
      <w:pPr>
        <w:spacing w:before="0"/>
        <w:jc w:val="both"/>
        <w:rPr>
          <w:rFonts w:cs="Arial"/>
          <w:szCs w:val="18"/>
        </w:rPr>
      </w:pPr>
      <w:r w:rsidRPr="00A31BA5">
        <w:rPr>
          <w:rFonts w:cs="Arial"/>
          <w:szCs w:val="18"/>
        </w:rPr>
        <w:t>Agencies will use your L</w:t>
      </w:r>
      <w:r>
        <w:rPr>
          <w:rFonts w:cs="Arial"/>
          <w:szCs w:val="18"/>
        </w:rPr>
        <w:t>I</w:t>
      </w:r>
      <w:r w:rsidRPr="00A31BA5">
        <w:rPr>
          <w:rFonts w:cs="Arial"/>
          <w:szCs w:val="18"/>
        </w:rPr>
        <w:t xml:space="preserve">DP and the ICN </w:t>
      </w:r>
      <w:r w:rsidR="006942AB">
        <w:rPr>
          <w:rFonts w:cs="Arial"/>
          <w:szCs w:val="18"/>
        </w:rPr>
        <w:t>Achievability Rating</w:t>
      </w:r>
      <w:r>
        <w:rPr>
          <w:rFonts w:cs="Arial"/>
          <w:szCs w:val="18"/>
        </w:rPr>
        <w:t xml:space="preserve"> </w:t>
      </w:r>
      <w:r w:rsidR="0023742D">
        <w:rPr>
          <w:rFonts w:cs="Arial"/>
          <w:szCs w:val="18"/>
        </w:rPr>
        <w:t>R</w:t>
      </w:r>
      <w:r>
        <w:rPr>
          <w:rFonts w:cs="Arial"/>
          <w:szCs w:val="18"/>
        </w:rPr>
        <w:t>eport</w:t>
      </w:r>
      <w:r w:rsidRPr="00A31BA5">
        <w:rPr>
          <w:rFonts w:cs="Arial"/>
          <w:szCs w:val="18"/>
        </w:rPr>
        <w:t xml:space="preserve"> </w:t>
      </w:r>
      <w:r>
        <w:rPr>
          <w:rFonts w:cs="Arial"/>
          <w:szCs w:val="18"/>
        </w:rPr>
        <w:t>t</w:t>
      </w:r>
      <w:r w:rsidRPr="00A31BA5">
        <w:rPr>
          <w:rFonts w:cs="Arial"/>
          <w:szCs w:val="18"/>
        </w:rPr>
        <w:t>o establish your score against the L</w:t>
      </w:r>
      <w:r>
        <w:rPr>
          <w:rFonts w:cs="Arial"/>
          <w:szCs w:val="18"/>
        </w:rPr>
        <w:t>JF</w:t>
      </w:r>
      <w:r w:rsidRPr="00A31BA5">
        <w:rPr>
          <w:rFonts w:cs="Arial"/>
          <w:szCs w:val="18"/>
        </w:rPr>
        <w:t xml:space="preserve"> weightings – 10 per cent on your jobs outcomes, and 10 per cent on your industry development outcomes. The other 80 per cent will be on the other requirements the agency is taking into consideration on the specific procurement.</w:t>
      </w:r>
    </w:p>
    <w:p w14:paraId="1838DCC6" w14:textId="72CE542B" w:rsidR="00944C6C" w:rsidRDefault="00944C6C" w:rsidP="00DD69E1">
      <w:pPr>
        <w:pStyle w:val="Heading3"/>
        <w:ind w:left="720"/>
        <w:jc w:val="both"/>
      </w:pPr>
      <w:bookmarkStart w:id="616" w:name="_Re-submitting_an_LIDP"/>
      <w:bookmarkEnd w:id="616"/>
      <w:r>
        <w:t>Resubmitting an LIDP</w:t>
      </w:r>
    </w:p>
    <w:p w14:paraId="587A53DF" w14:textId="3EE27F7E" w:rsidR="00944C6C" w:rsidRDefault="006E4835" w:rsidP="00DD69E1">
      <w:pPr>
        <w:jc w:val="both"/>
      </w:pPr>
      <w:r w:rsidRPr="00441BE2">
        <w:rPr>
          <w:rFonts w:cs="Arial"/>
          <w:szCs w:val="18"/>
        </w:rPr>
        <w:t>Agencies may request bidders resubmit an LIDP</w:t>
      </w:r>
      <w:r>
        <w:rPr>
          <w:rFonts w:cs="Arial"/>
          <w:szCs w:val="18"/>
          <w:lang w:eastAsia="en-AU"/>
        </w:rPr>
        <w:t xml:space="preserve"> if </w:t>
      </w:r>
      <w:r w:rsidRPr="00441BE2">
        <w:rPr>
          <w:rFonts w:cs="Arial"/>
          <w:szCs w:val="18"/>
          <w:lang w:eastAsia="en-AU"/>
        </w:rPr>
        <w:t xml:space="preserve">further clarification is required to assure the agency that a specific supplier </w:t>
      </w:r>
      <w:r w:rsidR="00B30E45" w:rsidRPr="00441BE2">
        <w:rPr>
          <w:rFonts w:cs="Arial"/>
          <w:szCs w:val="18"/>
          <w:lang w:eastAsia="en-AU"/>
        </w:rPr>
        <w:t>will be</w:t>
      </w:r>
      <w:r w:rsidRPr="00441BE2">
        <w:rPr>
          <w:rFonts w:cs="Arial"/>
          <w:szCs w:val="18"/>
          <w:lang w:eastAsia="en-AU"/>
        </w:rPr>
        <w:t xml:space="preserve"> able to meet their stated commitments</w:t>
      </w:r>
      <w:r>
        <w:rPr>
          <w:rFonts w:cs="Arial"/>
          <w:szCs w:val="18"/>
          <w:lang w:eastAsia="en-AU"/>
        </w:rPr>
        <w:t>. F</w:t>
      </w:r>
      <w:r w:rsidRPr="00441BE2">
        <w:rPr>
          <w:rFonts w:cs="Arial"/>
          <w:szCs w:val="18"/>
          <w:lang w:eastAsia="en-AU"/>
        </w:rPr>
        <w:t>or example</w:t>
      </w:r>
      <w:r>
        <w:rPr>
          <w:rFonts w:cs="Arial"/>
          <w:szCs w:val="18"/>
          <w:lang w:eastAsia="en-AU"/>
        </w:rPr>
        <w:t>,</w:t>
      </w:r>
      <w:r w:rsidRPr="00441BE2">
        <w:rPr>
          <w:rFonts w:cs="Arial"/>
          <w:szCs w:val="18"/>
          <w:lang w:eastAsia="en-AU"/>
        </w:rPr>
        <w:t xml:space="preserve"> i</w:t>
      </w:r>
      <w:r w:rsidRPr="00441BE2">
        <w:rPr>
          <w:szCs w:val="18"/>
          <w:lang w:eastAsia="en-AU"/>
        </w:rPr>
        <w:t>f</w:t>
      </w:r>
      <w:r>
        <w:rPr>
          <w:szCs w:val="18"/>
          <w:lang w:eastAsia="en-AU"/>
        </w:rPr>
        <w:t xml:space="preserve"> </w:t>
      </w:r>
      <w:r w:rsidRPr="00441BE2">
        <w:rPr>
          <w:rFonts w:cs="Arial"/>
          <w:szCs w:val="18"/>
          <w:lang w:eastAsia="en-AU"/>
        </w:rPr>
        <w:t>mistakes have been identified</w:t>
      </w:r>
      <w:r w:rsidR="00B32BF4">
        <w:rPr>
          <w:szCs w:val="18"/>
          <w:lang w:eastAsia="en-AU"/>
        </w:rPr>
        <w:t xml:space="preserve">, </w:t>
      </w:r>
      <w:r w:rsidRPr="00441BE2">
        <w:rPr>
          <w:szCs w:val="18"/>
          <w:lang w:eastAsia="en-AU"/>
        </w:rPr>
        <w:t>the LIDP is assessed as ‘High Risk’</w:t>
      </w:r>
      <w:r w:rsidR="00B32BF4">
        <w:rPr>
          <w:szCs w:val="18"/>
          <w:lang w:eastAsia="en-AU"/>
        </w:rPr>
        <w:t xml:space="preserve"> or to address recommendations made by </w:t>
      </w:r>
      <w:r w:rsidR="00746D3E">
        <w:rPr>
          <w:szCs w:val="18"/>
          <w:lang w:eastAsia="en-AU"/>
        </w:rPr>
        <w:t xml:space="preserve">the </w:t>
      </w:r>
      <w:r w:rsidR="00B32BF4">
        <w:rPr>
          <w:szCs w:val="18"/>
          <w:lang w:eastAsia="en-AU"/>
        </w:rPr>
        <w:t xml:space="preserve">ICN in the </w:t>
      </w:r>
      <w:r w:rsidR="004D357B">
        <w:rPr>
          <w:szCs w:val="18"/>
          <w:lang w:eastAsia="en-AU"/>
        </w:rPr>
        <w:t xml:space="preserve">ICN </w:t>
      </w:r>
      <w:r w:rsidR="006942AB">
        <w:rPr>
          <w:szCs w:val="18"/>
          <w:lang w:eastAsia="en-AU"/>
        </w:rPr>
        <w:t>Achievability Rating</w:t>
      </w:r>
      <w:r w:rsidR="00B32BF4">
        <w:rPr>
          <w:szCs w:val="18"/>
          <w:lang w:eastAsia="en-AU"/>
        </w:rPr>
        <w:t xml:space="preserve"> Report</w:t>
      </w:r>
      <w:r w:rsidR="00944C6C" w:rsidRPr="00567A63">
        <w:t>. If a bidder is going to resubmit their LIDP, the agency’s project manager</w:t>
      </w:r>
      <w:r w:rsidR="00944C6C">
        <w:t xml:space="preserve"> will</w:t>
      </w:r>
      <w:r w:rsidR="00944C6C" w:rsidRPr="00567A63">
        <w:t xml:space="preserve"> notify the ICN through the VMC. </w:t>
      </w:r>
      <w:r w:rsidR="00603B32">
        <w:t xml:space="preserve">The LIDP </w:t>
      </w:r>
      <w:r w:rsidR="00944C6C" w:rsidRPr="00567A63">
        <w:t>must then be revised and resubmitted to the ICN through the VMC, for subsequent reassessment by the ICN and the agency using the same Acknowledgement Letter process.</w:t>
      </w:r>
    </w:p>
    <w:p w14:paraId="327F6DE2" w14:textId="036DA591" w:rsidR="00CB1611" w:rsidRPr="00765E61" w:rsidRDefault="00CB1611" w:rsidP="00DD69E1">
      <w:pPr>
        <w:jc w:val="both"/>
      </w:pPr>
      <w:r>
        <w:t>LIDP resubmission may also</w:t>
      </w:r>
      <w:r w:rsidR="008D7E66">
        <w:t xml:space="preserve"> be required</w:t>
      </w:r>
      <w:r>
        <w:t xml:space="preserve"> during project delivery,</w:t>
      </w:r>
      <w:r w:rsidR="008D7E66">
        <w:t xml:space="preserve"> for example </w:t>
      </w:r>
      <w:r w:rsidR="002842CB">
        <w:t>due to</w:t>
      </w:r>
      <w:r w:rsidR="008D7E66">
        <w:t xml:space="preserve"> significant </w:t>
      </w:r>
      <w:r w:rsidR="009D55F3" w:rsidRPr="00DD69E1">
        <w:t>changes to local sourcing</w:t>
      </w:r>
      <w:r w:rsidR="008D7E66">
        <w:t xml:space="preserve"> or </w:t>
      </w:r>
      <w:r w:rsidR="009D55F3" w:rsidRPr="00DD69E1">
        <w:t>project scope and value</w:t>
      </w:r>
      <w:r w:rsidR="008D7E66">
        <w:t>.</w:t>
      </w:r>
    </w:p>
    <w:p w14:paraId="00FD2786" w14:textId="4B6A8650" w:rsidR="00D41A9A" w:rsidRPr="00042ADB" w:rsidRDefault="002A6E45" w:rsidP="00DD69E1">
      <w:pPr>
        <w:pStyle w:val="Heading2"/>
        <w:ind w:left="578" w:hanging="578"/>
        <w:jc w:val="both"/>
        <w:rPr>
          <w:sz w:val="24"/>
          <w:szCs w:val="24"/>
        </w:rPr>
      </w:pPr>
      <w:bookmarkStart w:id="617" w:name="_Toc110586509"/>
      <w:bookmarkStart w:id="618" w:name="_Toc207867995"/>
      <w:r w:rsidRPr="00042ADB">
        <w:rPr>
          <w:sz w:val="24"/>
          <w:szCs w:val="24"/>
        </w:rPr>
        <w:t xml:space="preserve">Step 4 - </w:t>
      </w:r>
      <w:r w:rsidR="00D41A9A" w:rsidRPr="00042ADB">
        <w:rPr>
          <w:sz w:val="24"/>
          <w:szCs w:val="24"/>
        </w:rPr>
        <w:t>Preferred bidder selected and contract awarded</w:t>
      </w:r>
      <w:bookmarkEnd w:id="617"/>
      <w:bookmarkEnd w:id="618"/>
    </w:p>
    <w:p w14:paraId="4368F361" w14:textId="17554B2C" w:rsidR="000A16A3" w:rsidRDefault="00D41A9A" w:rsidP="00A85BA7">
      <w:pPr>
        <w:spacing w:before="0"/>
        <w:jc w:val="both"/>
        <w:rPr>
          <w:rFonts w:cs="Arial"/>
          <w:szCs w:val="18"/>
        </w:rPr>
      </w:pPr>
      <w:r w:rsidRPr="00366A97">
        <w:rPr>
          <w:rFonts w:cs="Arial"/>
          <w:szCs w:val="18"/>
        </w:rPr>
        <w:t>The preferred bidder will be notified by the tender evaluation panel of their success</w:t>
      </w:r>
      <w:r w:rsidR="000A16A3">
        <w:rPr>
          <w:rFonts w:cs="Arial"/>
          <w:szCs w:val="18"/>
        </w:rPr>
        <w:t>.</w:t>
      </w:r>
    </w:p>
    <w:p w14:paraId="18A1BE10" w14:textId="2C9583E1" w:rsidR="00D41A9A" w:rsidRPr="00366A97" w:rsidRDefault="00512C5B" w:rsidP="00A85BA7">
      <w:pPr>
        <w:spacing w:before="0"/>
        <w:jc w:val="both"/>
        <w:rPr>
          <w:rFonts w:cs="Arial"/>
          <w:szCs w:val="18"/>
        </w:rPr>
      </w:pPr>
      <w:r w:rsidRPr="00E20C7B">
        <w:rPr>
          <w:rFonts w:cstheme="majorHAnsi"/>
          <w:szCs w:val="18"/>
        </w:rPr>
        <w:t xml:space="preserve">Agencies must ensure that project contracts require suppliers to comply with </w:t>
      </w:r>
      <w:r>
        <w:rPr>
          <w:rFonts w:cstheme="majorHAnsi"/>
          <w:szCs w:val="18"/>
        </w:rPr>
        <w:t>LJF</w:t>
      </w:r>
      <w:r w:rsidRPr="00E20C7B">
        <w:rPr>
          <w:rFonts w:cstheme="majorHAnsi"/>
          <w:szCs w:val="18"/>
        </w:rPr>
        <w:t xml:space="preserve"> and the </w:t>
      </w:r>
      <w:r>
        <w:rPr>
          <w:rFonts w:cstheme="majorHAnsi"/>
          <w:szCs w:val="18"/>
        </w:rPr>
        <w:t>LIDP</w:t>
      </w:r>
      <w:r w:rsidR="004740B7">
        <w:rPr>
          <w:rFonts w:cstheme="majorHAnsi"/>
          <w:szCs w:val="18"/>
        </w:rPr>
        <w:t xml:space="preserve">. </w:t>
      </w:r>
      <w:r w:rsidR="008B7BA8">
        <w:rPr>
          <w:rFonts w:cstheme="majorHAnsi"/>
          <w:szCs w:val="18"/>
        </w:rPr>
        <w:t xml:space="preserve">This means that </w:t>
      </w:r>
      <w:r w:rsidR="007B240F">
        <w:rPr>
          <w:rFonts w:cstheme="majorHAnsi"/>
          <w:szCs w:val="18"/>
        </w:rPr>
        <w:t>the LIDP, including LJF commitments</w:t>
      </w:r>
      <w:r w:rsidR="00327033">
        <w:rPr>
          <w:rFonts w:cstheme="majorHAnsi"/>
          <w:szCs w:val="18"/>
        </w:rPr>
        <w:t>,</w:t>
      </w:r>
      <w:r w:rsidR="00CE6185">
        <w:rPr>
          <w:rFonts w:cstheme="majorHAnsi"/>
          <w:szCs w:val="18"/>
        </w:rPr>
        <w:t xml:space="preserve"> must be inc</w:t>
      </w:r>
      <w:r w:rsidR="00CF1892">
        <w:rPr>
          <w:rFonts w:cstheme="majorHAnsi"/>
          <w:szCs w:val="18"/>
        </w:rPr>
        <w:t>orporated into the contract as project deliverables.</w:t>
      </w:r>
      <w:r w:rsidR="00D41A9A" w:rsidRPr="00366A97">
        <w:rPr>
          <w:rFonts w:cs="Arial"/>
          <w:szCs w:val="18"/>
        </w:rPr>
        <w:t xml:space="preserve"> </w:t>
      </w:r>
      <w:r w:rsidR="00E835F0" w:rsidRPr="00366A97">
        <w:rPr>
          <w:rFonts w:cs="Arial"/>
          <w:szCs w:val="18"/>
        </w:rPr>
        <w:t>The supplier must comply with the LJF commitments contained within their LIDP and contract.</w:t>
      </w:r>
    </w:p>
    <w:p w14:paraId="10051E94" w14:textId="4372EA24" w:rsidR="00D41A9A" w:rsidRPr="0010279F" w:rsidRDefault="00D41A9A" w:rsidP="00A85BA7">
      <w:pPr>
        <w:spacing w:before="0"/>
        <w:jc w:val="both"/>
        <w:rPr>
          <w:rFonts w:cs="Arial"/>
          <w:szCs w:val="18"/>
        </w:rPr>
      </w:pPr>
      <w:r w:rsidRPr="00366A97">
        <w:rPr>
          <w:rFonts w:cs="Arial"/>
          <w:szCs w:val="18"/>
        </w:rPr>
        <w:t xml:space="preserve">Suitable measures to manage any issues raised by </w:t>
      </w:r>
      <w:r w:rsidR="00327033">
        <w:rPr>
          <w:rFonts w:cs="Arial"/>
          <w:szCs w:val="18"/>
        </w:rPr>
        <w:t xml:space="preserve">the </w:t>
      </w:r>
      <w:r w:rsidRPr="00366A97">
        <w:rPr>
          <w:rFonts w:cs="Arial"/>
          <w:szCs w:val="18"/>
        </w:rPr>
        <w:t xml:space="preserve">ICN in </w:t>
      </w:r>
      <w:r w:rsidR="00327033">
        <w:rPr>
          <w:rFonts w:cs="Arial"/>
          <w:szCs w:val="18"/>
        </w:rPr>
        <w:t xml:space="preserve">the ICN </w:t>
      </w:r>
      <w:r w:rsidR="006942AB">
        <w:rPr>
          <w:rFonts w:cs="Arial"/>
          <w:szCs w:val="18"/>
        </w:rPr>
        <w:t>Achievability Rating</w:t>
      </w:r>
      <w:r w:rsidRPr="00366A97">
        <w:rPr>
          <w:rFonts w:cs="Arial"/>
          <w:szCs w:val="18"/>
        </w:rPr>
        <w:t xml:space="preserve"> </w:t>
      </w:r>
      <w:r w:rsidR="00CF1594">
        <w:rPr>
          <w:rFonts w:cs="Arial"/>
          <w:szCs w:val="18"/>
        </w:rPr>
        <w:t>R</w:t>
      </w:r>
      <w:r w:rsidRPr="00366A97">
        <w:rPr>
          <w:rFonts w:cs="Arial"/>
          <w:szCs w:val="18"/>
        </w:rPr>
        <w:t xml:space="preserve">eport should be negotiated with the agency’s contract manager </w:t>
      </w:r>
      <w:r w:rsidR="00C21EA0">
        <w:rPr>
          <w:rFonts w:cs="Arial"/>
          <w:szCs w:val="18"/>
        </w:rPr>
        <w:t>prior to</w:t>
      </w:r>
      <w:r w:rsidRPr="00366A97">
        <w:rPr>
          <w:rFonts w:cs="Arial"/>
          <w:szCs w:val="18"/>
        </w:rPr>
        <w:t xml:space="preserve"> </w:t>
      </w:r>
      <w:r w:rsidR="00935241">
        <w:rPr>
          <w:rFonts w:cs="Arial"/>
          <w:szCs w:val="18"/>
        </w:rPr>
        <w:t xml:space="preserve">contract </w:t>
      </w:r>
      <w:r w:rsidRPr="00366A97">
        <w:rPr>
          <w:rFonts w:cs="Arial"/>
          <w:szCs w:val="18"/>
        </w:rPr>
        <w:t xml:space="preserve">finalisation. </w:t>
      </w:r>
      <w:r w:rsidRPr="0010279F">
        <w:rPr>
          <w:rFonts w:cs="Arial"/>
          <w:szCs w:val="18"/>
        </w:rPr>
        <w:t>This step is essential given the successful bidder will need to demonstrate LJF outcomes against the agreed LIDP</w:t>
      </w:r>
      <w:r w:rsidR="004730A0">
        <w:rPr>
          <w:rFonts w:cs="Arial"/>
          <w:szCs w:val="18"/>
        </w:rPr>
        <w:t xml:space="preserve"> as attached to the contract</w:t>
      </w:r>
      <w:r w:rsidRPr="0010279F">
        <w:rPr>
          <w:rFonts w:cs="Arial"/>
          <w:szCs w:val="18"/>
        </w:rPr>
        <w:t xml:space="preserve">. Bidders may need to </w:t>
      </w:r>
      <w:r w:rsidR="009D55F3" w:rsidRPr="00DD69E1">
        <w:t>resubmit their LIDP</w:t>
      </w:r>
      <w:r w:rsidRPr="0010279F">
        <w:rPr>
          <w:rFonts w:cs="Arial"/>
          <w:szCs w:val="18"/>
        </w:rPr>
        <w:t xml:space="preserve"> to </w:t>
      </w:r>
      <w:r w:rsidR="008F2380">
        <w:rPr>
          <w:rFonts w:cs="Arial"/>
          <w:szCs w:val="18"/>
        </w:rPr>
        <w:t xml:space="preserve">the </w:t>
      </w:r>
      <w:r w:rsidRPr="0010279F">
        <w:rPr>
          <w:rFonts w:cs="Arial"/>
          <w:szCs w:val="18"/>
        </w:rPr>
        <w:t>ICN for acknowledg</w:t>
      </w:r>
      <w:r>
        <w:rPr>
          <w:rFonts w:cs="Arial"/>
          <w:szCs w:val="18"/>
        </w:rPr>
        <w:t>e</w:t>
      </w:r>
      <w:r w:rsidRPr="0010279F">
        <w:rPr>
          <w:rFonts w:cs="Arial"/>
          <w:szCs w:val="18"/>
        </w:rPr>
        <w:t>ment and evaluation, with appropriate amendments through the VMC</w:t>
      </w:r>
      <w:r w:rsidR="00312C24">
        <w:rPr>
          <w:rFonts w:cs="Arial"/>
          <w:szCs w:val="18"/>
        </w:rPr>
        <w:t>, before the</w:t>
      </w:r>
      <w:r w:rsidR="00D37E00">
        <w:rPr>
          <w:rFonts w:cs="Arial"/>
          <w:szCs w:val="18"/>
        </w:rPr>
        <w:t xml:space="preserve"> LIDP is finalised for inclusion in the contract</w:t>
      </w:r>
      <w:r w:rsidRPr="0010279F">
        <w:rPr>
          <w:rFonts w:cs="Arial"/>
          <w:szCs w:val="18"/>
        </w:rPr>
        <w:t>.</w:t>
      </w:r>
    </w:p>
    <w:p w14:paraId="648CD203" w14:textId="2FC5B450" w:rsidR="00D41A9A" w:rsidRPr="00042ADB" w:rsidRDefault="002A6E45" w:rsidP="00DD69E1">
      <w:pPr>
        <w:pStyle w:val="Heading2"/>
        <w:ind w:left="578" w:hanging="578"/>
        <w:rPr>
          <w:sz w:val="24"/>
          <w:szCs w:val="24"/>
        </w:rPr>
      </w:pPr>
      <w:bookmarkStart w:id="619" w:name="_Toc110586511"/>
      <w:bookmarkStart w:id="620" w:name="_Toc207867996"/>
      <w:r w:rsidRPr="00042ADB">
        <w:rPr>
          <w:sz w:val="24"/>
          <w:szCs w:val="24"/>
        </w:rPr>
        <w:t xml:space="preserve">Step 5 - </w:t>
      </w:r>
      <w:r w:rsidR="00D41A9A" w:rsidRPr="00042ADB">
        <w:rPr>
          <w:sz w:val="24"/>
          <w:szCs w:val="24"/>
        </w:rPr>
        <w:t>Monitor and report on Local Jobs First outcomes during project delivery</w:t>
      </w:r>
      <w:bookmarkEnd w:id="567"/>
      <w:bookmarkEnd w:id="619"/>
      <w:bookmarkEnd w:id="620"/>
    </w:p>
    <w:p w14:paraId="0ACE78B9" w14:textId="2A8D32E8" w:rsidR="003C7698" w:rsidRDefault="003C7698" w:rsidP="008F2380">
      <w:pPr>
        <w:spacing w:before="0"/>
        <w:jc w:val="both"/>
        <w:rPr>
          <w:rFonts w:cs="Arial"/>
        </w:rPr>
      </w:pPr>
      <w:r w:rsidRPr="00441BE2">
        <w:rPr>
          <w:rFonts w:cs="Arial"/>
        </w:rPr>
        <w:t xml:space="preserve">There are reporting requirements for all </w:t>
      </w:r>
      <w:r w:rsidR="00834F59">
        <w:rPr>
          <w:rFonts w:cs="Arial"/>
        </w:rPr>
        <w:t>LJF</w:t>
      </w:r>
      <w:r w:rsidRPr="00441BE2">
        <w:rPr>
          <w:rFonts w:cs="Arial"/>
        </w:rPr>
        <w:t xml:space="preserve"> </w:t>
      </w:r>
      <w:r w:rsidR="008F2380" w:rsidRPr="00441BE2">
        <w:rPr>
          <w:rFonts w:cs="Arial"/>
        </w:rPr>
        <w:t>projects,</w:t>
      </w:r>
      <w:r w:rsidRPr="00441BE2">
        <w:rPr>
          <w:rFonts w:cs="Arial"/>
        </w:rPr>
        <w:t xml:space="preserve"> and all reporting information</w:t>
      </w:r>
      <w:r w:rsidR="00AA27F1">
        <w:rPr>
          <w:rFonts w:cs="Arial"/>
        </w:rPr>
        <w:t xml:space="preserve"> </w:t>
      </w:r>
      <w:r w:rsidRPr="00441BE2">
        <w:rPr>
          <w:rFonts w:cs="Arial"/>
        </w:rPr>
        <w:t>must be submitted using the VMC.</w:t>
      </w:r>
    </w:p>
    <w:p w14:paraId="450F49F3" w14:textId="3E3195ED" w:rsidR="00D41A9A" w:rsidRDefault="00D41A9A" w:rsidP="008F2380">
      <w:pPr>
        <w:spacing w:before="0"/>
        <w:jc w:val="both"/>
        <w:rPr>
          <w:rFonts w:cs="Arial"/>
          <w:szCs w:val="18"/>
        </w:rPr>
      </w:pPr>
      <w:r w:rsidRPr="00042ADB">
        <w:rPr>
          <w:rFonts w:cs="Arial"/>
          <w:szCs w:val="18"/>
        </w:rPr>
        <w:t>Supplier</w:t>
      </w:r>
      <w:r w:rsidR="0038016F" w:rsidRPr="00042ADB">
        <w:rPr>
          <w:rFonts w:cs="Arial"/>
          <w:szCs w:val="18"/>
        </w:rPr>
        <w:t>s</w:t>
      </w:r>
      <w:r w:rsidRPr="00042ADB">
        <w:rPr>
          <w:rFonts w:cs="Arial"/>
          <w:szCs w:val="18"/>
        </w:rPr>
        <w:t xml:space="preserve"> are required to report on their LJF commitments as contained in the LIDP during the life of the project through to practical completion.</w:t>
      </w:r>
      <w:r w:rsidR="00E6572B">
        <w:rPr>
          <w:rFonts w:cs="Arial"/>
          <w:szCs w:val="18"/>
        </w:rPr>
        <w:t xml:space="preserve"> </w:t>
      </w:r>
      <w:r w:rsidRPr="0051705C">
        <w:rPr>
          <w:rFonts w:cs="Arial"/>
          <w:szCs w:val="18"/>
        </w:rPr>
        <w:t>Agencies may require the successful bidder to provide regular updates on its implementation of LJF as part of their project management practices and milestone achievements within the contract.</w:t>
      </w:r>
    </w:p>
    <w:p w14:paraId="4641C692" w14:textId="05E6C13B" w:rsidR="00D41A9A" w:rsidRPr="00034ABB" w:rsidRDefault="00BB6094" w:rsidP="00DD69E1">
      <w:pPr>
        <w:jc w:val="both"/>
      </w:pPr>
      <w:r w:rsidRPr="00042ADB">
        <w:rPr>
          <w:rFonts w:cs="Arial"/>
          <w:szCs w:val="18"/>
        </w:rPr>
        <w:t xml:space="preserve">The </w:t>
      </w:r>
      <w:r w:rsidR="00BC37AA">
        <w:rPr>
          <w:rFonts w:cs="Arial"/>
          <w:szCs w:val="18"/>
        </w:rPr>
        <w:t>Act</w:t>
      </w:r>
      <w:r w:rsidRPr="000210EA">
        <w:rPr>
          <w:rFonts w:cs="Arial"/>
          <w:szCs w:val="18"/>
        </w:rPr>
        <w:t xml:space="preserve"> provides a transparent compliance framework, involving a series of steps that can be follow</w:t>
      </w:r>
      <w:r w:rsidRPr="0069768B">
        <w:rPr>
          <w:rFonts w:cs="Arial"/>
          <w:szCs w:val="18"/>
        </w:rPr>
        <w:t>ed to confirm that contracted local content and job commitments are on track and being achieved</w:t>
      </w:r>
      <w:r w:rsidR="00640BCD">
        <w:rPr>
          <w:rFonts w:cs="Arial"/>
          <w:szCs w:val="18"/>
        </w:rPr>
        <w:t>,</w:t>
      </w:r>
      <w:r w:rsidRPr="0069768B">
        <w:rPr>
          <w:rFonts w:cs="Arial"/>
          <w:szCs w:val="18"/>
        </w:rPr>
        <w:t xml:space="preserve"> and actions to take if they are not.</w:t>
      </w:r>
    </w:p>
    <w:p w14:paraId="5B01CCD4" w14:textId="7B9CFC0E" w:rsidR="00D41A9A" w:rsidRPr="00D40534" w:rsidRDefault="006D7E09" w:rsidP="00DD69E1">
      <w:pPr>
        <w:pStyle w:val="Heading3"/>
        <w:ind w:left="720"/>
        <w:jc w:val="both"/>
        <w:rPr>
          <w:sz w:val="20"/>
        </w:rPr>
      </w:pPr>
      <w:bookmarkStart w:id="621" w:name="_Toc103590627"/>
      <w:bookmarkStart w:id="622" w:name="_Toc104558188"/>
      <w:bookmarkStart w:id="623" w:name="_Toc110586046"/>
      <w:bookmarkStart w:id="624" w:name="_Toc103590628"/>
      <w:bookmarkStart w:id="625" w:name="_Toc104558189"/>
      <w:bookmarkStart w:id="626" w:name="_Toc110586047"/>
      <w:bookmarkStart w:id="627" w:name="_Toc103590629"/>
      <w:bookmarkStart w:id="628" w:name="_Toc104558190"/>
      <w:bookmarkStart w:id="629" w:name="_Toc110586048"/>
      <w:bookmarkStart w:id="630" w:name="_Toc103590630"/>
      <w:bookmarkStart w:id="631" w:name="_Toc104558191"/>
      <w:bookmarkStart w:id="632" w:name="_Toc110586049"/>
      <w:bookmarkStart w:id="633" w:name="_Toc523396462"/>
      <w:bookmarkEnd w:id="621"/>
      <w:bookmarkEnd w:id="622"/>
      <w:bookmarkEnd w:id="623"/>
      <w:bookmarkEnd w:id="624"/>
      <w:bookmarkEnd w:id="625"/>
      <w:bookmarkEnd w:id="626"/>
      <w:bookmarkEnd w:id="627"/>
      <w:bookmarkEnd w:id="628"/>
      <w:bookmarkEnd w:id="629"/>
      <w:bookmarkEnd w:id="630"/>
      <w:bookmarkEnd w:id="631"/>
      <w:bookmarkEnd w:id="632"/>
      <w:r>
        <w:rPr>
          <w:sz w:val="20"/>
        </w:rPr>
        <w:t>Supplier m</w:t>
      </w:r>
      <w:r w:rsidR="00D41A9A" w:rsidRPr="00D40534">
        <w:rPr>
          <w:sz w:val="20"/>
        </w:rPr>
        <w:t>onitoring of LJF commitments</w:t>
      </w:r>
      <w:bookmarkEnd w:id="633"/>
    </w:p>
    <w:p w14:paraId="6F1BCFC2" w14:textId="612F0EED" w:rsidR="00D41A9A" w:rsidRPr="00042ADB" w:rsidRDefault="0072682A" w:rsidP="00DD69E1">
      <w:pPr>
        <w:spacing w:before="0"/>
        <w:jc w:val="both"/>
        <w:rPr>
          <w:rFonts w:cstheme="minorHAnsi"/>
          <w:szCs w:val="18"/>
          <w:lang w:val="en-US"/>
        </w:rPr>
      </w:pPr>
      <w:r>
        <w:rPr>
          <w:rFonts w:cstheme="minorHAnsi"/>
          <w:szCs w:val="18"/>
          <w:lang w:val="en-US"/>
        </w:rPr>
        <w:t>Suppliers</w:t>
      </w:r>
      <w:r w:rsidR="00D41A9A" w:rsidRPr="00042ADB">
        <w:rPr>
          <w:rFonts w:cstheme="minorHAnsi"/>
          <w:szCs w:val="18"/>
          <w:lang w:val="en-US"/>
        </w:rPr>
        <w:t xml:space="preserve"> are responsible for ongoing monitoring of LIDP commitments by themselves and their supply chain.</w:t>
      </w:r>
      <w:r w:rsidR="009B66BF" w:rsidRPr="000210EA">
        <w:t xml:space="preserve"> </w:t>
      </w:r>
      <w:r w:rsidR="009B66BF" w:rsidRPr="00042ADB">
        <w:rPr>
          <w:rFonts w:cstheme="minorHAnsi"/>
          <w:szCs w:val="18"/>
          <w:lang w:val="en-US"/>
        </w:rPr>
        <w:t xml:space="preserve">All </w:t>
      </w:r>
      <w:r w:rsidR="00834F59">
        <w:rPr>
          <w:rFonts w:cstheme="minorHAnsi"/>
          <w:szCs w:val="18"/>
          <w:lang w:val="en-US"/>
        </w:rPr>
        <w:t>LJF</w:t>
      </w:r>
      <w:r w:rsidR="009B66BF" w:rsidRPr="00042ADB">
        <w:rPr>
          <w:rFonts w:cstheme="minorHAnsi"/>
          <w:szCs w:val="18"/>
          <w:lang w:val="en-US"/>
        </w:rPr>
        <w:t xml:space="preserve"> reporting is to be completed using the </w:t>
      </w:r>
      <w:hyperlink r:id="rId27" w:history="1">
        <w:r w:rsidR="009B66BF" w:rsidRPr="00042ADB">
          <w:rPr>
            <w:rStyle w:val="Hyperlink"/>
            <w:rFonts w:cstheme="minorHAnsi"/>
            <w:szCs w:val="18"/>
            <w:lang w:val="en-US"/>
          </w:rPr>
          <w:t>VMC</w:t>
        </w:r>
      </w:hyperlink>
      <w:r w:rsidR="009B66BF" w:rsidRPr="00042ADB">
        <w:rPr>
          <w:rFonts w:cstheme="minorHAnsi"/>
          <w:szCs w:val="18"/>
          <w:lang w:val="en-US"/>
        </w:rPr>
        <w:t>.</w:t>
      </w:r>
    </w:p>
    <w:p w14:paraId="18FE3127" w14:textId="655C8A7D" w:rsidR="00D41A9A" w:rsidRPr="00042ADB" w:rsidRDefault="00D41A9A" w:rsidP="00DD69E1">
      <w:pPr>
        <w:spacing w:before="0"/>
        <w:jc w:val="both"/>
        <w:rPr>
          <w:rFonts w:cstheme="minorHAnsi"/>
          <w:szCs w:val="18"/>
          <w:lang w:val="en-US"/>
        </w:rPr>
      </w:pPr>
      <w:bookmarkStart w:id="634" w:name="_Hlk524342762"/>
      <w:r w:rsidRPr="00042ADB">
        <w:rPr>
          <w:rFonts w:cstheme="minorHAnsi"/>
          <w:szCs w:val="18"/>
          <w:lang w:val="en-US"/>
        </w:rPr>
        <w:t>Contractors must keep and maintain strong supporting evidence to demonstrate compliance with LIDP commitments. This includes proof and detail about how local content percentages were calculated and retaining supply chain information.</w:t>
      </w:r>
    </w:p>
    <w:p w14:paraId="6AB05964" w14:textId="2A39C8EF" w:rsidR="00D41A9A" w:rsidRPr="00042ADB" w:rsidRDefault="00D41A9A" w:rsidP="00DD69E1">
      <w:pPr>
        <w:spacing w:before="0"/>
        <w:jc w:val="both"/>
        <w:rPr>
          <w:rFonts w:cstheme="minorHAnsi"/>
          <w:szCs w:val="18"/>
          <w:lang w:val="en-US"/>
        </w:rPr>
      </w:pPr>
      <w:r w:rsidRPr="00042ADB">
        <w:rPr>
          <w:rFonts w:cstheme="minorHAnsi"/>
          <w:szCs w:val="18"/>
          <w:lang w:val="en-US"/>
        </w:rPr>
        <w:t xml:space="preserve">The delivery agency, </w:t>
      </w:r>
      <w:r w:rsidR="002914C9">
        <w:rPr>
          <w:rFonts w:cstheme="minorHAnsi"/>
          <w:szCs w:val="18"/>
          <w:lang w:val="en-US"/>
        </w:rPr>
        <w:t>DJSIR</w:t>
      </w:r>
      <w:r w:rsidRPr="00042ADB">
        <w:rPr>
          <w:rFonts w:cstheme="minorHAnsi"/>
          <w:szCs w:val="18"/>
          <w:lang w:val="en-US"/>
        </w:rPr>
        <w:t xml:space="preserve">, and the </w:t>
      </w:r>
      <w:r w:rsidR="00834F59">
        <w:rPr>
          <w:rFonts w:cstheme="minorHAnsi"/>
          <w:szCs w:val="18"/>
          <w:lang w:val="en-US"/>
        </w:rPr>
        <w:t>LJF</w:t>
      </w:r>
      <w:r w:rsidRPr="00042ADB">
        <w:rPr>
          <w:rFonts w:cstheme="minorHAnsi"/>
          <w:szCs w:val="18"/>
          <w:lang w:val="en-US"/>
        </w:rPr>
        <w:t xml:space="preserve"> Commissioner can request this information during and after completion of the project</w:t>
      </w:r>
      <w:r w:rsidR="00E4478F" w:rsidRPr="00042ADB">
        <w:rPr>
          <w:rFonts w:cstheme="minorHAnsi"/>
          <w:szCs w:val="18"/>
          <w:lang w:val="en-US"/>
        </w:rPr>
        <w:t xml:space="preserve"> </w:t>
      </w:r>
      <w:r w:rsidR="00E4478F" w:rsidRPr="00042ADB">
        <w:rPr>
          <w:rFonts w:cstheme="minorHAnsi"/>
          <w:szCs w:val="18"/>
        </w:rPr>
        <w:t xml:space="preserve">to evaluate </w:t>
      </w:r>
      <w:r w:rsidR="00834F59">
        <w:rPr>
          <w:rFonts w:cstheme="minorHAnsi"/>
          <w:szCs w:val="18"/>
        </w:rPr>
        <w:t>LJF</w:t>
      </w:r>
      <w:r w:rsidR="00E4478F" w:rsidRPr="00042ADB">
        <w:rPr>
          <w:rFonts w:cstheme="minorHAnsi"/>
          <w:szCs w:val="18"/>
        </w:rPr>
        <w:t xml:space="preserve"> compliance.</w:t>
      </w:r>
    </w:p>
    <w:p w14:paraId="76971A54" w14:textId="22998246" w:rsidR="00D41A9A" w:rsidRDefault="00D41A9A" w:rsidP="00DD69E1">
      <w:pPr>
        <w:spacing w:before="0"/>
        <w:jc w:val="both"/>
        <w:rPr>
          <w:rFonts w:cstheme="minorHAnsi"/>
          <w:szCs w:val="18"/>
          <w:lang w:val="en-US"/>
        </w:rPr>
      </w:pPr>
      <w:r w:rsidRPr="00042ADB">
        <w:rPr>
          <w:rFonts w:cstheme="minorHAnsi"/>
          <w:szCs w:val="18"/>
          <w:lang w:val="en-US"/>
        </w:rPr>
        <w:t xml:space="preserve">Contractors must notify the delivery agency as soon as they are aware they may not meet their LIDP commitments. </w:t>
      </w:r>
      <w:r w:rsidR="00D925FB">
        <w:rPr>
          <w:rFonts w:cstheme="minorHAnsi"/>
          <w:szCs w:val="18"/>
          <w:lang w:val="en-US"/>
        </w:rPr>
        <w:t>The</w:t>
      </w:r>
      <w:r w:rsidRPr="00042ADB">
        <w:rPr>
          <w:rFonts w:cstheme="minorHAnsi"/>
          <w:szCs w:val="18"/>
          <w:lang w:val="en-US"/>
        </w:rPr>
        <w:t xml:space="preserve"> ICN may be able to</w:t>
      </w:r>
      <w:r w:rsidR="005C5AF4">
        <w:rPr>
          <w:rFonts w:cstheme="minorHAnsi"/>
          <w:szCs w:val="18"/>
          <w:lang w:val="en-US"/>
        </w:rPr>
        <w:t xml:space="preserve"> assist</w:t>
      </w:r>
      <w:r w:rsidRPr="00042ADB">
        <w:rPr>
          <w:rFonts w:cstheme="minorHAnsi"/>
          <w:szCs w:val="18"/>
          <w:lang w:val="en-US"/>
        </w:rPr>
        <w:t xml:space="preserve">, for </w:t>
      </w:r>
      <w:r w:rsidR="00DF262D" w:rsidRPr="00042ADB">
        <w:rPr>
          <w:rFonts w:cstheme="minorHAnsi"/>
          <w:szCs w:val="18"/>
          <w:lang w:val="en-US"/>
        </w:rPr>
        <w:t>instance,</w:t>
      </w:r>
      <w:r w:rsidRPr="00042ADB">
        <w:rPr>
          <w:rFonts w:cstheme="minorHAnsi"/>
          <w:szCs w:val="18"/>
          <w:lang w:val="en-US"/>
        </w:rPr>
        <w:t xml:space="preserve"> in sourcing local SMEs.</w:t>
      </w:r>
    </w:p>
    <w:p w14:paraId="544C1DFB" w14:textId="7627898D" w:rsidR="00C0622F" w:rsidRPr="00042ADB" w:rsidRDefault="00C0622F" w:rsidP="008F2380">
      <w:pPr>
        <w:spacing w:before="0"/>
        <w:jc w:val="both"/>
        <w:rPr>
          <w:rFonts w:cs="Arial"/>
          <w:szCs w:val="18"/>
        </w:rPr>
      </w:pPr>
      <w:r>
        <w:rPr>
          <w:rFonts w:cs="Arial"/>
        </w:rPr>
        <w:t xml:space="preserve">For Strategic Projects, this includes following a process for any </w:t>
      </w:r>
      <w:r w:rsidR="00AE2516" w:rsidRPr="00DD69E1">
        <w:t>proposed changes to the local sourcing</w:t>
      </w:r>
      <w:r w:rsidRPr="00E050CC">
        <w:rPr>
          <w:rFonts w:cs="Arial"/>
        </w:rPr>
        <w:t xml:space="preserve"> of an item/s compared to what is listed in the approved LIDP</w:t>
      </w:r>
      <w:r>
        <w:rPr>
          <w:rFonts w:cs="Arial"/>
        </w:rPr>
        <w:t>.</w:t>
      </w:r>
    </w:p>
    <w:p w14:paraId="4F5F7A3E" w14:textId="05DE4568" w:rsidR="00D41A9A" w:rsidRPr="00042ADB" w:rsidRDefault="00D41A9A" w:rsidP="00DD69E1">
      <w:pPr>
        <w:spacing w:before="0"/>
        <w:jc w:val="both"/>
        <w:rPr>
          <w:rFonts w:cstheme="minorHAnsi"/>
          <w:szCs w:val="18"/>
          <w:lang w:val="en-US"/>
        </w:rPr>
      </w:pPr>
      <w:r w:rsidRPr="00042ADB">
        <w:rPr>
          <w:rFonts w:cstheme="minorHAnsi"/>
          <w:szCs w:val="18"/>
          <w:lang w:val="en-US"/>
        </w:rPr>
        <w:t xml:space="preserve">The </w:t>
      </w:r>
      <w:r w:rsidR="00834F59">
        <w:rPr>
          <w:rFonts w:cstheme="minorHAnsi"/>
          <w:szCs w:val="18"/>
          <w:lang w:val="en-US"/>
        </w:rPr>
        <w:t>LJF</w:t>
      </w:r>
      <w:r w:rsidRPr="00042ADB">
        <w:rPr>
          <w:rFonts w:cstheme="minorHAnsi"/>
          <w:szCs w:val="18"/>
          <w:lang w:val="en-US"/>
        </w:rPr>
        <w:t xml:space="preserve"> Commissioner may review contractor monitoring processes. Under </w:t>
      </w:r>
      <w:r w:rsidR="003F3AD6">
        <w:rPr>
          <w:rFonts w:cstheme="minorHAnsi"/>
          <w:szCs w:val="18"/>
          <w:lang w:val="en-US"/>
        </w:rPr>
        <w:t>s</w:t>
      </w:r>
      <w:r w:rsidRPr="00042ADB">
        <w:rPr>
          <w:rFonts w:cstheme="minorHAnsi"/>
          <w:szCs w:val="18"/>
          <w:lang w:val="en-US"/>
        </w:rPr>
        <w:t xml:space="preserve">ection 24 of the </w:t>
      </w:r>
      <w:r w:rsidR="003F3AD6">
        <w:rPr>
          <w:rFonts w:cstheme="minorHAnsi"/>
          <w:iCs/>
          <w:szCs w:val="18"/>
          <w:lang w:val="en-US"/>
        </w:rPr>
        <w:t>Act</w:t>
      </w:r>
      <w:r w:rsidRPr="00042ADB">
        <w:rPr>
          <w:rFonts w:cstheme="minorHAnsi"/>
          <w:szCs w:val="18"/>
          <w:lang w:val="en-US"/>
        </w:rPr>
        <w:t xml:space="preserve">, the Commissioner may issue an information notice to request information or documents </w:t>
      </w:r>
      <w:r w:rsidR="001601AC">
        <w:rPr>
          <w:rFonts w:cstheme="minorHAnsi"/>
          <w:szCs w:val="18"/>
          <w:lang w:val="en-US"/>
        </w:rPr>
        <w:t>relevant to the operation of LJF or a LIDP</w:t>
      </w:r>
      <w:r w:rsidRPr="00042ADB">
        <w:rPr>
          <w:rFonts w:cstheme="minorHAnsi"/>
          <w:szCs w:val="18"/>
          <w:lang w:val="en-US"/>
        </w:rPr>
        <w:t>.</w:t>
      </w:r>
      <w:bookmarkEnd w:id="634"/>
    </w:p>
    <w:p w14:paraId="1CE18E91" w14:textId="6638E54F" w:rsidR="00D41A9A" w:rsidRPr="00E34B44" w:rsidRDefault="00D41A9A" w:rsidP="00DD69E1">
      <w:pPr>
        <w:pStyle w:val="Heading3"/>
        <w:ind w:left="720"/>
        <w:jc w:val="both"/>
      </w:pPr>
      <w:r w:rsidRPr="00E34B44">
        <w:rPr>
          <w:szCs w:val="18"/>
        </w:rPr>
        <w:t>Six</w:t>
      </w:r>
      <w:r w:rsidR="00CB5B16">
        <w:rPr>
          <w:szCs w:val="18"/>
        </w:rPr>
        <w:t>-m</w:t>
      </w:r>
      <w:r w:rsidRPr="00E34B44">
        <w:rPr>
          <w:szCs w:val="18"/>
        </w:rPr>
        <w:t xml:space="preserve">onthly </w:t>
      </w:r>
      <w:r w:rsidR="00CB5B16">
        <w:rPr>
          <w:szCs w:val="18"/>
        </w:rPr>
        <w:t>r</w:t>
      </w:r>
      <w:r w:rsidRPr="00E34B44">
        <w:rPr>
          <w:szCs w:val="18"/>
        </w:rPr>
        <w:t>eporting</w:t>
      </w:r>
    </w:p>
    <w:p w14:paraId="4BA08174" w14:textId="3B194C52" w:rsidR="006C781B" w:rsidRPr="00042ADB" w:rsidRDefault="00D41A9A" w:rsidP="00DD69E1">
      <w:pPr>
        <w:spacing w:before="0"/>
        <w:jc w:val="both"/>
        <w:rPr>
          <w:rFonts w:cstheme="minorHAnsi"/>
          <w:szCs w:val="18"/>
          <w:lang w:val="en-US"/>
        </w:rPr>
      </w:pPr>
      <w:r w:rsidRPr="00042ADB">
        <w:rPr>
          <w:rFonts w:cstheme="minorHAnsi"/>
          <w:szCs w:val="18"/>
          <w:lang w:val="en-US"/>
        </w:rPr>
        <w:t>For all Victorian Government projects with a value of $20 million or more, including all</w:t>
      </w:r>
      <w:r w:rsidR="005701C7" w:rsidRPr="00042ADB">
        <w:rPr>
          <w:rFonts w:cstheme="minorHAnsi"/>
          <w:szCs w:val="18"/>
          <w:lang w:val="en-US"/>
        </w:rPr>
        <w:t xml:space="preserve"> MPSG</w:t>
      </w:r>
      <w:r w:rsidRPr="00042ADB">
        <w:rPr>
          <w:rFonts w:cstheme="minorHAnsi"/>
          <w:szCs w:val="18"/>
          <w:lang w:val="en-US"/>
        </w:rPr>
        <w:t xml:space="preserve"> projects</w:t>
      </w:r>
      <w:r w:rsidR="005757E9" w:rsidRPr="00042ADB">
        <w:rPr>
          <w:rFonts w:cstheme="minorHAnsi"/>
          <w:szCs w:val="18"/>
          <w:lang w:val="en-US"/>
        </w:rPr>
        <w:t xml:space="preserve"> and all </w:t>
      </w:r>
      <w:r w:rsidRPr="00042ADB">
        <w:rPr>
          <w:rFonts w:cstheme="minorHAnsi"/>
          <w:szCs w:val="18"/>
          <w:lang w:val="en-US"/>
        </w:rPr>
        <w:t>Strategic Projects, principal contractors are required to report six monthly to the agency using the</w:t>
      </w:r>
      <w:r w:rsidR="001C2809" w:rsidRPr="00042ADB">
        <w:rPr>
          <w:rFonts w:cstheme="minorHAnsi"/>
          <w:szCs w:val="18"/>
          <w:lang w:val="en-US"/>
        </w:rPr>
        <w:t xml:space="preserve"> </w:t>
      </w:r>
      <w:hyperlink r:id="rId28" w:history="1">
        <w:r w:rsidR="001C2809" w:rsidRPr="00385F61">
          <w:rPr>
            <w:rStyle w:val="Hyperlink"/>
            <w:rFonts w:cs="Arial"/>
          </w:rPr>
          <w:t>VMC</w:t>
        </w:r>
      </w:hyperlink>
      <w:r w:rsidR="00B92F37" w:rsidRPr="00385F61">
        <w:rPr>
          <w:rFonts w:cs="Arial"/>
        </w:rPr>
        <w:t>. An example</w:t>
      </w:r>
      <w:r w:rsidRPr="00042ADB">
        <w:rPr>
          <w:rFonts w:cstheme="minorHAnsi"/>
          <w:szCs w:val="18"/>
          <w:lang w:val="en-US"/>
        </w:rPr>
        <w:t xml:space="preserve"> Monitoring and Reporting Table</w:t>
      </w:r>
      <w:r w:rsidR="00B92F37" w:rsidRPr="00042ADB">
        <w:rPr>
          <w:rFonts w:cstheme="minorHAnsi"/>
          <w:szCs w:val="18"/>
          <w:lang w:val="en-US"/>
        </w:rPr>
        <w:t xml:space="preserve"> is provided at </w:t>
      </w:r>
      <w:hyperlink w:anchor="_Appendix_3:_Monitoring" w:history="1">
        <w:r w:rsidR="0021546B">
          <w:rPr>
            <w:rStyle w:val="Hyperlink"/>
            <w:rFonts w:cstheme="minorHAnsi"/>
            <w:szCs w:val="18"/>
            <w:lang w:val="en-US"/>
          </w:rPr>
          <w:t>Appendix 2</w:t>
        </w:r>
      </w:hyperlink>
      <w:r w:rsidRPr="00042ADB">
        <w:rPr>
          <w:rFonts w:cstheme="minorHAnsi"/>
          <w:szCs w:val="18"/>
          <w:lang w:val="en-US"/>
        </w:rPr>
        <w:t>.</w:t>
      </w:r>
    </w:p>
    <w:p w14:paraId="3A77BF94" w14:textId="133BA088" w:rsidR="00D41A9A" w:rsidRPr="00042ADB" w:rsidRDefault="006C781B" w:rsidP="00DD69E1">
      <w:pPr>
        <w:spacing w:before="0"/>
        <w:jc w:val="both"/>
        <w:rPr>
          <w:rFonts w:cstheme="minorHAnsi"/>
          <w:szCs w:val="18"/>
          <w:lang w:val="en-US"/>
        </w:rPr>
      </w:pPr>
      <w:r w:rsidRPr="00DC38C6">
        <w:rPr>
          <w:rFonts w:cstheme="minorHAnsi"/>
          <w:szCs w:val="18"/>
          <w:lang w:val="en-US"/>
        </w:rPr>
        <w:t>For MPSG</w:t>
      </w:r>
      <w:r>
        <w:rPr>
          <w:rFonts w:cstheme="minorHAnsi"/>
          <w:szCs w:val="18"/>
          <w:lang w:val="en-US"/>
        </w:rPr>
        <w:t xml:space="preserve"> projects</w:t>
      </w:r>
      <w:r w:rsidRPr="00DC38C6">
        <w:rPr>
          <w:rFonts w:cstheme="minorHAnsi"/>
          <w:szCs w:val="18"/>
          <w:lang w:val="en-US"/>
        </w:rPr>
        <w:t xml:space="preserve">, once a project has started, the number of labour hours performed by </w:t>
      </w:r>
      <w:r w:rsidR="00457D11">
        <w:rPr>
          <w:rFonts w:cstheme="minorHAnsi"/>
          <w:szCs w:val="18"/>
          <w:lang w:val="en-US"/>
        </w:rPr>
        <w:t>ATCs</w:t>
      </w:r>
      <w:r w:rsidRPr="00DC38C6">
        <w:rPr>
          <w:rFonts w:cstheme="minorHAnsi"/>
          <w:szCs w:val="18"/>
          <w:lang w:val="en-US"/>
        </w:rPr>
        <w:t xml:space="preserve"> </w:t>
      </w:r>
      <w:proofErr w:type="gramStart"/>
      <w:r w:rsidRPr="00DC38C6">
        <w:rPr>
          <w:rFonts w:cstheme="minorHAnsi"/>
          <w:szCs w:val="18"/>
          <w:lang w:val="en-US"/>
        </w:rPr>
        <w:t>are</w:t>
      </w:r>
      <w:proofErr w:type="gramEnd"/>
      <w:r w:rsidRPr="00DC38C6">
        <w:rPr>
          <w:rFonts w:cstheme="minorHAnsi"/>
          <w:szCs w:val="18"/>
          <w:lang w:val="en-US"/>
        </w:rPr>
        <w:t xml:space="preserve"> tracked against the contracted MPSG labour hours commitment. The labour hours data must be collected for each individual </w:t>
      </w:r>
      <w:r w:rsidR="00457D11">
        <w:rPr>
          <w:rFonts w:cstheme="minorHAnsi"/>
          <w:szCs w:val="18"/>
          <w:lang w:val="en-US"/>
        </w:rPr>
        <w:t>ATC</w:t>
      </w:r>
      <w:r w:rsidRPr="00DC38C6">
        <w:rPr>
          <w:rFonts w:cstheme="minorHAnsi"/>
          <w:szCs w:val="18"/>
          <w:lang w:val="en-US"/>
        </w:rPr>
        <w:t xml:space="preserve"> throughout the duration of the project and reported </w:t>
      </w:r>
      <w:proofErr w:type="gramStart"/>
      <w:r w:rsidRPr="00DC38C6">
        <w:rPr>
          <w:rFonts w:cstheme="minorHAnsi"/>
          <w:szCs w:val="18"/>
          <w:lang w:val="en-US"/>
        </w:rPr>
        <w:t>six-monthly</w:t>
      </w:r>
      <w:proofErr w:type="gramEnd"/>
      <w:r w:rsidRPr="00DC38C6">
        <w:rPr>
          <w:rFonts w:cstheme="minorHAnsi"/>
          <w:szCs w:val="18"/>
          <w:lang w:val="en-US"/>
        </w:rPr>
        <w:t xml:space="preserve">, at a minimum, to the delivery agency. Important information about eligible </w:t>
      </w:r>
      <w:r w:rsidR="00457D11">
        <w:rPr>
          <w:rFonts w:cstheme="minorHAnsi"/>
          <w:szCs w:val="18"/>
          <w:lang w:val="en-US"/>
        </w:rPr>
        <w:t>ATCs</w:t>
      </w:r>
      <w:r w:rsidRPr="00DC38C6">
        <w:rPr>
          <w:rFonts w:cstheme="minorHAnsi"/>
          <w:szCs w:val="18"/>
          <w:lang w:val="en-US"/>
        </w:rPr>
        <w:t xml:space="preserve"> and eligible hours that can be reported against MPSG commitments is provided at </w:t>
      </w:r>
      <w:hyperlink w:anchor="_Additional_Guidance_for_2" w:history="1">
        <w:r w:rsidR="00EC1939">
          <w:rPr>
            <w:rStyle w:val="Hyperlink"/>
            <w:rFonts w:cstheme="minorHAnsi"/>
            <w:szCs w:val="18"/>
            <w:lang w:val="en-US"/>
          </w:rPr>
          <w:t>Additional Guidance for Major Projects Skills Guarantee (MPSG) Projects</w:t>
        </w:r>
      </w:hyperlink>
      <w:r w:rsidRPr="00DC38C6">
        <w:rPr>
          <w:rFonts w:cstheme="minorHAnsi"/>
          <w:szCs w:val="18"/>
          <w:lang w:val="en-US"/>
        </w:rPr>
        <w:t>.</w:t>
      </w:r>
    </w:p>
    <w:p w14:paraId="1EFD64EA" w14:textId="4FD5D70E" w:rsidR="00D41A9A" w:rsidRPr="002D2B58" w:rsidRDefault="00F84BC2" w:rsidP="00DD69E1">
      <w:pPr>
        <w:pStyle w:val="Heading3"/>
        <w:ind w:left="720"/>
      </w:pPr>
      <w:r>
        <w:rPr>
          <w:rFonts w:cstheme="minorHAnsi"/>
          <w:szCs w:val="18"/>
          <w:lang w:val="en-US"/>
        </w:rPr>
        <w:t xml:space="preserve">End of </w:t>
      </w:r>
      <w:r w:rsidR="004877CA">
        <w:rPr>
          <w:rFonts w:cstheme="minorHAnsi"/>
          <w:szCs w:val="18"/>
          <w:lang w:val="en-US"/>
        </w:rPr>
        <w:t>f</w:t>
      </w:r>
      <w:r>
        <w:rPr>
          <w:rFonts w:cstheme="minorHAnsi"/>
          <w:szCs w:val="18"/>
          <w:lang w:val="en-US"/>
        </w:rPr>
        <w:t xml:space="preserve">inancial </w:t>
      </w:r>
      <w:r w:rsidR="004877CA">
        <w:rPr>
          <w:rFonts w:cstheme="minorHAnsi"/>
          <w:szCs w:val="18"/>
          <w:lang w:val="en-US"/>
        </w:rPr>
        <w:t>y</w:t>
      </w:r>
      <w:r>
        <w:rPr>
          <w:rFonts w:cstheme="minorHAnsi"/>
          <w:szCs w:val="18"/>
          <w:lang w:val="en-US"/>
        </w:rPr>
        <w:t>ear</w:t>
      </w:r>
      <w:r w:rsidR="00D41A9A" w:rsidRPr="00042ADB">
        <w:rPr>
          <w:rFonts w:cstheme="minorHAnsi"/>
          <w:szCs w:val="18"/>
          <w:lang w:val="en-US"/>
        </w:rPr>
        <w:t xml:space="preserve"> </w:t>
      </w:r>
      <w:r w:rsidR="004877CA">
        <w:rPr>
          <w:rFonts w:cstheme="minorHAnsi"/>
          <w:szCs w:val="18"/>
          <w:lang w:val="en-US"/>
        </w:rPr>
        <w:t>r</w:t>
      </w:r>
      <w:r w:rsidR="00D41A9A" w:rsidRPr="00042ADB">
        <w:rPr>
          <w:rFonts w:cstheme="minorHAnsi"/>
          <w:szCs w:val="18"/>
          <w:lang w:val="en-US"/>
        </w:rPr>
        <w:t>eporting</w:t>
      </w:r>
    </w:p>
    <w:p w14:paraId="163F3FE3" w14:textId="28A13393" w:rsidR="00D41A9A" w:rsidRPr="00781A15" w:rsidRDefault="00D41A9A" w:rsidP="00DD69E1">
      <w:pPr>
        <w:spacing w:before="0"/>
        <w:jc w:val="both"/>
      </w:pPr>
      <w:r w:rsidRPr="00042ADB">
        <w:rPr>
          <w:rFonts w:cstheme="minorHAnsi"/>
          <w:szCs w:val="18"/>
          <w:lang w:val="en-US"/>
        </w:rPr>
        <w:t>The delivery agency must report on their L</w:t>
      </w:r>
      <w:r w:rsidR="00454639" w:rsidRPr="00042ADB">
        <w:rPr>
          <w:rFonts w:cstheme="minorHAnsi"/>
          <w:szCs w:val="18"/>
          <w:lang w:val="en-US"/>
        </w:rPr>
        <w:t>JF</w:t>
      </w:r>
      <w:r w:rsidRPr="00042ADB">
        <w:rPr>
          <w:rFonts w:cstheme="minorHAnsi"/>
          <w:szCs w:val="18"/>
          <w:lang w:val="en-US"/>
        </w:rPr>
        <w:t xml:space="preserve"> projects in their annual reports, and </w:t>
      </w:r>
      <w:r w:rsidR="00E63994">
        <w:rPr>
          <w:rFonts w:cstheme="minorHAnsi"/>
          <w:szCs w:val="18"/>
          <w:lang w:val="en-US"/>
        </w:rPr>
        <w:t>DJSIR</w:t>
      </w:r>
      <w:r w:rsidR="00E63994" w:rsidRPr="00042ADB">
        <w:rPr>
          <w:rFonts w:cstheme="minorHAnsi"/>
          <w:szCs w:val="18"/>
          <w:lang w:val="en-US"/>
        </w:rPr>
        <w:t xml:space="preserve"> </w:t>
      </w:r>
      <w:r w:rsidRPr="00042ADB">
        <w:rPr>
          <w:rFonts w:cstheme="minorHAnsi"/>
          <w:szCs w:val="18"/>
          <w:lang w:val="en-US"/>
        </w:rPr>
        <w:t>also publish</w:t>
      </w:r>
      <w:r w:rsidR="00454639" w:rsidRPr="00042ADB">
        <w:rPr>
          <w:rFonts w:cstheme="minorHAnsi"/>
          <w:szCs w:val="18"/>
          <w:lang w:val="en-US"/>
        </w:rPr>
        <w:t>es</w:t>
      </w:r>
      <w:r w:rsidRPr="00042ADB">
        <w:rPr>
          <w:rFonts w:cstheme="minorHAnsi"/>
          <w:szCs w:val="18"/>
          <w:lang w:val="en-US"/>
        </w:rPr>
        <w:t xml:space="preserve"> project outcomes in the L</w:t>
      </w:r>
      <w:r w:rsidR="00454639" w:rsidRPr="00042ADB">
        <w:rPr>
          <w:rFonts w:cstheme="minorHAnsi"/>
          <w:szCs w:val="18"/>
          <w:lang w:val="en-US"/>
        </w:rPr>
        <w:t>JF</w:t>
      </w:r>
      <w:r w:rsidRPr="00042ADB">
        <w:rPr>
          <w:rFonts w:cstheme="minorHAnsi"/>
          <w:szCs w:val="18"/>
          <w:lang w:val="en-US"/>
        </w:rPr>
        <w:t xml:space="preserve"> Annual Report. This require</w:t>
      </w:r>
      <w:r w:rsidR="009D07E7">
        <w:rPr>
          <w:rFonts w:cstheme="minorHAnsi"/>
          <w:szCs w:val="18"/>
          <w:lang w:val="en-US"/>
        </w:rPr>
        <w:t>s</w:t>
      </w:r>
      <w:r w:rsidRPr="00042ADB">
        <w:rPr>
          <w:rFonts w:cstheme="minorHAnsi"/>
          <w:szCs w:val="18"/>
          <w:lang w:val="en-US"/>
        </w:rPr>
        <w:t xml:space="preserve"> contractors</w:t>
      </w:r>
      <w:r w:rsidR="005F679E" w:rsidRPr="005F679E">
        <w:rPr>
          <w:rFonts w:cstheme="minorHAnsi"/>
          <w:szCs w:val="18"/>
          <w:lang w:val="en-US"/>
        </w:rPr>
        <w:t>, suppliers and service providers to keep reporting current and regularly updated in the VMC</w:t>
      </w:r>
      <w:r w:rsidR="009D07E7">
        <w:rPr>
          <w:rFonts w:cstheme="minorHAnsi"/>
          <w:szCs w:val="18"/>
          <w:lang w:val="en-US"/>
        </w:rPr>
        <w:t>.</w:t>
      </w:r>
    </w:p>
    <w:p w14:paraId="1D36EC92" w14:textId="4DD3DCF9" w:rsidR="00CF3D73" w:rsidRPr="00042ADB" w:rsidRDefault="002A6E45" w:rsidP="00DD69E1">
      <w:pPr>
        <w:pStyle w:val="Heading2"/>
        <w:ind w:left="578" w:hanging="578"/>
        <w:jc w:val="both"/>
        <w:rPr>
          <w:sz w:val="24"/>
          <w:szCs w:val="24"/>
        </w:rPr>
      </w:pPr>
      <w:bookmarkStart w:id="635" w:name="_Toc104558195"/>
      <w:bookmarkStart w:id="636" w:name="_Toc110586053"/>
      <w:bookmarkStart w:id="637" w:name="_Toc110586512"/>
      <w:bookmarkStart w:id="638" w:name="_Toc110586966"/>
      <w:bookmarkStart w:id="639" w:name="_Toc110587402"/>
      <w:bookmarkStart w:id="640" w:name="_Toc110587844"/>
      <w:bookmarkStart w:id="641" w:name="_Toc110588817"/>
      <w:bookmarkStart w:id="642" w:name="_Toc110589254"/>
      <w:bookmarkStart w:id="643" w:name="_Toc110595291"/>
      <w:bookmarkStart w:id="644" w:name="_Toc110595696"/>
      <w:bookmarkStart w:id="645" w:name="_Toc110600927"/>
      <w:bookmarkStart w:id="646" w:name="_Toc110607394"/>
      <w:bookmarkStart w:id="647" w:name="_Toc110613358"/>
      <w:bookmarkStart w:id="648" w:name="_Toc112408933"/>
      <w:bookmarkStart w:id="649" w:name="_Toc112409695"/>
      <w:bookmarkStart w:id="650" w:name="_Toc114140623"/>
      <w:bookmarkStart w:id="651" w:name="_Toc114145275"/>
      <w:bookmarkStart w:id="652" w:name="_Toc114145609"/>
      <w:bookmarkStart w:id="653" w:name="_Toc114145962"/>
      <w:bookmarkStart w:id="654" w:name="_Toc104558196"/>
      <w:bookmarkStart w:id="655" w:name="_Toc110586054"/>
      <w:bookmarkStart w:id="656" w:name="_Toc110586513"/>
      <w:bookmarkStart w:id="657" w:name="_Toc110586967"/>
      <w:bookmarkStart w:id="658" w:name="_Toc110587403"/>
      <w:bookmarkStart w:id="659" w:name="_Toc110587845"/>
      <w:bookmarkStart w:id="660" w:name="_Toc110588818"/>
      <w:bookmarkStart w:id="661" w:name="_Toc110589255"/>
      <w:bookmarkStart w:id="662" w:name="_Toc110595292"/>
      <w:bookmarkStart w:id="663" w:name="_Toc110595697"/>
      <w:bookmarkStart w:id="664" w:name="_Toc110600928"/>
      <w:bookmarkStart w:id="665" w:name="_Toc110607395"/>
      <w:bookmarkStart w:id="666" w:name="_Toc110613359"/>
      <w:bookmarkStart w:id="667" w:name="_Toc112408934"/>
      <w:bookmarkStart w:id="668" w:name="_Toc112409696"/>
      <w:bookmarkStart w:id="669" w:name="_Toc114140624"/>
      <w:bookmarkStart w:id="670" w:name="_Toc114145276"/>
      <w:bookmarkStart w:id="671" w:name="_Toc114145610"/>
      <w:bookmarkStart w:id="672" w:name="_Toc114145963"/>
      <w:bookmarkStart w:id="673" w:name="_Toc103590635"/>
      <w:bookmarkStart w:id="674" w:name="_Toc104558197"/>
      <w:bookmarkStart w:id="675" w:name="_Toc110586055"/>
      <w:bookmarkStart w:id="676" w:name="_Toc110586514"/>
      <w:bookmarkStart w:id="677" w:name="_Toc110586968"/>
      <w:bookmarkStart w:id="678" w:name="_Toc110587404"/>
      <w:bookmarkStart w:id="679" w:name="_Toc110587846"/>
      <w:bookmarkStart w:id="680" w:name="_Toc110588819"/>
      <w:bookmarkStart w:id="681" w:name="_Toc110589256"/>
      <w:bookmarkStart w:id="682" w:name="_Toc110595293"/>
      <w:bookmarkStart w:id="683" w:name="_Toc110595698"/>
      <w:bookmarkStart w:id="684" w:name="_Toc110600929"/>
      <w:bookmarkStart w:id="685" w:name="_Toc110607396"/>
      <w:bookmarkStart w:id="686" w:name="_Toc110613360"/>
      <w:bookmarkStart w:id="687" w:name="_Toc112408935"/>
      <w:bookmarkStart w:id="688" w:name="_Toc112409697"/>
      <w:bookmarkStart w:id="689" w:name="_Toc114140625"/>
      <w:bookmarkStart w:id="690" w:name="_Toc114145277"/>
      <w:bookmarkStart w:id="691" w:name="_Toc114145611"/>
      <w:bookmarkStart w:id="692" w:name="_Toc114145964"/>
      <w:bookmarkStart w:id="693" w:name="_Toc103590636"/>
      <w:bookmarkStart w:id="694" w:name="_Toc104558198"/>
      <w:bookmarkStart w:id="695" w:name="_Toc110586056"/>
      <w:bookmarkStart w:id="696" w:name="_Toc110586515"/>
      <w:bookmarkStart w:id="697" w:name="_Toc110586969"/>
      <w:bookmarkStart w:id="698" w:name="_Toc110587405"/>
      <w:bookmarkStart w:id="699" w:name="_Toc110587847"/>
      <w:bookmarkStart w:id="700" w:name="_Toc110588820"/>
      <w:bookmarkStart w:id="701" w:name="_Toc110589257"/>
      <w:bookmarkStart w:id="702" w:name="_Toc110595294"/>
      <w:bookmarkStart w:id="703" w:name="_Toc110595699"/>
      <w:bookmarkStart w:id="704" w:name="_Toc110600930"/>
      <w:bookmarkStart w:id="705" w:name="_Toc110607397"/>
      <w:bookmarkStart w:id="706" w:name="_Toc110613361"/>
      <w:bookmarkStart w:id="707" w:name="_Toc112408936"/>
      <w:bookmarkStart w:id="708" w:name="_Toc112409698"/>
      <w:bookmarkStart w:id="709" w:name="_Toc114140626"/>
      <w:bookmarkStart w:id="710" w:name="_Toc114145278"/>
      <w:bookmarkStart w:id="711" w:name="_Toc114145612"/>
      <w:bookmarkStart w:id="712" w:name="_Toc114145965"/>
      <w:bookmarkStart w:id="713" w:name="_Toc110586516"/>
      <w:bookmarkStart w:id="714" w:name="_Toc207867997"/>
      <w:bookmarkEnd w:id="479"/>
      <w:bookmarkEnd w:id="480"/>
      <w:bookmarkEnd w:id="568"/>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r w:rsidRPr="00042ADB">
        <w:rPr>
          <w:sz w:val="24"/>
          <w:szCs w:val="24"/>
        </w:rPr>
        <w:t xml:space="preserve">Step 6 - </w:t>
      </w:r>
      <w:r w:rsidR="00154F96" w:rsidRPr="00042ADB">
        <w:rPr>
          <w:sz w:val="24"/>
          <w:szCs w:val="24"/>
        </w:rPr>
        <w:t>Consider Local Jobs First if the project changes during delivery</w:t>
      </w:r>
      <w:bookmarkEnd w:id="713"/>
      <w:bookmarkEnd w:id="714"/>
    </w:p>
    <w:p w14:paraId="70C27DE1" w14:textId="02105896" w:rsidR="009508C1" w:rsidRDefault="009508C1" w:rsidP="00DD69E1">
      <w:pPr>
        <w:pStyle w:val="Heading3"/>
        <w:ind w:left="720"/>
        <w:jc w:val="both"/>
      </w:pPr>
      <w:bookmarkStart w:id="715" w:name="_Changes_to_local"/>
      <w:bookmarkEnd w:id="715"/>
      <w:r>
        <w:t>Changes to local sourcing</w:t>
      </w:r>
    </w:p>
    <w:p w14:paraId="47594BBF" w14:textId="0228AFCE" w:rsidR="004F630D" w:rsidRDefault="004F630D" w:rsidP="00DD69E1">
      <w:pPr>
        <w:jc w:val="both"/>
      </w:pPr>
      <w:r>
        <w:t>Suppliers must deliver the commitments set out in the LIDP within their project contract with the agency. A key part of this is engaging with local businesses and supply chains.</w:t>
      </w:r>
    </w:p>
    <w:p w14:paraId="1DA78FF5" w14:textId="291CB857" w:rsidR="0088135C" w:rsidRDefault="0088135C" w:rsidP="00DD69E1">
      <w:pPr>
        <w:jc w:val="both"/>
      </w:pPr>
      <w:r>
        <w:t>For Strategic Projects, a</w:t>
      </w:r>
      <w:r w:rsidRPr="00D06F58">
        <w:t xml:space="preserve"> supplier proposing to change the local sourcing of an item/s compared to what is listed in the approved LIDP, must notify the project delivery age</w:t>
      </w:r>
      <w:r>
        <w:t xml:space="preserve">ncy </w:t>
      </w:r>
      <w:r w:rsidRPr="00D06F58">
        <w:t>before contractually committing to the change.</w:t>
      </w:r>
    </w:p>
    <w:p w14:paraId="404A5E9B" w14:textId="0EB4E570" w:rsidR="0088135C" w:rsidRPr="00441BE2" w:rsidRDefault="0088135C" w:rsidP="00DD69E1">
      <w:pPr>
        <w:jc w:val="both"/>
      </w:pPr>
      <w:r>
        <w:t>A</w:t>
      </w:r>
      <w:r w:rsidRPr="006B3068">
        <w:t>genc</w:t>
      </w:r>
      <w:r>
        <w:t xml:space="preserve">ies </w:t>
      </w:r>
      <w:r w:rsidR="003211EE">
        <w:t>will</w:t>
      </w:r>
      <w:r w:rsidRPr="006B3068">
        <w:t xml:space="preserve"> work with the supplier to understand the reason for the proposed change</w:t>
      </w:r>
      <w:r>
        <w:t>,</w:t>
      </w:r>
      <w:r w:rsidRPr="006B3068">
        <w:t xml:space="preserve"> assess potential impact/s</w:t>
      </w:r>
      <w:r>
        <w:t>,</w:t>
      </w:r>
      <w:r w:rsidRPr="006B3068">
        <w:t xml:space="preserve"> and determine if it meets the LJF definition of a significant diversion.</w:t>
      </w:r>
      <w:r>
        <w:t xml:space="preserve"> A proposed change is considered significant if</w:t>
      </w:r>
      <w:r w:rsidRPr="00183945">
        <w:t xml:space="preserve"> a supplier proposes to divert from the approved </w:t>
      </w:r>
      <w:r>
        <w:t xml:space="preserve">LIDP </w:t>
      </w:r>
      <w:r w:rsidRPr="00183945">
        <w:t>by:</w:t>
      </w:r>
    </w:p>
    <w:p w14:paraId="001C276B" w14:textId="77777777" w:rsidR="0088135C" w:rsidRPr="00441BE2" w:rsidRDefault="0088135C" w:rsidP="00DD69E1">
      <w:pPr>
        <w:pStyle w:val="ListParagraph"/>
        <w:numPr>
          <w:ilvl w:val="0"/>
          <w:numId w:val="72"/>
        </w:numPr>
        <w:spacing w:after="120"/>
        <w:ind w:left="357" w:hanging="357"/>
        <w:contextualSpacing w:val="0"/>
        <w:jc w:val="both"/>
        <w:rPr>
          <w:rFonts w:ascii="VIC" w:hAnsi="VIC"/>
          <w:sz w:val="18"/>
          <w:szCs w:val="20"/>
          <w:lang w:eastAsia="en-US"/>
        </w:rPr>
      </w:pPr>
      <w:r w:rsidRPr="00441BE2">
        <w:rPr>
          <w:rFonts w:ascii="VIC" w:hAnsi="VIC"/>
          <w:sz w:val="18"/>
          <w:szCs w:val="20"/>
          <w:lang w:eastAsia="en-US"/>
        </w:rPr>
        <w:t>reducing the local content of any steel item, or</w:t>
      </w:r>
    </w:p>
    <w:p w14:paraId="5320F5CF" w14:textId="6A301BAF" w:rsidR="0088135C" w:rsidRDefault="0088135C" w:rsidP="00DD69E1">
      <w:pPr>
        <w:pStyle w:val="ListParagraph"/>
        <w:numPr>
          <w:ilvl w:val="0"/>
          <w:numId w:val="72"/>
        </w:numPr>
        <w:spacing w:after="120"/>
        <w:ind w:left="357" w:hanging="357"/>
        <w:contextualSpacing w:val="0"/>
        <w:jc w:val="both"/>
        <w:rPr>
          <w:rFonts w:ascii="VIC" w:hAnsi="VIC"/>
          <w:sz w:val="18"/>
          <w:szCs w:val="20"/>
          <w:lang w:eastAsia="en-US"/>
        </w:rPr>
      </w:pPr>
      <w:r w:rsidRPr="00441BE2">
        <w:rPr>
          <w:rFonts w:ascii="VIC" w:hAnsi="VIC"/>
          <w:sz w:val="18"/>
          <w:szCs w:val="20"/>
          <w:lang w:eastAsia="en-US"/>
        </w:rPr>
        <w:t>reducing the local content by 20 per cent or more of any item (or group of similar items) that are of significant value to the project (e.g., valued at greater than $5 million or equate to 5 per cent or more of the project's contract value).</w:t>
      </w:r>
    </w:p>
    <w:p w14:paraId="54DDA91A" w14:textId="2FF593F1" w:rsidR="0098018D" w:rsidRPr="0069768B" w:rsidRDefault="001157DC" w:rsidP="00DD69E1">
      <w:pPr>
        <w:spacing w:after="120"/>
        <w:jc w:val="both"/>
      </w:pPr>
      <w:r>
        <w:t xml:space="preserve">For significant changes, suppliers will be directed to work with the ICN to identify local alternatives. Where agreement is reached that international sourcing is the preferred option, the supplier may also be required to </w:t>
      </w:r>
      <w:hyperlink w:anchor="_Re-submitting_an_LIDP" w:history="1">
        <w:r w:rsidRPr="00113391">
          <w:rPr>
            <w:rStyle w:val="Hyperlink"/>
          </w:rPr>
          <w:t>re-submit their LIDP</w:t>
        </w:r>
      </w:hyperlink>
      <w:r>
        <w:t xml:space="preserve"> to the ICN for verification. </w:t>
      </w:r>
      <w:r w:rsidR="0098018D" w:rsidRPr="006B3068">
        <w:t>Suppliers and agencies should retain evidence of the options investigated to avoid sourcing items internationally.</w:t>
      </w:r>
    </w:p>
    <w:p w14:paraId="72E5CE05" w14:textId="2F68F8CA" w:rsidR="006814D9" w:rsidRDefault="006814D9" w:rsidP="00DD69E1">
      <w:pPr>
        <w:pStyle w:val="Heading3"/>
        <w:ind w:left="720"/>
        <w:jc w:val="both"/>
      </w:pPr>
      <w:bookmarkStart w:id="716" w:name="_Changes_to_project"/>
      <w:bookmarkEnd w:id="716"/>
      <w:r>
        <w:t>Changes to</w:t>
      </w:r>
      <w:r w:rsidR="00696BF6">
        <w:t xml:space="preserve"> project scope and value</w:t>
      </w:r>
    </w:p>
    <w:p w14:paraId="771FDC46" w14:textId="35D8F046" w:rsidR="00696BF6" w:rsidRPr="00042ADB" w:rsidRDefault="00696BF6" w:rsidP="00EF33F8">
      <w:pPr>
        <w:spacing w:before="0"/>
        <w:jc w:val="both"/>
        <w:rPr>
          <w:rFonts w:cstheme="minorHAnsi"/>
          <w:szCs w:val="18"/>
        </w:rPr>
      </w:pPr>
      <w:r w:rsidRPr="00042ADB">
        <w:rPr>
          <w:rFonts w:cstheme="minorHAnsi"/>
          <w:szCs w:val="18"/>
        </w:rPr>
        <w:t xml:space="preserve">If an agency and supplier are varying a contract, then </w:t>
      </w:r>
      <w:r w:rsidR="009A34CD">
        <w:rPr>
          <w:rFonts w:cstheme="minorHAnsi"/>
          <w:szCs w:val="18"/>
        </w:rPr>
        <w:t>LJF</w:t>
      </w:r>
      <w:r w:rsidRPr="00042ADB">
        <w:rPr>
          <w:rFonts w:cstheme="minorHAnsi"/>
          <w:szCs w:val="18"/>
        </w:rPr>
        <w:t xml:space="preserve"> must be given due consideration according to the change in value of the contract or scope of work.</w:t>
      </w:r>
    </w:p>
    <w:p w14:paraId="1C525075" w14:textId="2BCDDEC1" w:rsidR="00696BF6" w:rsidRPr="00042ADB" w:rsidRDefault="00696BF6" w:rsidP="00EF33F8">
      <w:pPr>
        <w:spacing w:before="0"/>
        <w:jc w:val="both"/>
        <w:rPr>
          <w:rFonts w:cstheme="minorHAnsi"/>
          <w:szCs w:val="18"/>
        </w:rPr>
      </w:pPr>
      <w:r w:rsidRPr="00042ADB">
        <w:rPr>
          <w:rFonts w:cstheme="minorHAnsi"/>
          <w:szCs w:val="18"/>
        </w:rPr>
        <w:t xml:space="preserve">If the changes to the scope of work are substantial, the supplier must re-submit the LIDP to the ICN through the VMC, for re-evaluation, in order that their commitments can be re-assessed. If this is an MPSG project, this may necessitate the MPSG </w:t>
      </w:r>
      <w:r w:rsidR="004404FF">
        <w:rPr>
          <w:rFonts w:cstheme="minorHAnsi"/>
          <w:szCs w:val="18"/>
        </w:rPr>
        <w:t>c</w:t>
      </w:r>
      <w:r w:rsidRPr="00042ADB">
        <w:rPr>
          <w:rFonts w:cstheme="minorHAnsi"/>
          <w:szCs w:val="18"/>
        </w:rPr>
        <w:t>ommitment being re-calculated and included in the contract variation as a deliverable.</w:t>
      </w:r>
      <w:r w:rsidR="00EC0EB3" w:rsidRPr="00042ADB">
        <w:rPr>
          <w:rFonts w:cstheme="minorHAnsi"/>
          <w:szCs w:val="18"/>
        </w:rPr>
        <w:t xml:space="preserve"> </w:t>
      </w:r>
      <w:r w:rsidR="00EC0EB3" w:rsidRPr="00042ADB">
        <w:t>For Strategic Projects, it may be necessary for the minimum local requirements to be re-evaluated if the changes and/or additions to the project are significant.</w:t>
      </w:r>
    </w:p>
    <w:p w14:paraId="0CDE7717" w14:textId="6AC0CB12" w:rsidR="00696BF6" w:rsidRPr="00696BF6" w:rsidRDefault="00696BF6" w:rsidP="00EF33F8">
      <w:pPr>
        <w:spacing w:before="0"/>
        <w:jc w:val="both"/>
      </w:pPr>
      <w:r w:rsidRPr="00042ADB">
        <w:rPr>
          <w:rFonts w:cstheme="minorHAnsi"/>
          <w:szCs w:val="18"/>
        </w:rPr>
        <w:t xml:space="preserve">Contact </w:t>
      </w:r>
      <w:r w:rsidR="00011A11">
        <w:rPr>
          <w:rFonts w:cstheme="minorHAnsi"/>
          <w:szCs w:val="18"/>
        </w:rPr>
        <w:t xml:space="preserve">the procuring agency or </w:t>
      </w:r>
      <w:r w:rsidR="009C20E4">
        <w:rPr>
          <w:rFonts w:cstheme="minorHAnsi"/>
          <w:szCs w:val="18"/>
        </w:rPr>
        <w:t xml:space="preserve">the </w:t>
      </w:r>
      <w:r w:rsidR="00011A11">
        <w:rPr>
          <w:rFonts w:cstheme="minorHAnsi"/>
          <w:szCs w:val="18"/>
        </w:rPr>
        <w:t>ICN</w:t>
      </w:r>
      <w:r w:rsidRPr="00042ADB">
        <w:rPr>
          <w:rFonts w:cstheme="minorHAnsi"/>
          <w:szCs w:val="18"/>
        </w:rPr>
        <w:t xml:space="preserve"> for more advice about project changes on a specific project. Note that if you wish to seek feedback on your tender, you must do so through the delivery agency. Agencies are obliged to provide this feedback if you request it.</w:t>
      </w:r>
    </w:p>
    <w:p w14:paraId="28E75654" w14:textId="76388EC8" w:rsidR="00D41A9A" w:rsidRPr="00042ADB" w:rsidRDefault="002A6E45" w:rsidP="00DD69E1">
      <w:pPr>
        <w:pStyle w:val="Heading2"/>
        <w:ind w:left="578" w:hanging="578"/>
        <w:jc w:val="both"/>
        <w:rPr>
          <w:sz w:val="24"/>
          <w:szCs w:val="24"/>
        </w:rPr>
      </w:pPr>
      <w:bookmarkStart w:id="717" w:name="_Toc110586517"/>
      <w:bookmarkStart w:id="718" w:name="_Toc207867998"/>
      <w:r w:rsidRPr="00042ADB">
        <w:rPr>
          <w:sz w:val="24"/>
          <w:szCs w:val="24"/>
        </w:rPr>
        <w:t xml:space="preserve">Step 7 - </w:t>
      </w:r>
      <w:r w:rsidR="00D41A9A" w:rsidRPr="00042ADB">
        <w:rPr>
          <w:sz w:val="24"/>
          <w:szCs w:val="24"/>
        </w:rPr>
        <w:t>Submit project completion reporting</w:t>
      </w:r>
      <w:bookmarkEnd w:id="717"/>
      <w:bookmarkEnd w:id="718"/>
    </w:p>
    <w:p w14:paraId="4C498888" w14:textId="7AFF79BE" w:rsidR="00D41A9A" w:rsidRDefault="00626BD5" w:rsidP="00EF33F8">
      <w:pPr>
        <w:spacing w:before="0"/>
        <w:jc w:val="both"/>
        <w:rPr>
          <w:rFonts w:cs="Arial"/>
        </w:rPr>
      </w:pPr>
      <w:r>
        <w:rPr>
          <w:rFonts w:cs="Arial"/>
        </w:rPr>
        <w:t>Project completion reporting (also known as e</w:t>
      </w:r>
      <w:r w:rsidR="00D41A9A" w:rsidRPr="001C4C7A">
        <w:rPr>
          <w:rFonts w:cs="Arial"/>
        </w:rPr>
        <w:t>nd of contract verification</w:t>
      </w:r>
      <w:r>
        <w:rPr>
          <w:rFonts w:cs="Arial"/>
        </w:rPr>
        <w:t>)</w:t>
      </w:r>
      <w:r w:rsidR="00D41A9A" w:rsidRPr="001C4C7A">
        <w:rPr>
          <w:rFonts w:cs="Arial"/>
        </w:rPr>
        <w:t xml:space="preserve"> is required for all LJF projects to confirm the LJF outcomes achieved through the project.</w:t>
      </w:r>
      <w:r w:rsidR="00D41A9A">
        <w:rPr>
          <w:rFonts w:cs="Arial"/>
        </w:rPr>
        <w:t xml:space="preserve"> </w:t>
      </w:r>
      <w:r w:rsidR="00D41A9A" w:rsidRPr="001C4C7A">
        <w:rPr>
          <w:rFonts w:cs="Arial"/>
        </w:rPr>
        <w:t>Failure to complete the verification documents will deem the project to be non-compliant with LJF</w:t>
      </w:r>
      <w:r w:rsidR="00993565">
        <w:rPr>
          <w:rFonts w:cs="Arial"/>
        </w:rPr>
        <w:t xml:space="preserve"> and may impact a supplier’s </w:t>
      </w:r>
      <w:r w:rsidR="005616E5">
        <w:rPr>
          <w:rFonts w:cs="Arial"/>
        </w:rPr>
        <w:t>LJF achievability rating</w:t>
      </w:r>
      <w:r w:rsidR="00993565">
        <w:rPr>
          <w:rFonts w:cs="Arial"/>
        </w:rPr>
        <w:t xml:space="preserve"> on future projects</w:t>
      </w:r>
      <w:r w:rsidR="00D41A9A" w:rsidRPr="001C4C7A">
        <w:rPr>
          <w:rFonts w:cs="Arial"/>
        </w:rPr>
        <w:t>.</w:t>
      </w:r>
      <w:r w:rsidR="00926193">
        <w:rPr>
          <w:rFonts w:cs="Arial"/>
          <w:b/>
          <w:bCs/>
        </w:rPr>
        <w:t xml:space="preserve"> </w:t>
      </w:r>
      <w:r w:rsidR="00424F8C">
        <w:rPr>
          <w:rFonts w:cstheme="minorHAnsi"/>
          <w:b/>
          <w:bCs/>
          <w:szCs w:val="18"/>
        </w:rPr>
        <w:t xml:space="preserve">End of </w:t>
      </w:r>
      <w:r w:rsidR="00D41A9A" w:rsidRPr="00042ADB">
        <w:rPr>
          <w:rFonts w:cstheme="minorHAnsi"/>
          <w:b/>
          <w:bCs/>
          <w:szCs w:val="18"/>
        </w:rPr>
        <w:t>contract verification occurs at</w:t>
      </w:r>
      <w:r w:rsidR="00D41A9A" w:rsidRPr="00042ADB">
        <w:rPr>
          <w:rFonts w:cstheme="minorHAnsi"/>
          <w:szCs w:val="18"/>
        </w:rPr>
        <w:t xml:space="preserve"> </w:t>
      </w:r>
      <w:r w:rsidR="00D41A9A" w:rsidRPr="007860D2">
        <w:rPr>
          <w:rFonts w:cs="Arial"/>
          <w:b/>
          <w:bCs/>
        </w:rPr>
        <w:t>or before practical completion of the project and/or delivery of the goods or services</w:t>
      </w:r>
      <w:r w:rsidR="00D41A9A" w:rsidRPr="007860D2">
        <w:rPr>
          <w:rFonts w:cs="Arial"/>
        </w:rPr>
        <w:t>. For goods projects</w:t>
      </w:r>
      <w:r w:rsidR="00D41A9A" w:rsidRPr="00006132">
        <w:rPr>
          <w:rFonts w:cs="Arial"/>
        </w:rPr>
        <w:t xml:space="preserve">, </w:t>
      </w:r>
      <w:r w:rsidR="00D41A9A">
        <w:rPr>
          <w:rFonts w:cs="Arial"/>
        </w:rPr>
        <w:t>this</w:t>
      </w:r>
      <w:r w:rsidR="00D41A9A" w:rsidRPr="00006132">
        <w:rPr>
          <w:rFonts w:cs="Arial"/>
        </w:rPr>
        <w:t xml:space="preserve"> is at the time of full supply (ahead of the defects period). For services projects, it is often at the end of the life of the contract.</w:t>
      </w:r>
      <w:r w:rsidR="00A30D5B">
        <w:rPr>
          <w:rFonts w:cs="Arial"/>
        </w:rPr>
        <w:t xml:space="preserve"> </w:t>
      </w:r>
      <w:r w:rsidR="00F706E9" w:rsidRPr="00F706E9">
        <w:rPr>
          <w:rFonts w:cs="Arial"/>
        </w:rPr>
        <w:t>For long-term or ongoing contracts, such as projects that include a development or construction and an operations and/or maintenance phase, a completion report is required for both practical completion of the construction and for completion of the overall project, noting that different suppliers may be responsible.</w:t>
      </w:r>
    </w:p>
    <w:p w14:paraId="48132EE2" w14:textId="0CD99A46" w:rsidR="00022E26" w:rsidRPr="00042ADB" w:rsidRDefault="00022E26" w:rsidP="00042ADB">
      <w:pPr>
        <w:spacing w:before="0"/>
        <w:jc w:val="both"/>
        <w:rPr>
          <w:rFonts w:ascii="Arial" w:hAnsi="Arial" w:cs="Arial"/>
          <w:szCs w:val="18"/>
        </w:rPr>
      </w:pPr>
      <w:r>
        <w:rPr>
          <w:rFonts w:cs="Arial"/>
          <w:szCs w:val="18"/>
        </w:rPr>
        <w:t xml:space="preserve">Completion reporting is submitted on </w:t>
      </w:r>
      <w:r w:rsidR="00EB3BCD">
        <w:rPr>
          <w:rFonts w:cs="Arial"/>
          <w:szCs w:val="18"/>
        </w:rPr>
        <w:t xml:space="preserve">the </w:t>
      </w:r>
      <w:r>
        <w:rPr>
          <w:rFonts w:cs="Arial"/>
          <w:szCs w:val="18"/>
        </w:rPr>
        <w:t xml:space="preserve">VMC using the same process as reporting during the project. However, when the project has reached </w:t>
      </w:r>
      <w:r w:rsidRPr="00441D98">
        <w:rPr>
          <w:rFonts w:cs="Arial"/>
          <w:szCs w:val="18"/>
        </w:rPr>
        <w:t>the final reporting cycle</w:t>
      </w:r>
      <w:r>
        <w:rPr>
          <w:rFonts w:cs="Arial"/>
          <w:szCs w:val="18"/>
        </w:rPr>
        <w:t>, the a</w:t>
      </w:r>
      <w:r w:rsidRPr="00441D98">
        <w:rPr>
          <w:rFonts w:cs="Arial"/>
          <w:szCs w:val="18"/>
        </w:rPr>
        <w:t>gency</w:t>
      </w:r>
      <w:r>
        <w:rPr>
          <w:rFonts w:cs="Arial"/>
          <w:szCs w:val="18"/>
        </w:rPr>
        <w:t xml:space="preserve"> will indicate on</w:t>
      </w:r>
      <w:r w:rsidR="00EB3BCD">
        <w:rPr>
          <w:rFonts w:cs="Arial"/>
          <w:szCs w:val="18"/>
        </w:rPr>
        <w:t xml:space="preserve"> the</w:t>
      </w:r>
      <w:r>
        <w:rPr>
          <w:rFonts w:cs="Arial"/>
          <w:szCs w:val="18"/>
        </w:rPr>
        <w:t xml:space="preserve"> VMC that a completion report with ICN verification is required.</w:t>
      </w:r>
    </w:p>
    <w:p w14:paraId="3C07A977" w14:textId="2FDD648C" w:rsidR="00D41A9A" w:rsidRPr="00E31C02" w:rsidRDefault="00D41A9A" w:rsidP="00042ADB">
      <w:pPr>
        <w:spacing w:before="0"/>
        <w:jc w:val="both"/>
        <w:rPr>
          <w:rFonts w:cs="Arial"/>
          <w:szCs w:val="18"/>
        </w:rPr>
      </w:pPr>
      <w:bookmarkStart w:id="719" w:name="_Hlk526963845"/>
      <w:r w:rsidRPr="001C4C7A">
        <w:rPr>
          <w:rFonts w:cs="Arial"/>
        </w:rPr>
        <w:t xml:space="preserve">The agency contract manager </w:t>
      </w:r>
      <w:r>
        <w:rPr>
          <w:rFonts w:cs="Arial"/>
        </w:rPr>
        <w:t xml:space="preserve">will </w:t>
      </w:r>
      <w:r w:rsidRPr="001C4C7A">
        <w:rPr>
          <w:rFonts w:cs="Arial"/>
        </w:rPr>
        <w:t>request the supplier to submit the following information</w:t>
      </w:r>
      <w:r>
        <w:rPr>
          <w:rFonts w:cs="Arial"/>
        </w:rPr>
        <w:t xml:space="preserve"> through </w:t>
      </w:r>
      <w:r w:rsidR="00C111B0">
        <w:rPr>
          <w:rFonts w:cs="Arial"/>
        </w:rPr>
        <w:t xml:space="preserve">the </w:t>
      </w:r>
      <w:r>
        <w:rPr>
          <w:rFonts w:cs="Arial"/>
        </w:rPr>
        <w:t>VMC</w:t>
      </w:r>
      <w:r w:rsidRPr="001C4C7A">
        <w:rPr>
          <w:rFonts w:cs="Arial"/>
        </w:rPr>
        <w:t xml:space="preserve"> before practical</w:t>
      </w:r>
      <w:r>
        <w:rPr>
          <w:rFonts w:cs="Arial"/>
          <w:szCs w:val="18"/>
        </w:rPr>
        <w:t xml:space="preserve"> completion of a construction project, or final delivery of a goods and services project</w:t>
      </w:r>
      <w:r w:rsidRPr="00E31C02">
        <w:rPr>
          <w:rFonts w:cs="Arial"/>
          <w:szCs w:val="18"/>
        </w:rPr>
        <w:t>:</w:t>
      </w:r>
    </w:p>
    <w:bookmarkEnd w:id="719"/>
    <w:p w14:paraId="0CFD0ED4" w14:textId="678153BE" w:rsidR="00D41A9A" w:rsidRPr="00A30D2C" w:rsidRDefault="008A5CCD" w:rsidP="00DD69E1">
      <w:pPr>
        <w:numPr>
          <w:ilvl w:val="0"/>
          <w:numId w:val="55"/>
        </w:numPr>
        <w:spacing w:after="120"/>
        <w:ind w:left="357" w:hanging="357"/>
        <w:jc w:val="both"/>
        <w:rPr>
          <w:rFonts w:cs="Arial"/>
        </w:rPr>
      </w:pPr>
      <w:r>
        <w:rPr>
          <w:rFonts w:cs="Arial"/>
          <w:b/>
          <w:bCs/>
        </w:rPr>
        <w:t>a</w:t>
      </w:r>
      <w:r w:rsidR="00D41A9A" w:rsidRPr="00042ADB">
        <w:rPr>
          <w:rFonts w:cs="Arial"/>
          <w:b/>
          <w:bCs/>
        </w:rPr>
        <w:t xml:space="preserve"> completed LJF monitoring table</w:t>
      </w:r>
      <w:r w:rsidR="00133A68">
        <w:rPr>
          <w:rFonts w:cs="Arial"/>
        </w:rPr>
        <w:t xml:space="preserve"> </w:t>
      </w:r>
      <w:r w:rsidR="00D41A9A" w:rsidRPr="00E21447">
        <w:rPr>
          <w:rFonts w:cs="Arial"/>
        </w:rPr>
        <w:t>identifying LIDP commitments and actual achievements (</w:t>
      </w:r>
      <w:r w:rsidR="0058012B">
        <w:rPr>
          <w:rFonts w:cs="Arial"/>
        </w:rPr>
        <w:t xml:space="preserve">see </w:t>
      </w:r>
      <w:hyperlink w:anchor="_Appendix_3:_Monitoring" w:history="1">
        <w:r w:rsidR="0058012B" w:rsidRPr="0058012B">
          <w:rPr>
            <w:rStyle w:val="Hyperlink"/>
            <w:rFonts w:cs="Arial"/>
          </w:rPr>
          <w:t>Appendix 2: Example Monitoring and Reporting Table</w:t>
        </w:r>
      </w:hyperlink>
      <w:r w:rsidR="00D41A9A" w:rsidRPr="00A30D2C">
        <w:rPr>
          <w:rFonts w:cs="Arial"/>
        </w:rPr>
        <w:t>)</w:t>
      </w:r>
      <w:r w:rsidR="006E6200">
        <w:rPr>
          <w:rFonts w:cs="Arial"/>
        </w:rPr>
        <w:t>, and</w:t>
      </w:r>
    </w:p>
    <w:p w14:paraId="0C87A4AA" w14:textId="6776913D" w:rsidR="00D41A9A" w:rsidRPr="00C57810" w:rsidRDefault="008A5CCD" w:rsidP="00DD69E1">
      <w:pPr>
        <w:numPr>
          <w:ilvl w:val="0"/>
          <w:numId w:val="55"/>
        </w:numPr>
        <w:spacing w:after="240"/>
        <w:ind w:left="357" w:hanging="357"/>
        <w:jc w:val="both"/>
        <w:rPr>
          <w:rFonts w:cs="Arial"/>
        </w:rPr>
      </w:pPr>
      <w:r>
        <w:rPr>
          <w:rFonts w:cs="Arial"/>
          <w:b/>
          <w:bCs/>
        </w:rPr>
        <w:t>a</w:t>
      </w:r>
      <w:r w:rsidR="00D41A9A" w:rsidRPr="00042ADB">
        <w:rPr>
          <w:rFonts w:cs="Arial"/>
          <w:b/>
          <w:bCs/>
        </w:rPr>
        <w:t xml:space="preserve"> statutory declaration</w:t>
      </w:r>
      <w:r w:rsidR="00D41A9A" w:rsidRPr="00A30D2C">
        <w:rPr>
          <w:rFonts w:cs="Arial"/>
        </w:rPr>
        <w:t xml:space="preserve"> signed by the supplier’s company director, chief executive or chief financial officer, </w:t>
      </w:r>
      <w:r w:rsidR="0058012B">
        <w:rPr>
          <w:rFonts w:cs="Arial"/>
        </w:rPr>
        <w:t>which</w:t>
      </w:r>
      <w:r w:rsidR="00D41A9A" w:rsidRPr="00A30D2C">
        <w:rPr>
          <w:rFonts w:cs="Arial"/>
        </w:rPr>
        <w:t xml:space="preserve"> state</w:t>
      </w:r>
      <w:r w:rsidR="0058012B">
        <w:rPr>
          <w:rFonts w:cs="Arial"/>
        </w:rPr>
        <w:t>s</w:t>
      </w:r>
      <w:r w:rsidR="00D41A9A" w:rsidRPr="00A30D2C">
        <w:rPr>
          <w:rFonts w:cs="Arial"/>
        </w:rPr>
        <w:t xml:space="preserve"> that the information given in the LJF monitoring table is true and correct</w:t>
      </w:r>
      <w:r w:rsidR="0058012B">
        <w:rPr>
          <w:rFonts w:cs="Arial"/>
        </w:rPr>
        <w:t xml:space="preserve"> </w:t>
      </w:r>
      <w:r w:rsidR="0058012B" w:rsidRPr="00441BE2">
        <w:rPr>
          <w:rFonts w:cs="Arial"/>
        </w:rPr>
        <w:t>(</w:t>
      </w:r>
      <w:r w:rsidR="0058012B">
        <w:rPr>
          <w:rFonts w:cs="Arial"/>
        </w:rPr>
        <w:t xml:space="preserve">see </w:t>
      </w:r>
      <w:hyperlink w:anchor="_Appendix_4:_Statutory" w:history="1">
        <w:r w:rsidR="0058012B" w:rsidRPr="000F6795">
          <w:rPr>
            <w:rStyle w:val="Hyperlink"/>
            <w:rFonts w:cs="Arial"/>
          </w:rPr>
          <w:t>Appendix 4: Statutory Declaration Template</w:t>
        </w:r>
      </w:hyperlink>
      <w:r w:rsidR="0058012B">
        <w:rPr>
          <w:rFonts w:cs="Arial"/>
        </w:rPr>
        <w:t>)</w:t>
      </w:r>
      <w:r w:rsidR="00D41A9A" w:rsidRPr="00A30D2C">
        <w:rPr>
          <w:rFonts w:cs="Arial"/>
        </w:rPr>
        <w:t xml:space="preserve">. </w:t>
      </w:r>
      <w:r w:rsidR="00D41A9A" w:rsidRPr="00042ADB">
        <w:rPr>
          <w:rFonts w:cstheme="minorHAnsi"/>
          <w:szCs w:val="18"/>
        </w:rPr>
        <w:t xml:space="preserve">Further information on preparing a Statutory Declaration is provided by the Department of Justice and </w:t>
      </w:r>
      <w:r w:rsidR="0025446E">
        <w:rPr>
          <w:rFonts w:cstheme="minorHAnsi"/>
          <w:szCs w:val="18"/>
        </w:rPr>
        <w:t>Community Safety</w:t>
      </w:r>
      <w:r w:rsidR="0025446E" w:rsidRPr="00042ADB">
        <w:rPr>
          <w:rFonts w:cstheme="minorHAnsi"/>
          <w:szCs w:val="18"/>
        </w:rPr>
        <w:t xml:space="preserve"> </w:t>
      </w:r>
      <w:r w:rsidR="00D41A9A" w:rsidRPr="00042ADB">
        <w:rPr>
          <w:rFonts w:cstheme="minorHAnsi"/>
          <w:szCs w:val="18"/>
        </w:rPr>
        <w:t xml:space="preserve">at </w:t>
      </w:r>
      <w:hyperlink r:id="rId29" w:history="1">
        <w:r w:rsidR="00D41A9A" w:rsidRPr="00042ADB">
          <w:rPr>
            <w:rStyle w:val="Hyperlink"/>
            <w:rFonts w:cstheme="minorHAnsi"/>
            <w:szCs w:val="18"/>
          </w:rPr>
          <w:t>https://www.justice.vic.gov.au/statdecs</w:t>
        </w:r>
      </w:hyperlink>
      <w:r w:rsidR="00D41A9A" w:rsidRPr="00042ADB">
        <w:rPr>
          <w:rFonts w:cstheme="minorHAnsi"/>
          <w:szCs w:val="18"/>
        </w:rPr>
        <w:t>.</w:t>
      </w:r>
    </w:p>
    <w:p w14:paraId="4AC4C1C2" w14:textId="4C3618AF" w:rsidR="00D41A9A" w:rsidRPr="008139D3" w:rsidRDefault="00D41A9A" w:rsidP="00042ADB">
      <w:pPr>
        <w:spacing w:before="0"/>
        <w:jc w:val="both"/>
        <w:rPr>
          <w:rFonts w:cs="Arial"/>
          <w:szCs w:val="18"/>
        </w:rPr>
      </w:pPr>
      <w:r>
        <w:rPr>
          <w:rFonts w:cs="Arial"/>
          <w:szCs w:val="18"/>
        </w:rPr>
        <w:t>S</w:t>
      </w:r>
      <w:r w:rsidRPr="008139D3">
        <w:rPr>
          <w:rFonts w:cs="Arial"/>
          <w:szCs w:val="18"/>
        </w:rPr>
        <w:t xml:space="preserve">uppliers </w:t>
      </w:r>
      <w:r>
        <w:rPr>
          <w:rFonts w:cs="Arial"/>
          <w:szCs w:val="18"/>
        </w:rPr>
        <w:t xml:space="preserve">must </w:t>
      </w:r>
      <w:r w:rsidRPr="008139D3">
        <w:rPr>
          <w:rFonts w:cs="Arial"/>
          <w:szCs w:val="18"/>
        </w:rPr>
        <w:t>explain any discrepancies between the expected and achieved LJF outcomes.</w:t>
      </w:r>
      <w:r w:rsidR="00307F0B">
        <w:rPr>
          <w:rFonts w:cs="Arial"/>
          <w:szCs w:val="18"/>
        </w:rPr>
        <w:t xml:space="preserve"> For Strategic Projects, this should include an explanation of</w:t>
      </w:r>
      <w:r w:rsidR="00307F0B" w:rsidRPr="00082686">
        <w:t xml:space="preserve"> </w:t>
      </w:r>
      <w:r w:rsidR="00307F0B" w:rsidRPr="00082686">
        <w:rPr>
          <w:rFonts w:cs="Arial"/>
          <w:szCs w:val="18"/>
        </w:rPr>
        <w:t xml:space="preserve">work </w:t>
      </w:r>
      <w:r w:rsidR="00307F0B">
        <w:rPr>
          <w:rFonts w:cs="Arial"/>
          <w:szCs w:val="18"/>
        </w:rPr>
        <w:t>undertaken</w:t>
      </w:r>
      <w:r w:rsidR="00307F0B" w:rsidRPr="00082686">
        <w:rPr>
          <w:rFonts w:cs="Arial"/>
          <w:szCs w:val="18"/>
        </w:rPr>
        <w:t xml:space="preserve"> to maximise local industry outcomes in relation </w:t>
      </w:r>
      <w:r w:rsidR="00307F0B">
        <w:rPr>
          <w:rFonts w:cs="Arial"/>
          <w:szCs w:val="18"/>
        </w:rPr>
        <w:t>to any</w:t>
      </w:r>
      <w:r w:rsidR="00307F0B" w:rsidRPr="00082686">
        <w:rPr>
          <w:rFonts w:cs="Arial"/>
          <w:szCs w:val="18"/>
        </w:rPr>
        <w:t xml:space="preserve"> </w:t>
      </w:r>
      <w:hyperlink w:anchor="_Changes_to_local" w:history="1">
        <w:r w:rsidR="00307F0B" w:rsidRPr="008A375D">
          <w:rPr>
            <w:rStyle w:val="Hyperlink"/>
            <w:rFonts w:cs="Arial"/>
            <w:szCs w:val="18"/>
          </w:rPr>
          <w:t>changes to local sourcing</w:t>
        </w:r>
      </w:hyperlink>
      <w:r w:rsidR="00307F0B">
        <w:rPr>
          <w:rFonts w:cs="Arial"/>
          <w:szCs w:val="18"/>
        </w:rPr>
        <w:t>, and that the required process was followed.</w:t>
      </w:r>
    </w:p>
    <w:p w14:paraId="28AA7638" w14:textId="65D98A2C" w:rsidR="00D41A9A" w:rsidRDefault="00D41A9A">
      <w:pPr>
        <w:spacing w:before="0"/>
        <w:jc w:val="both"/>
        <w:rPr>
          <w:rFonts w:cs="Arial"/>
          <w:szCs w:val="18"/>
        </w:rPr>
      </w:pPr>
      <w:r w:rsidRPr="00FC676A">
        <w:rPr>
          <w:rFonts w:cs="Arial"/>
          <w:szCs w:val="18"/>
        </w:rPr>
        <w:t>The contract manager will</w:t>
      </w:r>
      <w:r w:rsidR="009D39B1">
        <w:rPr>
          <w:rFonts w:cs="Arial"/>
          <w:szCs w:val="18"/>
        </w:rPr>
        <w:t xml:space="preserve"> review</w:t>
      </w:r>
      <w:r w:rsidRPr="00FC676A">
        <w:rPr>
          <w:rFonts w:cs="Arial"/>
          <w:szCs w:val="18"/>
        </w:rPr>
        <w:t xml:space="preserve"> the completed LJF monitoring table and signed statutory declaration</w:t>
      </w:r>
      <w:r w:rsidR="00165BC5">
        <w:rPr>
          <w:rFonts w:cs="Arial"/>
          <w:szCs w:val="18"/>
        </w:rPr>
        <w:t xml:space="preserve"> and either</w:t>
      </w:r>
      <w:r w:rsidR="00165BC5" w:rsidRPr="00441BE2">
        <w:rPr>
          <w:rFonts w:cs="Arial"/>
        </w:rPr>
        <w:t xml:space="preserve"> approve it to be sent to the ICN for verification or return it to the supplier for resubmission</w:t>
      </w:r>
      <w:r w:rsidRPr="00FC676A">
        <w:rPr>
          <w:rFonts w:cs="Arial"/>
          <w:szCs w:val="18"/>
        </w:rPr>
        <w:t xml:space="preserve"> </w:t>
      </w:r>
      <w:r w:rsidR="00165BC5">
        <w:rPr>
          <w:rFonts w:cs="Arial"/>
          <w:szCs w:val="18"/>
        </w:rPr>
        <w:t xml:space="preserve">if </w:t>
      </w:r>
      <w:r w:rsidR="00322097">
        <w:rPr>
          <w:rFonts w:cs="Arial"/>
          <w:szCs w:val="18"/>
        </w:rPr>
        <w:t>further</w:t>
      </w:r>
      <w:r w:rsidR="00165BC5">
        <w:rPr>
          <w:rFonts w:cs="Arial"/>
          <w:szCs w:val="18"/>
        </w:rPr>
        <w:t xml:space="preserve"> information or explanation is required</w:t>
      </w:r>
      <w:r>
        <w:rPr>
          <w:rFonts w:cs="Arial"/>
          <w:szCs w:val="18"/>
        </w:rPr>
        <w:t xml:space="preserve">. </w:t>
      </w:r>
      <w:r w:rsidR="00B62EF9">
        <w:rPr>
          <w:rFonts w:cs="Arial"/>
          <w:szCs w:val="18"/>
        </w:rPr>
        <w:t xml:space="preserve">Agencies will compare </w:t>
      </w:r>
      <w:r w:rsidR="00B62EF9" w:rsidRPr="00E31C02">
        <w:rPr>
          <w:rFonts w:cs="Arial"/>
          <w:szCs w:val="18"/>
        </w:rPr>
        <w:t xml:space="preserve">outcomes achieved to those expected </w:t>
      </w:r>
      <w:r w:rsidR="00B62EF9">
        <w:rPr>
          <w:rFonts w:cs="Arial"/>
          <w:szCs w:val="18"/>
        </w:rPr>
        <w:t xml:space="preserve">under the contract, </w:t>
      </w:r>
      <w:r w:rsidR="00B62EF9" w:rsidRPr="00E31C02">
        <w:rPr>
          <w:rFonts w:cs="Arial"/>
          <w:szCs w:val="18"/>
        </w:rPr>
        <w:t xml:space="preserve">in the LIDP </w:t>
      </w:r>
      <w:r w:rsidR="00B62EF9">
        <w:rPr>
          <w:rFonts w:cs="Arial"/>
          <w:szCs w:val="18"/>
        </w:rPr>
        <w:t xml:space="preserve">or other related documents to </w:t>
      </w:r>
      <w:r w:rsidR="00B62EF9" w:rsidRPr="004B4D3C">
        <w:rPr>
          <w:rFonts w:cs="Arial"/>
        </w:rPr>
        <w:t>consider any differences and any related action arising</w:t>
      </w:r>
      <w:r w:rsidR="00B62EF9" w:rsidRPr="00E31C02">
        <w:rPr>
          <w:rFonts w:cs="Arial"/>
          <w:szCs w:val="18"/>
        </w:rPr>
        <w:t>.</w:t>
      </w:r>
    </w:p>
    <w:p w14:paraId="3E1CE34B" w14:textId="22DE2805" w:rsidR="00D15A7D" w:rsidRPr="0069768B" w:rsidRDefault="00D15A7D" w:rsidP="00DD69E1">
      <w:pPr>
        <w:pStyle w:val="Heading3"/>
        <w:ind w:left="720"/>
      </w:pPr>
      <w:bookmarkStart w:id="720" w:name="_Toc103355574"/>
      <w:r w:rsidRPr="00042ADB">
        <w:rPr>
          <w:rFonts w:cstheme="minorHAnsi"/>
          <w:szCs w:val="18"/>
        </w:rPr>
        <w:t>ICN Verification</w:t>
      </w:r>
      <w:bookmarkEnd w:id="720"/>
    </w:p>
    <w:p w14:paraId="689B1843" w14:textId="525DD53A" w:rsidR="00D41A9A" w:rsidRPr="00042ADB" w:rsidRDefault="00D41A9A" w:rsidP="00C111B0">
      <w:pPr>
        <w:spacing w:before="0"/>
        <w:jc w:val="both"/>
        <w:rPr>
          <w:rFonts w:ascii="Arial" w:hAnsi="Arial" w:cs="Arial"/>
          <w:szCs w:val="18"/>
        </w:rPr>
      </w:pPr>
      <w:r w:rsidRPr="00C57810">
        <w:rPr>
          <w:rFonts w:cs="Arial"/>
          <w:szCs w:val="18"/>
        </w:rPr>
        <w:t>The ICN will examin</w:t>
      </w:r>
      <w:r w:rsidRPr="00444032">
        <w:rPr>
          <w:rFonts w:cs="Arial"/>
          <w:szCs w:val="18"/>
        </w:rPr>
        <w:t xml:space="preserve">e the data submitted to determine whether the </w:t>
      </w:r>
      <w:r w:rsidR="00C111B0">
        <w:rPr>
          <w:rFonts w:cs="Arial"/>
          <w:szCs w:val="18"/>
        </w:rPr>
        <w:t>outcomes</w:t>
      </w:r>
      <w:r w:rsidR="00C111B0" w:rsidRPr="00444032">
        <w:rPr>
          <w:rFonts w:cs="Arial"/>
          <w:szCs w:val="18"/>
        </w:rPr>
        <w:t xml:space="preserve"> </w:t>
      </w:r>
      <w:r w:rsidRPr="00444032">
        <w:rPr>
          <w:rFonts w:cs="Arial"/>
          <w:szCs w:val="18"/>
        </w:rPr>
        <w:t>reported are reasonable</w:t>
      </w:r>
      <w:r w:rsidRPr="007211D9">
        <w:rPr>
          <w:rFonts w:cs="Arial"/>
          <w:szCs w:val="18"/>
        </w:rPr>
        <w:t xml:space="preserve"> or require further clarification. The verification results will be sent to the agency contract manager.</w:t>
      </w:r>
    </w:p>
    <w:p w14:paraId="20FEBDE6" w14:textId="74CA023C" w:rsidR="00D41A9A" w:rsidRPr="00FC676A" w:rsidRDefault="00D41A9A" w:rsidP="00C111B0">
      <w:pPr>
        <w:spacing w:before="0"/>
        <w:jc w:val="both"/>
        <w:rPr>
          <w:rFonts w:cs="Arial"/>
          <w:szCs w:val="18"/>
        </w:rPr>
      </w:pPr>
      <w:r w:rsidRPr="00FC676A">
        <w:rPr>
          <w:rFonts w:cs="Arial"/>
          <w:szCs w:val="18"/>
        </w:rPr>
        <w:t xml:space="preserve">If the ICN determines there is insufficient evidence that the LJF outcomes reported are reasonable, the agency contract manager will be notified and will </w:t>
      </w:r>
      <w:r>
        <w:rPr>
          <w:rFonts w:cs="Arial"/>
          <w:szCs w:val="18"/>
        </w:rPr>
        <w:t>contact the supplier to</w:t>
      </w:r>
      <w:r w:rsidRPr="00FC676A">
        <w:rPr>
          <w:rFonts w:cs="Arial"/>
          <w:szCs w:val="18"/>
        </w:rPr>
        <w:t xml:space="preserve"> clarif</w:t>
      </w:r>
      <w:r>
        <w:rPr>
          <w:rFonts w:cs="Arial"/>
          <w:szCs w:val="18"/>
        </w:rPr>
        <w:t>y</w:t>
      </w:r>
      <w:r w:rsidRPr="00FC676A">
        <w:rPr>
          <w:rFonts w:cs="Arial"/>
          <w:szCs w:val="18"/>
        </w:rPr>
        <w:t xml:space="preserve"> the outcomes.</w:t>
      </w:r>
    </w:p>
    <w:p w14:paraId="0C503B29" w14:textId="2EC1DCEB" w:rsidR="00D41A9A" w:rsidRPr="00D41A9A" w:rsidRDefault="00D41A9A" w:rsidP="00C111B0">
      <w:pPr>
        <w:jc w:val="both"/>
      </w:pPr>
      <w:r w:rsidRPr="00E31C02">
        <w:rPr>
          <w:rFonts w:cs="Arial"/>
          <w:szCs w:val="18"/>
        </w:rPr>
        <w:t xml:space="preserve">The information </w:t>
      </w:r>
      <w:r>
        <w:rPr>
          <w:rFonts w:cs="Arial"/>
          <w:szCs w:val="18"/>
        </w:rPr>
        <w:t>given</w:t>
      </w:r>
      <w:r w:rsidRPr="00E31C02">
        <w:rPr>
          <w:rFonts w:cs="Arial"/>
          <w:szCs w:val="18"/>
        </w:rPr>
        <w:t xml:space="preserve"> in the monitoring table </w:t>
      </w:r>
      <w:r>
        <w:rPr>
          <w:rFonts w:cs="Arial"/>
          <w:szCs w:val="18"/>
        </w:rPr>
        <w:t xml:space="preserve">and related advice </w:t>
      </w:r>
      <w:r w:rsidRPr="00E31C02">
        <w:rPr>
          <w:rFonts w:cs="Arial"/>
          <w:szCs w:val="18"/>
        </w:rPr>
        <w:t xml:space="preserve">will inform the annual reporting on </w:t>
      </w:r>
      <w:r>
        <w:rPr>
          <w:rFonts w:cs="Arial"/>
          <w:szCs w:val="18"/>
        </w:rPr>
        <w:t>LJF</w:t>
      </w:r>
      <w:r w:rsidRPr="002224C9">
        <w:rPr>
          <w:rFonts w:cs="Arial"/>
          <w:szCs w:val="18"/>
        </w:rPr>
        <w:t xml:space="preserve"> </w:t>
      </w:r>
      <w:r w:rsidRPr="00E31C02">
        <w:rPr>
          <w:rFonts w:cs="Arial"/>
          <w:szCs w:val="18"/>
        </w:rPr>
        <w:t>outcomes by the agency</w:t>
      </w:r>
      <w:r>
        <w:rPr>
          <w:rFonts w:cs="Arial"/>
          <w:szCs w:val="18"/>
        </w:rPr>
        <w:t xml:space="preserve"> and the </w:t>
      </w:r>
      <w:r w:rsidR="00345084">
        <w:rPr>
          <w:rFonts w:cs="Arial"/>
          <w:szCs w:val="18"/>
        </w:rPr>
        <w:t>M</w:t>
      </w:r>
      <w:r w:rsidR="002A15CE">
        <w:rPr>
          <w:rFonts w:cs="Arial"/>
          <w:szCs w:val="18"/>
        </w:rPr>
        <w:t>inister responsible for LJF</w:t>
      </w:r>
      <w:r>
        <w:rPr>
          <w:rFonts w:cs="Arial"/>
          <w:szCs w:val="18"/>
        </w:rPr>
        <w:t>. T</w:t>
      </w:r>
      <w:r w:rsidRPr="00042ADB">
        <w:rPr>
          <w:rFonts w:cs="Arial"/>
          <w:szCs w:val="18"/>
        </w:rPr>
        <w:t>he ICN will also include the final local content and job outcomes in their LJF reporting.</w:t>
      </w:r>
    </w:p>
    <w:p w14:paraId="3CAC51DD" w14:textId="0C9197A3" w:rsidR="00AD7D99" w:rsidRDefault="00AD7D99" w:rsidP="00DD69E1">
      <w:pPr>
        <w:pStyle w:val="Heading3"/>
        <w:ind w:left="720"/>
      </w:pPr>
      <w:bookmarkStart w:id="721" w:name="_Toc104558204"/>
      <w:bookmarkStart w:id="722" w:name="_Toc110586062"/>
      <w:bookmarkStart w:id="723" w:name="_Toc110586518"/>
      <w:bookmarkStart w:id="724" w:name="_Toc110586972"/>
      <w:bookmarkStart w:id="725" w:name="_Toc110587408"/>
      <w:bookmarkStart w:id="726" w:name="_Toc110587850"/>
      <w:bookmarkStart w:id="727" w:name="_Toc110588823"/>
      <w:bookmarkStart w:id="728" w:name="_Toc110589260"/>
      <w:bookmarkStart w:id="729" w:name="_Toc110595297"/>
      <w:bookmarkStart w:id="730" w:name="_Toc110595702"/>
      <w:bookmarkStart w:id="731" w:name="_Toc104558205"/>
      <w:bookmarkStart w:id="732" w:name="_Toc110586063"/>
      <w:bookmarkStart w:id="733" w:name="_Toc110586519"/>
      <w:bookmarkStart w:id="734" w:name="_Toc110586973"/>
      <w:bookmarkStart w:id="735" w:name="_Toc110587409"/>
      <w:bookmarkStart w:id="736" w:name="_Toc110587851"/>
      <w:bookmarkStart w:id="737" w:name="_Toc110588824"/>
      <w:bookmarkStart w:id="738" w:name="_Toc110589261"/>
      <w:bookmarkStart w:id="739" w:name="_Toc110595298"/>
      <w:bookmarkStart w:id="740" w:name="_Toc110595703"/>
      <w:bookmarkStart w:id="741" w:name="_Toc104558206"/>
      <w:bookmarkStart w:id="742" w:name="_Toc110586064"/>
      <w:bookmarkStart w:id="743" w:name="_Toc110586520"/>
      <w:bookmarkStart w:id="744" w:name="_Toc110586974"/>
      <w:bookmarkStart w:id="745" w:name="_Toc110587410"/>
      <w:bookmarkStart w:id="746" w:name="_Toc110587852"/>
      <w:bookmarkStart w:id="747" w:name="_Toc110588825"/>
      <w:bookmarkStart w:id="748" w:name="_Toc110589262"/>
      <w:bookmarkStart w:id="749" w:name="_Toc110595299"/>
      <w:bookmarkStart w:id="750" w:name="_Toc110595704"/>
      <w:bookmarkStart w:id="751" w:name="_Toc104558207"/>
      <w:bookmarkStart w:id="752" w:name="_Toc110586065"/>
      <w:bookmarkStart w:id="753" w:name="_Toc110586521"/>
      <w:bookmarkStart w:id="754" w:name="_Toc110586975"/>
      <w:bookmarkStart w:id="755" w:name="_Toc110587411"/>
      <w:bookmarkStart w:id="756" w:name="_Toc110587853"/>
      <w:bookmarkStart w:id="757" w:name="_Toc110588826"/>
      <w:bookmarkStart w:id="758" w:name="_Toc110589263"/>
      <w:bookmarkStart w:id="759" w:name="_Toc110595300"/>
      <w:bookmarkStart w:id="760" w:name="_Toc110595705"/>
      <w:bookmarkStart w:id="761" w:name="_Toc104558208"/>
      <w:bookmarkStart w:id="762" w:name="_Toc110586066"/>
      <w:bookmarkStart w:id="763" w:name="_Toc110586522"/>
      <w:bookmarkStart w:id="764" w:name="_Toc110586976"/>
      <w:bookmarkStart w:id="765" w:name="_Toc110587412"/>
      <w:bookmarkStart w:id="766" w:name="_Toc110587854"/>
      <w:bookmarkStart w:id="767" w:name="_Toc110588827"/>
      <w:bookmarkStart w:id="768" w:name="_Toc110589264"/>
      <w:bookmarkStart w:id="769" w:name="_Toc110595301"/>
      <w:bookmarkStart w:id="770" w:name="_Toc110595706"/>
      <w:bookmarkStart w:id="771" w:name="_Toc104558209"/>
      <w:bookmarkStart w:id="772" w:name="_Toc110586067"/>
      <w:bookmarkStart w:id="773" w:name="_Toc110586523"/>
      <w:bookmarkStart w:id="774" w:name="_Toc110586977"/>
      <w:bookmarkStart w:id="775" w:name="_Toc110587413"/>
      <w:bookmarkStart w:id="776" w:name="_Toc110587855"/>
      <w:bookmarkStart w:id="777" w:name="_Toc110588828"/>
      <w:bookmarkStart w:id="778" w:name="_Toc110589265"/>
      <w:bookmarkStart w:id="779" w:name="_Toc110595302"/>
      <w:bookmarkStart w:id="780" w:name="_Toc110595707"/>
      <w:bookmarkStart w:id="781" w:name="_Toc104558210"/>
      <w:bookmarkStart w:id="782" w:name="_Toc110586068"/>
      <w:bookmarkStart w:id="783" w:name="_Toc110586524"/>
      <w:bookmarkStart w:id="784" w:name="_Toc110586978"/>
      <w:bookmarkStart w:id="785" w:name="_Toc110587414"/>
      <w:bookmarkStart w:id="786" w:name="_Toc110587856"/>
      <w:bookmarkStart w:id="787" w:name="_Toc110588829"/>
      <w:bookmarkStart w:id="788" w:name="_Toc110589266"/>
      <w:bookmarkStart w:id="789" w:name="_Toc110595303"/>
      <w:bookmarkStart w:id="790" w:name="_Toc110595708"/>
      <w:bookmarkStart w:id="791" w:name="_Toc104558211"/>
      <w:bookmarkStart w:id="792" w:name="_Toc110586069"/>
      <w:bookmarkStart w:id="793" w:name="_Toc110586525"/>
      <w:bookmarkStart w:id="794" w:name="_Toc110586979"/>
      <w:bookmarkStart w:id="795" w:name="_Toc110587415"/>
      <w:bookmarkStart w:id="796" w:name="_Toc110587857"/>
      <w:bookmarkStart w:id="797" w:name="_Toc110588830"/>
      <w:bookmarkStart w:id="798" w:name="_Toc110589267"/>
      <w:bookmarkStart w:id="799" w:name="_Toc110595304"/>
      <w:bookmarkStart w:id="800" w:name="_Toc110595709"/>
      <w:bookmarkStart w:id="801" w:name="_Toc104558212"/>
      <w:bookmarkStart w:id="802" w:name="_Toc110586070"/>
      <w:bookmarkStart w:id="803" w:name="_Toc110586526"/>
      <w:bookmarkStart w:id="804" w:name="_Toc110586980"/>
      <w:bookmarkStart w:id="805" w:name="_Toc110587416"/>
      <w:bookmarkStart w:id="806" w:name="_Toc110587858"/>
      <w:bookmarkStart w:id="807" w:name="_Toc110588831"/>
      <w:bookmarkStart w:id="808" w:name="_Toc110589268"/>
      <w:bookmarkStart w:id="809" w:name="_Toc110595305"/>
      <w:bookmarkStart w:id="810" w:name="_Toc110595710"/>
      <w:bookmarkStart w:id="811" w:name="_Toc103590638"/>
      <w:bookmarkStart w:id="812" w:name="_Toc104558213"/>
      <w:bookmarkStart w:id="813" w:name="_Toc110586071"/>
      <w:bookmarkStart w:id="814" w:name="_Toc110586527"/>
      <w:bookmarkStart w:id="815" w:name="_Toc110586981"/>
      <w:bookmarkStart w:id="816" w:name="_Toc110587417"/>
      <w:bookmarkStart w:id="817" w:name="_Toc110587859"/>
      <w:bookmarkStart w:id="818" w:name="_Toc110588832"/>
      <w:bookmarkStart w:id="819" w:name="_Toc110589269"/>
      <w:bookmarkStart w:id="820" w:name="_Toc110595306"/>
      <w:bookmarkStart w:id="821" w:name="_Toc110595711"/>
      <w:bookmarkStart w:id="822" w:name="_Additional_Guidance_for"/>
      <w:bookmarkStart w:id="823" w:name="_Toc104558214"/>
      <w:bookmarkStart w:id="824" w:name="_Toc110586072"/>
      <w:bookmarkStart w:id="825" w:name="_Toc110586528"/>
      <w:bookmarkStart w:id="826" w:name="_Toc110586982"/>
      <w:bookmarkStart w:id="827" w:name="_Toc110587418"/>
      <w:bookmarkStart w:id="828" w:name="_Toc110587860"/>
      <w:bookmarkStart w:id="829" w:name="_Toc110588833"/>
      <w:bookmarkStart w:id="830" w:name="_Toc110589270"/>
      <w:bookmarkStart w:id="831" w:name="_Toc110595307"/>
      <w:bookmarkStart w:id="832" w:name="_Toc110595712"/>
      <w:bookmarkStart w:id="833" w:name="_Toc104558215"/>
      <w:bookmarkStart w:id="834" w:name="_Toc110586073"/>
      <w:bookmarkStart w:id="835" w:name="_Toc110586529"/>
      <w:bookmarkStart w:id="836" w:name="_Toc110586983"/>
      <w:bookmarkStart w:id="837" w:name="_Toc110587419"/>
      <w:bookmarkStart w:id="838" w:name="_Toc110587861"/>
      <w:bookmarkStart w:id="839" w:name="_Toc110588834"/>
      <w:bookmarkStart w:id="840" w:name="_Toc110589271"/>
      <w:bookmarkStart w:id="841" w:name="_Toc110595308"/>
      <w:bookmarkStart w:id="842" w:name="_Toc110595713"/>
      <w:bookmarkStart w:id="843" w:name="_Toc104558216"/>
      <w:bookmarkStart w:id="844" w:name="_Toc110586074"/>
      <w:bookmarkStart w:id="845" w:name="_Toc110586530"/>
      <w:bookmarkStart w:id="846" w:name="_Toc110586984"/>
      <w:bookmarkStart w:id="847" w:name="_Toc110587420"/>
      <w:bookmarkStart w:id="848" w:name="_Toc110587862"/>
      <w:bookmarkStart w:id="849" w:name="_Toc110588835"/>
      <w:bookmarkStart w:id="850" w:name="_Toc110589272"/>
      <w:bookmarkStart w:id="851" w:name="_Toc110595309"/>
      <w:bookmarkStart w:id="852" w:name="_Toc110595714"/>
      <w:bookmarkStart w:id="853" w:name="_Toc104558217"/>
      <w:bookmarkStart w:id="854" w:name="_Toc110586075"/>
      <w:bookmarkStart w:id="855" w:name="_Toc110586531"/>
      <w:bookmarkStart w:id="856" w:name="_Toc110586985"/>
      <w:bookmarkStart w:id="857" w:name="_Toc110587421"/>
      <w:bookmarkStart w:id="858" w:name="_Toc110587863"/>
      <w:bookmarkStart w:id="859" w:name="_Toc110588836"/>
      <w:bookmarkStart w:id="860" w:name="_Toc110589273"/>
      <w:bookmarkStart w:id="861" w:name="_Toc110595310"/>
      <w:bookmarkStart w:id="862" w:name="_Toc110595715"/>
      <w:bookmarkStart w:id="863" w:name="_Toc104558218"/>
      <w:bookmarkStart w:id="864" w:name="_Toc110586076"/>
      <w:bookmarkStart w:id="865" w:name="_Toc110586532"/>
      <w:bookmarkStart w:id="866" w:name="_Toc110586986"/>
      <w:bookmarkStart w:id="867" w:name="_Toc110587422"/>
      <w:bookmarkStart w:id="868" w:name="_Toc110587864"/>
      <w:bookmarkStart w:id="869" w:name="_Toc110588837"/>
      <w:bookmarkStart w:id="870" w:name="_Toc110589274"/>
      <w:bookmarkStart w:id="871" w:name="_Toc110595311"/>
      <w:bookmarkStart w:id="872" w:name="_Toc110595716"/>
      <w:bookmarkStart w:id="873" w:name="_Toc104558219"/>
      <w:bookmarkStart w:id="874" w:name="_Toc110586077"/>
      <w:bookmarkStart w:id="875" w:name="_Toc110586533"/>
      <w:bookmarkStart w:id="876" w:name="_Toc110586987"/>
      <w:bookmarkStart w:id="877" w:name="_Toc110587423"/>
      <w:bookmarkStart w:id="878" w:name="_Toc110587865"/>
      <w:bookmarkStart w:id="879" w:name="_Toc110588838"/>
      <w:bookmarkStart w:id="880" w:name="_Toc110589275"/>
      <w:bookmarkStart w:id="881" w:name="_Toc110595312"/>
      <w:bookmarkStart w:id="882" w:name="_Toc110595717"/>
      <w:bookmarkStart w:id="883" w:name="_Toc104558220"/>
      <w:bookmarkStart w:id="884" w:name="_Toc110586078"/>
      <w:bookmarkStart w:id="885" w:name="_Toc110586534"/>
      <w:bookmarkStart w:id="886" w:name="_Toc110586988"/>
      <w:bookmarkStart w:id="887" w:name="_Toc110587424"/>
      <w:bookmarkStart w:id="888" w:name="_Toc110587866"/>
      <w:bookmarkStart w:id="889" w:name="_Toc110588839"/>
      <w:bookmarkStart w:id="890" w:name="_Toc110589276"/>
      <w:bookmarkStart w:id="891" w:name="_Toc110595313"/>
      <w:bookmarkStart w:id="892" w:name="_Toc110595718"/>
      <w:bookmarkStart w:id="893" w:name="_Toc104558221"/>
      <w:bookmarkStart w:id="894" w:name="_Toc110586079"/>
      <w:bookmarkStart w:id="895" w:name="_Toc110586535"/>
      <w:bookmarkStart w:id="896" w:name="_Toc110586989"/>
      <w:bookmarkStart w:id="897" w:name="_Toc110587425"/>
      <w:bookmarkStart w:id="898" w:name="_Toc110587867"/>
      <w:bookmarkStart w:id="899" w:name="_Toc110588840"/>
      <w:bookmarkStart w:id="900" w:name="_Toc110589277"/>
      <w:bookmarkStart w:id="901" w:name="_Toc110595314"/>
      <w:bookmarkStart w:id="902" w:name="_Toc110595719"/>
      <w:bookmarkStart w:id="903" w:name="_Toc104558222"/>
      <w:bookmarkStart w:id="904" w:name="_Toc110586080"/>
      <w:bookmarkStart w:id="905" w:name="_Toc110586536"/>
      <w:bookmarkStart w:id="906" w:name="_Toc110586990"/>
      <w:bookmarkStart w:id="907" w:name="_Toc110587426"/>
      <w:bookmarkStart w:id="908" w:name="_Toc110587868"/>
      <w:bookmarkStart w:id="909" w:name="_Toc110588841"/>
      <w:bookmarkStart w:id="910" w:name="_Toc110589278"/>
      <w:bookmarkStart w:id="911" w:name="_Toc110595315"/>
      <w:bookmarkStart w:id="912" w:name="_Toc110595720"/>
      <w:bookmarkStart w:id="913" w:name="_Toc104558223"/>
      <w:bookmarkStart w:id="914" w:name="_Toc110586081"/>
      <w:bookmarkStart w:id="915" w:name="_Toc110586537"/>
      <w:bookmarkStart w:id="916" w:name="_Toc110586991"/>
      <w:bookmarkStart w:id="917" w:name="_Toc110587427"/>
      <w:bookmarkStart w:id="918" w:name="_Toc110587869"/>
      <w:bookmarkStart w:id="919" w:name="_Toc110588842"/>
      <w:bookmarkStart w:id="920" w:name="_Toc110589279"/>
      <w:bookmarkStart w:id="921" w:name="_Toc110595316"/>
      <w:bookmarkStart w:id="922" w:name="_Toc110595721"/>
      <w:bookmarkStart w:id="923" w:name="_Toc104558224"/>
      <w:bookmarkStart w:id="924" w:name="_Toc110586082"/>
      <w:bookmarkStart w:id="925" w:name="_Toc110586538"/>
      <w:bookmarkStart w:id="926" w:name="_Toc110586992"/>
      <w:bookmarkStart w:id="927" w:name="_Toc110587428"/>
      <w:bookmarkStart w:id="928" w:name="_Toc110587870"/>
      <w:bookmarkStart w:id="929" w:name="_Toc110588843"/>
      <w:bookmarkStart w:id="930" w:name="_Toc110589280"/>
      <w:bookmarkStart w:id="931" w:name="_Toc110595317"/>
      <w:bookmarkStart w:id="932" w:name="_Toc110595722"/>
      <w:bookmarkStart w:id="933" w:name="_Toc104558225"/>
      <w:bookmarkStart w:id="934" w:name="_Toc110586083"/>
      <w:bookmarkStart w:id="935" w:name="_Toc110586539"/>
      <w:bookmarkStart w:id="936" w:name="_Toc110586993"/>
      <w:bookmarkStart w:id="937" w:name="_Toc110587429"/>
      <w:bookmarkStart w:id="938" w:name="_Toc110587871"/>
      <w:bookmarkStart w:id="939" w:name="_Toc110588844"/>
      <w:bookmarkStart w:id="940" w:name="_Toc110589281"/>
      <w:bookmarkStart w:id="941" w:name="_Toc110595318"/>
      <w:bookmarkStart w:id="942" w:name="_Toc110595723"/>
      <w:bookmarkStart w:id="943" w:name="_Toc104558226"/>
      <w:bookmarkStart w:id="944" w:name="_Toc110586084"/>
      <w:bookmarkStart w:id="945" w:name="_Toc110586540"/>
      <w:bookmarkStart w:id="946" w:name="_Toc110586994"/>
      <w:bookmarkStart w:id="947" w:name="_Toc110587430"/>
      <w:bookmarkStart w:id="948" w:name="_Toc110587872"/>
      <w:bookmarkStart w:id="949" w:name="_Toc110588845"/>
      <w:bookmarkStart w:id="950" w:name="_Toc110589282"/>
      <w:bookmarkStart w:id="951" w:name="_Toc110595319"/>
      <w:bookmarkStart w:id="952" w:name="_Toc110595724"/>
      <w:bookmarkStart w:id="953" w:name="_Toc104558227"/>
      <w:bookmarkStart w:id="954" w:name="_Toc110586085"/>
      <w:bookmarkStart w:id="955" w:name="_Toc110586541"/>
      <w:bookmarkStart w:id="956" w:name="_Toc110586995"/>
      <w:bookmarkStart w:id="957" w:name="_Toc110587431"/>
      <w:bookmarkStart w:id="958" w:name="_Toc110587873"/>
      <w:bookmarkStart w:id="959" w:name="_Toc110588846"/>
      <w:bookmarkStart w:id="960" w:name="_Toc110589283"/>
      <w:bookmarkStart w:id="961" w:name="_Toc110595320"/>
      <w:bookmarkStart w:id="962" w:name="_Toc110595725"/>
      <w:bookmarkStart w:id="963" w:name="_Toc104558228"/>
      <w:bookmarkStart w:id="964" w:name="_Toc110586086"/>
      <w:bookmarkStart w:id="965" w:name="_Toc110586542"/>
      <w:bookmarkStart w:id="966" w:name="_Toc110586996"/>
      <w:bookmarkStart w:id="967" w:name="_Toc110587432"/>
      <w:bookmarkStart w:id="968" w:name="_Toc110587874"/>
      <w:bookmarkStart w:id="969" w:name="_Toc110588847"/>
      <w:bookmarkStart w:id="970" w:name="_Toc110589284"/>
      <w:bookmarkStart w:id="971" w:name="_Toc110595321"/>
      <w:bookmarkStart w:id="972" w:name="_Toc110595726"/>
      <w:bookmarkStart w:id="973" w:name="_Additional_Guidance_for_1"/>
      <w:bookmarkStart w:id="974" w:name="_Toc110586543"/>
      <w:bookmarkStart w:id="975" w:name="_Hlk29910546"/>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r>
        <w:t>Compliance</w:t>
      </w:r>
    </w:p>
    <w:p w14:paraId="4DB48D39" w14:textId="09580F3D" w:rsidR="00AD7D99" w:rsidRPr="002224C9" w:rsidRDefault="00AD7D99" w:rsidP="00AD7D99">
      <w:pPr>
        <w:spacing w:before="0"/>
        <w:jc w:val="both"/>
        <w:rPr>
          <w:rFonts w:cs="Arial"/>
          <w:szCs w:val="18"/>
        </w:rPr>
      </w:pPr>
      <w:r w:rsidRPr="002224C9">
        <w:rPr>
          <w:rFonts w:cs="Arial"/>
          <w:szCs w:val="18"/>
        </w:rPr>
        <w:t xml:space="preserve">Where </w:t>
      </w:r>
      <w:r>
        <w:rPr>
          <w:rFonts w:cs="Arial"/>
          <w:szCs w:val="18"/>
        </w:rPr>
        <w:t xml:space="preserve">a contractor reports that LJF </w:t>
      </w:r>
      <w:r w:rsidRPr="002224C9">
        <w:rPr>
          <w:rFonts w:cs="Arial"/>
          <w:szCs w:val="18"/>
        </w:rPr>
        <w:t xml:space="preserve">outcomes do not meet the levels committed to in the contract, </w:t>
      </w:r>
      <w:r>
        <w:rPr>
          <w:rFonts w:cs="Arial"/>
          <w:szCs w:val="18"/>
        </w:rPr>
        <w:t>contractors must notify the agency</w:t>
      </w:r>
      <w:r w:rsidRPr="002224C9">
        <w:rPr>
          <w:rFonts w:cs="Arial"/>
          <w:szCs w:val="18"/>
        </w:rPr>
        <w:t xml:space="preserve"> whether there has been a valid reason for this (e.g. an unavoidable change of supplier or product that resulted in a drop of local content or employment).</w:t>
      </w:r>
      <w:r w:rsidR="003E6A4C">
        <w:rPr>
          <w:rFonts w:cs="Arial"/>
          <w:szCs w:val="18"/>
        </w:rPr>
        <w:t xml:space="preserve"> </w:t>
      </w:r>
      <w:r w:rsidR="003E6A4C" w:rsidRPr="00C53BF0">
        <w:rPr>
          <w:rFonts w:cs="Arial"/>
          <w:szCs w:val="18"/>
        </w:rPr>
        <w:t>For Strategic Projects, this should include consideration of</w:t>
      </w:r>
      <w:r w:rsidR="003E6A4C" w:rsidRPr="004C0BC9">
        <w:t xml:space="preserve"> </w:t>
      </w:r>
      <w:r w:rsidR="003E6A4C" w:rsidRPr="00C53BF0">
        <w:rPr>
          <w:rFonts w:cs="Arial"/>
          <w:szCs w:val="18"/>
        </w:rPr>
        <w:t xml:space="preserve">work undertaken to maximise local industry outcomes in relation to any </w:t>
      </w:r>
      <w:hyperlink w:anchor="_Changes_to_local" w:history="1">
        <w:r w:rsidR="003E6A4C" w:rsidRPr="00C53BF0">
          <w:rPr>
            <w:rStyle w:val="Hyperlink"/>
            <w:rFonts w:cs="Arial"/>
            <w:szCs w:val="18"/>
          </w:rPr>
          <w:t>changes to local sourcing</w:t>
        </w:r>
      </w:hyperlink>
      <w:r w:rsidR="003E6A4C" w:rsidRPr="00C53BF0">
        <w:rPr>
          <w:rFonts w:cs="Arial"/>
          <w:szCs w:val="18"/>
        </w:rPr>
        <w:t>, and that the required process was followed.</w:t>
      </w:r>
    </w:p>
    <w:p w14:paraId="486E620E" w14:textId="140F7C32" w:rsidR="00AD7D99" w:rsidRPr="0069768B" w:rsidRDefault="00AD7D99" w:rsidP="00042ADB">
      <w:pPr>
        <w:spacing w:before="0"/>
        <w:jc w:val="both"/>
      </w:pPr>
      <w:r>
        <w:rPr>
          <w:rFonts w:cs="Arial"/>
          <w:szCs w:val="18"/>
        </w:rPr>
        <w:t>In circumstances w</w:t>
      </w:r>
      <w:r w:rsidRPr="002224C9">
        <w:rPr>
          <w:rFonts w:cs="Arial"/>
          <w:szCs w:val="18"/>
        </w:rPr>
        <w:t xml:space="preserve">here no valid reason can be identified, the agency may determine that this represents a breach of contract that may trigger that agency’s </w:t>
      </w:r>
      <w:r w:rsidR="00F27DD4" w:rsidRPr="00DD69E1">
        <w:rPr>
          <w:rFonts w:cs="Arial"/>
          <w:szCs w:val="18"/>
        </w:rPr>
        <w:t>dispute</w:t>
      </w:r>
      <w:r w:rsidR="00F27DD4" w:rsidRPr="002224C9">
        <w:rPr>
          <w:rFonts w:cs="Arial"/>
          <w:szCs w:val="18"/>
        </w:rPr>
        <w:t xml:space="preserve"> </w:t>
      </w:r>
      <w:r w:rsidRPr="002224C9">
        <w:rPr>
          <w:rFonts w:cs="Arial"/>
          <w:szCs w:val="18"/>
        </w:rPr>
        <w:t>resolution process.</w:t>
      </w:r>
    </w:p>
    <w:p w14:paraId="571C74AA" w14:textId="348A17DF" w:rsidR="00873886" w:rsidRDefault="00B875EF" w:rsidP="00DD69E1">
      <w:pPr>
        <w:pStyle w:val="Heading1"/>
        <w:ind w:left="431" w:hanging="431"/>
        <w:jc w:val="both"/>
        <w:rPr>
          <w:lang w:val="en-US"/>
        </w:rPr>
      </w:pPr>
      <w:bookmarkStart w:id="976" w:name="_Additional_Guidance_for_2"/>
      <w:bookmarkStart w:id="977" w:name="_Toc207867999"/>
      <w:bookmarkEnd w:id="976"/>
      <w:r w:rsidRPr="00B875EF">
        <w:rPr>
          <w:lang w:val="en-US"/>
        </w:rPr>
        <w:t>Additional Guidance for Major Projects Skills Guarantee (MPSG) Projects</w:t>
      </w:r>
      <w:bookmarkEnd w:id="974"/>
      <w:bookmarkEnd w:id="977"/>
    </w:p>
    <w:p w14:paraId="1599846C" w14:textId="124D3B94" w:rsidR="00141026" w:rsidRDefault="00A149A8" w:rsidP="00DD69E1">
      <w:pPr>
        <w:autoSpaceDE w:val="0"/>
        <w:autoSpaceDN w:val="0"/>
        <w:adjustRightInd w:val="0"/>
        <w:spacing w:before="0" w:after="0"/>
        <w:jc w:val="both"/>
        <w:rPr>
          <w:rFonts w:cstheme="minorHAnsi"/>
          <w:szCs w:val="18"/>
          <w:lang w:val="en-US"/>
        </w:rPr>
      </w:pPr>
      <w:bookmarkStart w:id="978" w:name="_Toc104558230"/>
      <w:bookmarkStart w:id="979" w:name="_Toc110586088"/>
      <w:bookmarkStart w:id="980" w:name="_Toc110586544"/>
      <w:bookmarkStart w:id="981" w:name="_Toc110586998"/>
      <w:bookmarkStart w:id="982" w:name="_Toc110587434"/>
      <w:bookmarkStart w:id="983" w:name="_Toc110587876"/>
      <w:bookmarkStart w:id="984" w:name="_Toc110588849"/>
      <w:bookmarkStart w:id="985" w:name="_Toc110589286"/>
      <w:bookmarkStart w:id="986" w:name="_Toc104558231"/>
      <w:bookmarkStart w:id="987" w:name="_Toc110586089"/>
      <w:bookmarkStart w:id="988" w:name="_Toc110586545"/>
      <w:bookmarkStart w:id="989" w:name="_Toc110586999"/>
      <w:bookmarkStart w:id="990" w:name="_Toc110587435"/>
      <w:bookmarkStart w:id="991" w:name="_Toc110587877"/>
      <w:bookmarkStart w:id="992" w:name="_Toc110588850"/>
      <w:bookmarkStart w:id="993" w:name="_Toc110589287"/>
      <w:bookmarkStart w:id="994" w:name="_Toc104558232"/>
      <w:bookmarkStart w:id="995" w:name="_Toc110586090"/>
      <w:bookmarkStart w:id="996" w:name="_Toc110586546"/>
      <w:bookmarkStart w:id="997" w:name="_Toc110587000"/>
      <w:bookmarkStart w:id="998" w:name="_Toc110587436"/>
      <w:bookmarkStart w:id="999" w:name="_Toc110587878"/>
      <w:bookmarkStart w:id="1000" w:name="_Toc110588851"/>
      <w:bookmarkStart w:id="1001" w:name="_Toc110589288"/>
      <w:bookmarkStart w:id="1002" w:name="_Toc104558233"/>
      <w:bookmarkStart w:id="1003" w:name="_Toc110586091"/>
      <w:bookmarkStart w:id="1004" w:name="_Toc110586547"/>
      <w:bookmarkStart w:id="1005" w:name="_Toc110587001"/>
      <w:bookmarkStart w:id="1006" w:name="_Toc110587437"/>
      <w:bookmarkStart w:id="1007" w:name="_Toc110587879"/>
      <w:bookmarkStart w:id="1008" w:name="_Toc110588852"/>
      <w:bookmarkStart w:id="1009" w:name="_Toc110589289"/>
      <w:bookmarkStart w:id="1010" w:name="_Toc104558234"/>
      <w:bookmarkStart w:id="1011" w:name="_Toc110586092"/>
      <w:bookmarkStart w:id="1012" w:name="_Toc110586548"/>
      <w:bookmarkStart w:id="1013" w:name="_Toc110587002"/>
      <w:bookmarkStart w:id="1014" w:name="_Toc110587438"/>
      <w:bookmarkStart w:id="1015" w:name="_Toc110587880"/>
      <w:bookmarkStart w:id="1016" w:name="_Toc110588853"/>
      <w:bookmarkStart w:id="1017" w:name="_Toc110589290"/>
      <w:bookmarkStart w:id="1018" w:name="_Toc104558235"/>
      <w:bookmarkStart w:id="1019" w:name="_Toc110586093"/>
      <w:bookmarkStart w:id="1020" w:name="_Toc110586549"/>
      <w:bookmarkStart w:id="1021" w:name="_Toc110587003"/>
      <w:bookmarkStart w:id="1022" w:name="_Toc110587439"/>
      <w:bookmarkStart w:id="1023" w:name="_Toc110587881"/>
      <w:bookmarkStart w:id="1024" w:name="_Toc110588854"/>
      <w:bookmarkStart w:id="1025" w:name="_Toc110589291"/>
      <w:bookmarkStart w:id="1026" w:name="_Toc104558236"/>
      <w:bookmarkStart w:id="1027" w:name="_Toc110586094"/>
      <w:bookmarkStart w:id="1028" w:name="_Toc110586550"/>
      <w:bookmarkStart w:id="1029" w:name="_Toc110587004"/>
      <w:bookmarkStart w:id="1030" w:name="_Toc110587440"/>
      <w:bookmarkStart w:id="1031" w:name="_Toc110587882"/>
      <w:bookmarkStart w:id="1032" w:name="_Toc110588855"/>
      <w:bookmarkStart w:id="1033" w:name="_Toc110589292"/>
      <w:bookmarkStart w:id="1034" w:name="_Toc104558237"/>
      <w:bookmarkStart w:id="1035" w:name="_Toc110586095"/>
      <w:bookmarkStart w:id="1036" w:name="_Toc110586551"/>
      <w:bookmarkStart w:id="1037" w:name="_Toc110587005"/>
      <w:bookmarkStart w:id="1038" w:name="_Toc110587441"/>
      <w:bookmarkStart w:id="1039" w:name="_Toc110587883"/>
      <w:bookmarkStart w:id="1040" w:name="_Toc110588856"/>
      <w:bookmarkStart w:id="1041" w:name="_Toc110589293"/>
      <w:bookmarkStart w:id="1042" w:name="_Toc104558238"/>
      <w:bookmarkStart w:id="1043" w:name="_Toc110586096"/>
      <w:bookmarkStart w:id="1044" w:name="_Toc110586552"/>
      <w:bookmarkStart w:id="1045" w:name="_Toc110587006"/>
      <w:bookmarkStart w:id="1046" w:name="_Toc110587442"/>
      <w:bookmarkStart w:id="1047" w:name="_Toc110587884"/>
      <w:bookmarkStart w:id="1048" w:name="_Toc110588857"/>
      <w:bookmarkStart w:id="1049" w:name="_Toc110589294"/>
      <w:bookmarkStart w:id="1050" w:name="_Toc104558239"/>
      <w:bookmarkStart w:id="1051" w:name="_Toc110586097"/>
      <w:bookmarkStart w:id="1052" w:name="_Toc110586553"/>
      <w:bookmarkStart w:id="1053" w:name="_Toc110587007"/>
      <w:bookmarkStart w:id="1054" w:name="_Toc110587443"/>
      <w:bookmarkStart w:id="1055" w:name="_Toc110587885"/>
      <w:bookmarkStart w:id="1056" w:name="_Toc110588858"/>
      <w:bookmarkStart w:id="1057" w:name="_Toc110589295"/>
      <w:bookmarkStart w:id="1058" w:name="_Toc104558240"/>
      <w:bookmarkStart w:id="1059" w:name="_Toc110586098"/>
      <w:bookmarkStart w:id="1060" w:name="_Toc110586554"/>
      <w:bookmarkStart w:id="1061" w:name="_Toc110587008"/>
      <w:bookmarkStart w:id="1062" w:name="_Toc110587444"/>
      <w:bookmarkStart w:id="1063" w:name="_Toc110587886"/>
      <w:bookmarkStart w:id="1064" w:name="_Toc110588859"/>
      <w:bookmarkStart w:id="1065" w:name="_Toc110589296"/>
      <w:bookmarkStart w:id="1066" w:name="_Toc104558241"/>
      <w:bookmarkStart w:id="1067" w:name="_Toc110586099"/>
      <w:bookmarkStart w:id="1068" w:name="_Toc110586555"/>
      <w:bookmarkStart w:id="1069" w:name="_Toc110587009"/>
      <w:bookmarkStart w:id="1070" w:name="_Toc110587445"/>
      <w:bookmarkStart w:id="1071" w:name="_Toc110587887"/>
      <w:bookmarkStart w:id="1072" w:name="_Toc110588860"/>
      <w:bookmarkStart w:id="1073" w:name="_Toc110589297"/>
      <w:bookmarkStart w:id="1074" w:name="_Toc104558242"/>
      <w:bookmarkStart w:id="1075" w:name="_Toc110586100"/>
      <w:bookmarkStart w:id="1076" w:name="_Toc110586556"/>
      <w:bookmarkStart w:id="1077" w:name="_Toc110587010"/>
      <w:bookmarkStart w:id="1078" w:name="_Toc110587446"/>
      <w:bookmarkStart w:id="1079" w:name="_Toc110587888"/>
      <w:bookmarkStart w:id="1080" w:name="_Toc110588861"/>
      <w:bookmarkStart w:id="1081" w:name="_Toc110589298"/>
      <w:bookmarkStart w:id="1082" w:name="_Toc104558243"/>
      <w:bookmarkStart w:id="1083" w:name="_Toc110586101"/>
      <w:bookmarkStart w:id="1084" w:name="_Toc110586557"/>
      <w:bookmarkStart w:id="1085" w:name="_Toc110587011"/>
      <w:bookmarkStart w:id="1086" w:name="_Toc110587447"/>
      <w:bookmarkStart w:id="1087" w:name="_Toc110587889"/>
      <w:bookmarkStart w:id="1088" w:name="_Toc110588862"/>
      <w:bookmarkStart w:id="1089" w:name="_Toc110589299"/>
      <w:bookmarkStart w:id="1090" w:name="_Toc104558244"/>
      <w:bookmarkStart w:id="1091" w:name="_Toc110586102"/>
      <w:bookmarkStart w:id="1092" w:name="_Toc110586558"/>
      <w:bookmarkStart w:id="1093" w:name="_Toc110587012"/>
      <w:bookmarkStart w:id="1094" w:name="_Toc110587448"/>
      <w:bookmarkStart w:id="1095" w:name="_Toc110587890"/>
      <w:bookmarkStart w:id="1096" w:name="_Toc110588863"/>
      <w:bookmarkStart w:id="1097" w:name="_Toc110589300"/>
      <w:bookmarkStart w:id="1098" w:name="_Toc104558245"/>
      <w:bookmarkStart w:id="1099" w:name="_Toc110586103"/>
      <w:bookmarkStart w:id="1100" w:name="_Toc110586559"/>
      <w:bookmarkStart w:id="1101" w:name="_Toc110587013"/>
      <w:bookmarkStart w:id="1102" w:name="_Toc110587449"/>
      <w:bookmarkStart w:id="1103" w:name="_Toc110587891"/>
      <w:bookmarkStart w:id="1104" w:name="_Toc110588864"/>
      <w:bookmarkStart w:id="1105" w:name="_Toc110589301"/>
      <w:bookmarkStart w:id="1106" w:name="_Toc104558246"/>
      <w:bookmarkStart w:id="1107" w:name="_Toc110586104"/>
      <w:bookmarkStart w:id="1108" w:name="_Toc110586560"/>
      <w:bookmarkStart w:id="1109" w:name="_Toc110587014"/>
      <w:bookmarkStart w:id="1110" w:name="_Toc110587450"/>
      <w:bookmarkStart w:id="1111" w:name="_Toc110587892"/>
      <w:bookmarkStart w:id="1112" w:name="_Toc110588865"/>
      <w:bookmarkStart w:id="1113" w:name="_Toc110589302"/>
      <w:bookmarkStart w:id="1114" w:name="_Toc104558247"/>
      <w:bookmarkStart w:id="1115" w:name="_Toc110586105"/>
      <w:bookmarkStart w:id="1116" w:name="_Toc110586561"/>
      <w:bookmarkStart w:id="1117" w:name="_Toc110587015"/>
      <w:bookmarkStart w:id="1118" w:name="_Toc110587451"/>
      <w:bookmarkStart w:id="1119" w:name="_Toc110587893"/>
      <w:bookmarkStart w:id="1120" w:name="_Toc110588866"/>
      <w:bookmarkStart w:id="1121" w:name="_Toc110589303"/>
      <w:bookmarkStart w:id="1122" w:name="_Toc104558248"/>
      <w:bookmarkStart w:id="1123" w:name="_Toc110586106"/>
      <w:bookmarkStart w:id="1124" w:name="_Toc110586562"/>
      <w:bookmarkStart w:id="1125" w:name="_Toc110587016"/>
      <w:bookmarkStart w:id="1126" w:name="_Toc110587452"/>
      <w:bookmarkStart w:id="1127" w:name="_Toc110587894"/>
      <w:bookmarkStart w:id="1128" w:name="_Toc110588867"/>
      <w:bookmarkStart w:id="1129" w:name="_Toc110589304"/>
      <w:bookmarkStart w:id="1130" w:name="_Toc104558249"/>
      <w:bookmarkStart w:id="1131" w:name="_Toc110586107"/>
      <w:bookmarkStart w:id="1132" w:name="_Toc110586563"/>
      <w:bookmarkStart w:id="1133" w:name="_Toc110587017"/>
      <w:bookmarkStart w:id="1134" w:name="_Toc110587453"/>
      <w:bookmarkStart w:id="1135" w:name="_Toc110587895"/>
      <w:bookmarkStart w:id="1136" w:name="_Toc110588868"/>
      <w:bookmarkStart w:id="1137" w:name="_Toc110589305"/>
      <w:bookmarkStart w:id="1138" w:name="_Toc104558250"/>
      <w:bookmarkStart w:id="1139" w:name="_Toc110586108"/>
      <w:bookmarkStart w:id="1140" w:name="_Toc110586564"/>
      <w:bookmarkStart w:id="1141" w:name="_Toc110587018"/>
      <w:bookmarkStart w:id="1142" w:name="_Toc110587454"/>
      <w:bookmarkStart w:id="1143" w:name="_Toc110587896"/>
      <w:bookmarkStart w:id="1144" w:name="_Toc110588869"/>
      <w:bookmarkStart w:id="1145" w:name="_Toc110589306"/>
      <w:bookmarkStart w:id="1146" w:name="_Toc104558251"/>
      <w:bookmarkStart w:id="1147" w:name="_Toc110586109"/>
      <w:bookmarkStart w:id="1148" w:name="_Toc110586565"/>
      <w:bookmarkStart w:id="1149" w:name="_Toc110587019"/>
      <w:bookmarkStart w:id="1150" w:name="_Toc110587455"/>
      <w:bookmarkStart w:id="1151" w:name="_Toc110587897"/>
      <w:bookmarkStart w:id="1152" w:name="_Toc110588870"/>
      <w:bookmarkStart w:id="1153" w:name="_Toc110589307"/>
      <w:bookmarkStart w:id="1154" w:name="_Toc104558252"/>
      <w:bookmarkStart w:id="1155" w:name="_Toc110586110"/>
      <w:bookmarkStart w:id="1156" w:name="_Toc110586566"/>
      <w:bookmarkStart w:id="1157" w:name="_Toc110587020"/>
      <w:bookmarkStart w:id="1158" w:name="_Toc110587456"/>
      <w:bookmarkStart w:id="1159" w:name="_Toc110587898"/>
      <w:bookmarkStart w:id="1160" w:name="_Toc110588871"/>
      <w:bookmarkStart w:id="1161" w:name="_Toc110589308"/>
      <w:bookmarkStart w:id="1162" w:name="_Toc104558253"/>
      <w:bookmarkStart w:id="1163" w:name="_Toc110586111"/>
      <w:bookmarkStart w:id="1164" w:name="_Toc110586567"/>
      <w:bookmarkStart w:id="1165" w:name="_Toc110587021"/>
      <w:bookmarkStart w:id="1166" w:name="_Toc110587457"/>
      <w:bookmarkStart w:id="1167" w:name="_Toc110587899"/>
      <w:bookmarkStart w:id="1168" w:name="_Toc110588872"/>
      <w:bookmarkStart w:id="1169" w:name="_Toc110589309"/>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r w:rsidRPr="00AD2885">
        <w:rPr>
          <w:rFonts w:cstheme="minorHAnsi"/>
          <w:szCs w:val="18"/>
          <w:lang w:val="en-US"/>
        </w:rPr>
        <w:t>MPSG requirements apply to all Victorian Government construction projects valued at or above $20 million.</w:t>
      </w:r>
    </w:p>
    <w:p w14:paraId="449C9AB4" w14:textId="048BA56E" w:rsidR="00A149A8" w:rsidRPr="00042ADB" w:rsidRDefault="00A149A8" w:rsidP="00DD69E1">
      <w:pPr>
        <w:jc w:val="both"/>
      </w:pPr>
      <w:r w:rsidRPr="005273AF">
        <w:rPr>
          <w:rFonts w:cstheme="minorHAnsi"/>
          <w:szCs w:val="18"/>
          <w:lang w:val="en-US"/>
        </w:rPr>
        <w:t>The MPSG can apply to both Standard and Strategic Projects.</w:t>
      </w:r>
      <w:r>
        <w:rPr>
          <w:rFonts w:cstheme="minorHAnsi"/>
          <w:szCs w:val="18"/>
          <w:lang w:val="en-US"/>
        </w:rPr>
        <w:t xml:space="preserve"> This section provides additional guidance to help you apply MPSG to projects where applicable.</w:t>
      </w:r>
      <w:bookmarkStart w:id="1170" w:name="_Toc104558274"/>
      <w:bookmarkStart w:id="1171" w:name="_Toc110586132"/>
      <w:bookmarkStart w:id="1172" w:name="_Toc110586588"/>
      <w:bookmarkStart w:id="1173" w:name="_Toc110587042"/>
      <w:bookmarkStart w:id="1174" w:name="_Toc110587478"/>
      <w:bookmarkStart w:id="1175" w:name="_Toc110587920"/>
      <w:bookmarkStart w:id="1176" w:name="_Toc110588893"/>
      <w:bookmarkStart w:id="1177" w:name="_Toc110589330"/>
      <w:bookmarkEnd w:id="1170"/>
      <w:bookmarkEnd w:id="1171"/>
      <w:bookmarkEnd w:id="1172"/>
      <w:bookmarkEnd w:id="1173"/>
      <w:bookmarkEnd w:id="1174"/>
      <w:bookmarkEnd w:id="1175"/>
      <w:bookmarkEnd w:id="1176"/>
      <w:bookmarkEnd w:id="1177"/>
    </w:p>
    <w:p w14:paraId="315F9959" w14:textId="244FBD33" w:rsidR="00D6698E" w:rsidRPr="00042ADB" w:rsidRDefault="00A429DE" w:rsidP="00042ADB">
      <w:pPr>
        <w:pStyle w:val="Heading2"/>
        <w:spacing w:before="120"/>
        <w:ind w:left="578" w:hanging="578"/>
        <w:rPr>
          <w:sz w:val="24"/>
          <w:szCs w:val="24"/>
        </w:rPr>
      </w:pPr>
      <w:bookmarkStart w:id="1178" w:name="_Toc104558275"/>
      <w:bookmarkStart w:id="1179" w:name="_Toc110586133"/>
      <w:bookmarkStart w:id="1180" w:name="_Toc110586589"/>
      <w:bookmarkStart w:id="1181" w:name="_Toc110587043"/>
      <w:bookmarkStart w:id="1182" w:name="_Toc110587479"/>
      <w:bookmarkStart w:id="1183" w:name="_Toc110587921"/>
      <w:bookmarkStart w:id="1184" w:name="_Toc110588894"/>
      <w:bookmarkStart w:id="1185" w:name="_Toc110589331"/>
      <w:bookmarkStart w:id="1186" w:name="_Toc110595323"/>
      <w:bookmarkStart w:id="1187" w:name="_Toc110595728"/>
      <w:bookmarkStart w:id="1188" w:name="_Toc110600934"/>
      <w:bookmarkStart w:id="1189" w:name="_Toc110607401"/>
      <w:bookmarkStart w:id="1190" w:name="_Toc110613365"/>
      <w:bookmarkStart w:id="1191" w:name="_Toc112408940"/>
      <w:bookmarkStart w:id="1192" w:name="_Toc112409702"/>
      <w:bookmarkStart w:id="1193" w:name="_Toc114140630"/>
      <w:bookmarkStart w:id="1194" w:name="_Toc114145282"/>
      <w:bookmarkStart w:id="1195" w:name="_Toc114145616"/>
      <w:bookmarkStart w:id="1196" w:name="_Toc114145969"/>
      <w:bookmarkStart w:id="1197" w:name="_Toc104558276"/>
      <w:bookmarkStart w:id="1198" w:name="_Toc110586134"/>
      <w:bookmarkStart w:id="1199" w:name="_Toc110586590"/>
      <w:bookmarkStart w:id="1200" w:name="_Toc110587044"/>
      <w:bookmarkStart w:id="1201" w:name="_Toc110587480"/>
      <w:bookmarkStart w:id="1202" w:name="_Toc110587922"/>
      <w:bookmarkStart w:id="1203" w:name="_Toc110588895"/>
      <w:bookmarkStart w:id="1204" w:name="_Toc110589332"/>
      <w:bookmarkStart w:id="1205" w:name="_Toc110595324"/>
      <w:bookmarkStart w:id="1206" w:name="_Toc110595729"/>
      <w:bookmarkStart w:id="1207" w:name="_Toc110600935"/>
      <w:bookmarkStart w:id="1208" w:name="_Toc110607402"/>
      <w:bookmarkStart w:id="1209" w:name="_Toc110613366"/>
      <w:bookmarkStart w:id="1210" w:name="_Toc112408941"/>
      <w:bookmarkStart w:id="1211" w:name="_Toc112409703"/>
      <w:bookmarkStart w:id="1212" w:name="_Toc114140631"/>
      <w:bookmarkStart w:id="1213" w:name="_Toc114145283"/>
      <w:bookmarkStart w:id="1214" w:name="_Toc114145617"/>
      <w:bookmarkStart w:id="1215" w:name="_Toc114145970"/>
      <w:bookmarkStart w:id="1216" w:name="_Toc104558277"/>
      <w:bookmarkStart w:id="1217" w:name="_Toc110586135"/>
      <w:bookmarkStart w:id="1218" w:name="_Toc110586591"/>
      <w:bookmarkStart w:id="1219" w:name="_Toc110587045"/>
      <w:bookmarkStart w:id="1220" w:name="_Toc110587481"/>
      <w:bookmarkStart w:id="1221" w:name="_Toc110587923"/>
      <w:bookmarkStart w:id="1222" w:name="_Toc110588896"/>
      <w:bookmarkStart w:id="1223" w:name="_Toc110589333"/>
      <w:bookmarkStart w:id="1224" w:name="_Toc110595325"/>
      <w:bookmarkStart w:id="1225" w:name="_Toc110595730"/>
      <w:bookmarkStart w:id="1226" w:name="_Toc110600936"/>
      <w:bookmarkStart w:id="1227" w:name="_Toc110607403"/>
      <w:bookmarkStart w:id="1228" w:name="_Toc110613367"/>
      <w:bookmarkStart w:id="1229" w:name="_Toc112408942"/>
      <w:bookmarkStart w:id="1230" w:name="_Toc112409704"/>
      <w:bookmarkStart w:id="1231" w:name="_Toc114140632"/>
      <w:bookmarkStart w:id="1232" w:name="_Toc114145284"/>
      <w:bookmarkStart w:id="1233" w:name="_Toc114145618"/>
      <w:bookmarkStart w:id="1234" w:name="_Toc114145971"/>
      <w:bookmarkStart w:id="1235" w:name="_Toc104558278"/>
      <w:bookmarkStart w:id="1236" w:name="_Toc110586136"/>
      <w:bookmarkStart w:id="1237" w:name="_Toc110586592"/>
      <w:bookmarkStart w:id="1238" w:name="_Toc110587046"/>
      <w:bookmarkStart w:id="1239" w:name="_Toc110587482"/>
      <w:bookmarkStart w:id="1240" w:name="_Toc110587924"/>
      <w:bookmarkStart w:id="1241" w:name="_Toc110588897"/>
      <w:bookmarkStart w:id="1242" w:name="_Toc110589334"/>
      <w:bookmarkStart w:id="1243" w:name="_Toc110595326"/>
      <w:bookmarkStart w:id="1244" w:name="_Toc110595731"/>
      <w:bookmarkStart w:id="1245" w:name="_Toc110600937"/>
      <w:bookmarkStart w:id="1246" w:name="_Toc110607404"/>
      <w:bookmarkStart w:id="1247" w:name="_Toc110613368"/>
      <w:bookmarkStart w:id="1248" w:name="_Toc112408943"/>
      <w:bookmarkStart w:id="1249" w:name="_Toc112409705"/>
      <w:bookmarkStart w:id="1250" w:name="_Toc114140633"/>
      <w:bookmarkStart w:id="1251" w:name="_Toc114145285"/>
      <w:bookmarkStart w:id="1252" w:name="_Toc114145619"/>
      <w:bookmarkStart w:id="1253" w:name="_Toc114145972"/>
      <w:bookmarkStart w:id="1254" w:name="_Toc104558279"/>
      <w:bookmarkStart w:id="1255" w:name="_Toc110586137"/>
      <w:bookmarkStart w:id="1256" w:name="_Toc110586593"/>
      <w:bookmarkStart w:id="1257" w:name="_Toc110587047"/>
      <w:bookmarkStart w:id="1258" w:name="_Toc110587483"/>
      <w:bookmarkStart w:id="1259" w:name="_Toc110587925"/>
      <w:bookmarkStart w:id="1260" w:name="_Toc110588898"/>
      <w:bookmarkStart w:id="1261" w:name="_Toc110589335"/>
      <w:bookmarkStart w:id="1262" w:name="_Toc110595327"/>
      <w:bookmarkStart w:id="1263" w:name="_Toc110595732"/>
      <w:bookmarkStart w:id="1264" w:name="_Toc110600938"/>
      <w:bookmarkStart w:id="1265" w:name="_Toc110607405"/>
      <w:bookmarkStart w:id="1266" w:name="_Toc110613369"/>
      <w:bookmarkStart w:id="1267" w:name="_Toc112408944"/>
      <w:bookmarkStart w:id="1268" w:name="_Toc112409706"/>
      <w:bookmarkStart w:id="1269" w:name="_Toc114140634"/>
      <w:bookmarkStart w:id="1270" w:name="_Toc114145286"/>
      <w:bookmarkStart w:id="1271" w:name="_Toc114145620"/>
      <w:bookmarkStart w:id="1272" w:name="_Toc114145973"/>
      <w:bookmarkStart w:id="1273" w:name="_Toc104558280"/>
      <w:bookmarkStart w:id="1274" w:name="_Toc110586138"/>
      <w:bookmarkStart w:id="1275" w:name="_Toc110586594"/>
      <w:bookmarkStart w:id="1276" w:name="_Toc110587048"/>
      <w:bookmarkStart w:id="1277" w:name="_Toc110587484"/>
      <w:bookmarkStart w:id="1278" w:name="_Toc110587926"/>
      <w:bookmarkStart w:id="1279" w:name="_Toc110588899"/>
      <w:bookmarkStart w:id="1280" w:name="_Toc110589336"/>
      <w:bookmarkStart w:id="1281" w:name="_Toc110595328"/>
      <w:bookmarkStart w:id="1282" w:name="_Toc110595733"/>
      <w:bookmarkStart w:id="1283" w:name="_Toc110600939"/>
      <w:bookmarkStart w:id="1284" w:name="_Toc110607406"/>
      <w:bookmarkStart w:id="1285" w:name="_Toc110613370"/>
      <w:bookmarkStart w:id="1286" w:name="_Toc112408945"/>
      <w:bookmarkStart w:id="1287" w:name="_Toc112409707"/>
      <w:bookmarkStart w:id="1288" w:name="_Toc114140635"/>
      <w:bookmarkStart w:id="1289" w:name="_Toc114145287"/>
      <w:bookmarkStart w:id="1290" w:name="_Toc114145621"/>
      <w:bookmarkStart w:id="1291" w:name="_Toc114145974"/>
      <w:bookmarkStart w:id="1292" w:name="_Toc104558281"/>
      <w:bookmarkStart w:id="1293" w:name="_Toc110586139"/>
      <w:bookmarkStart w:id="1294" w:name="_Toc110586595"/>
      <w:bookmarkStart w:id="1295" w:name="_Toc110587049"/>
      <w:bookmarkStart w:id="1296" w:name="_Toc110587485"/>
      <w:bookmarkStart w:id="1297" w:name="_Toc110587927"/>
      <w:bookmarkStart w:id="1298" w:name="_Toc110588900"/>
      <w:bookmarkStart w:id="1299" w:name="_Toc110589337"/>
      <w:bookmarkStart w:id="1300" w:name="_Toc110595329"/>
      <w:bookmarkStart w:id="1301" w:name="_Toc110595734"/>
      <w:bookmarkStart w:id="1302" w:name="_Toc110600940"/>
      <w:bookmarkStart w:id="1303" w:name="_Toc110607407"/>
      <w:bookmarkStart w:id="1304" w:name="_Toc110613371"/>
      <w:bookmarkStart w:id="1305" w:name="_Toc112408946"/>
      <w:bookmarkStart w:id="1306" w:name="_Toc112409708"/>
      <w:bookmarkStart w:id="1307" w:name="_Toc114140636"/>
      <w:bookmarkStart w:id="1308" w:name="_Toc114145288"/>
      <w:bookmarkStart w:id="1309" w:name="_Toc114145622"/>
      <w:bookmarkStart w:id="1310" w:name="_Toc114145975"/>
      <w:bookmarkStart w:id="1311" w:name="_Toc104558282"/>
      <w:bookmarkStart w:id="1312" w:name="_Toc110586140"/>
      <w:bookmarkStart w:id="1313" w:name="_Toc110586596"/>
      <w:bookmarkStart w:id="1314" w:name="_Toc110587050"/>
      <w:bookmarkStart w:id="1315" w:name="_Toc110587486"/>
      <w:bookmarkStart w:id="1316" w:name="_Toc110587928"/>
      <w:bookmarkStart w:id="1317" w:name="_Toc110588901"/>
      <w:bookmarkStart w:id="1318" w:name="_Toc110589338"/>
      <w:bookmarkStart w:id="1319" w:name="_Toc110595330"/>
      <w:bookmarkStart w:id="1320" w:name="_Toc110595735"/>
      <w:bookmarkStart w:id="1321" w:name="_Toc110600941"/>
      <w:bookmarkStart w:id="1322" w:name="_Toc110607408"/>
      <w:bookmarkStart w:id="1323" w:name="_Toc110613372"/>
      <w:bookmarkStart w:id="1324" w:name="_Toc112408947"/>
      <w:bookmarkStart w:id="1325" w:name="_Toc112409709"/>
      <w:bookmarkStart w:id="1326" w:name="_Toc114140637"/>
      <w:bookmarkStart w:id="1327" w:name="_Toc114145289"/>
      <w:bookmarkStart w:id="1328" w:name="_Toc114145623"/>
      <w:bookmarkStart w:id="1329" w:name="_Toc114145976"/>
      <w:bookmarkStart w:id="1330" w:name="_Toc104558283"/>
      <w:bookmarkStart w:id="1331" w:name="_Toc110586141"/>
      <w:bookmarkStart w:id="1332" w:name="_Toc110586597"/>
      <w:bookmarkStart w:id="1333" w:name="_Toc110587051"/>
      <w:bookmarkStart w:id="1334" w:name="_Toc110587487"/>
      <w:bookmarkStart w:id="1335" w:name="_Toc110587929"/>
      <w:bookmarkStart w:id="1336" w:name="_Toc110588902"/>
      <w:bookmarkStart w:id="1337" w:name="_Toc110589339"/>
      <w:bookmarkStart w:id="1338" w:name="_Toc110595331"/>
      <w:bookmarkStart w:id="1339" w:name="_Toc110595736"/>
      <w:bookmarkStart w:id="1340" w:name="_Toc110600942"/>
      <w:bookmarkStart w:id="1341" w:name="_Toc110607409"/>
      <w:bookmarkStart w:id="1342" w:name="_Toc110613373"/>
      <w:bookmarkStart w:id="1343" w:name="_Toc112408948"/>
      <w:bookmarkStart w:id="1344" w:name="_Toc112409710"/>
      <w:bookmarkStart w:id="1345" w:name="_Toc114140638"/>
      <w:bookmarkStart w:id="1346" w:name="_Toc114145290"/>
      <w:bookmarkStart w:id="1347" w:name="_Toc114145624"/>
      <w:bookmarkStart w:id="1348" w:name="_Toc114145977"/>
      <w:bookmarkStart w:id="1349" w:name="_Toc104558284"/>
      <w:bookmarkStart w:id="1350" w:name="_Toc110586142"/>
      <w:bookmarkStart w:id="1351" w:name="_Toc110586598"/>
      <w:bookmarkStart w:id="1352" w:name="_Toc110587052"/>
      <w:bookmarkStart w:id="1353" w:name="_Toc110587488"/>
      <w:bookmarkStart w:id="1354" w:name="_Toc110587930"/>
      <w:bookmarkStart w:id="1355" w:name="_Toc110588903"/>
      <w:bookmarkStart w:id="1356" w:name="_Toc110589340"/>
      <w:bookmarkStart w:id="1357" w:name="_Toc110595332"/>
      <w:bookmarkStart w:id="1358" w:name="_Toc110595737"/>
      <w:bookmarkStart w:id="1359" w:name="_Toc110600943"/>
      <w:bookmarkStart w:id="1360" w:name="_Toc110607410"/>
      <w:bookmarkStart w:id="1361" w:name="_Toc110613374"/>
      <w:bookmarkStart w:id="1362" w:name="_Toc112408949"/>
      <w:bookmarkStart w:id="1363" w:name="_Toc112409711"/>
      <w:bookmarkStart w:id="1364" w:name="_Toc114140639"/>
      <w:bookmarkStart w:id="1365" w:name="_Toc114145291"/>
      <w:bookmarkStart w:id="1366" w:name="_Toc114145625"/>
      <w:bookmarkStart w:id="1367" w:name="_Toc114145978"/>
      <w:bookmarkStart w:id="1368" w:name="_Toc104558285"/>
      <w:bookmarkStart w:id="1369" w:name="_Toc110586143"/>
      <w:bookmarkStart w:id="1370" w:name="_Toc110586599"/>
      <w:bookmarkStart w:id="1371" w:name="_Toc110587053"/>
      <w:bookmarkStart w:id="1372" w:name="_Toc110587489"/>
      <w:bookmarkStart w:id="1373" w:name="_Toc110587931"/>
      <w:bookmarkStart w:id="1374" w:name="_Toc110588904"/>
      <w:bookmarkStart w:id="1375" w:name="_Toc110589341"/>
      <w:bookmarkStart w:id="1376" w:name="_Toc110595333"/>
      <w:bookmarkStart w:id="1377" w:name="_Toc110595738"/>
      <w:bookmarkStart w:id="1378" w:name="_Toc110600944"/>
      <w:bookmarkStart w:id="1379" w:name="_Toc110607411"/>
      <w:bookmarkStart w:id="1380" w:name="_Toc110613375"/>
      <w:bookmarkStart w:id="1381" w:name="_Toc112408950"/>
      <w:bookmarkStart w:id="1382" w:name="_Toc112409712"/>
      <w:bookmarkStart w:id="1383" w:name="_Toc114140640"/>
      <w:bookmarkStart w:id="1384" w:name="_Toc114145292"/>
      <w:bookmarkStart w:id="1385" w:name="_Toc114145626"/>
      <w:bookmarkStart w:id="1386" w:name="_Toc114145979"/>
      <w:bookmarkStart w:id="1387" w:name="_Calculating_MPSG_commitments"/>
      <w:bookmarkStart w:id="1388" w:name="_Toc110586600"/>
      <w:bookmarkStart w:id="1389" w:name="_Toc207868000"/>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r w:rsidRPr="00042ADB">
        <w:rPr>
          <w:sz w:val="24"/>
          <w:szCs w:val="24"/>
        </w:rPr>
        <w:t xml:space="preserve">Calculating MPSG </w:t>
      </w:r>
      <w:r w:rsidR="00E2047B" w:rsidRPr="00042ADB">
        <w:rPr>
          <w:sz w:val="24"/>
          <w:szCs w:val="24"/>
        </w:rPr>
        <w:t>c</w:t>
      </w:r>
      <w:r w:rsidRPr="00042ADB">
        <w:rPr>
          <w:sz w:val="24"/>
          <w:szCs w:val="24"/>
        </w:rPr>
        <w:t>ommitments</w:t>
      </w:r>
      <w:bookmarkEnd w:id="1388"/>
      <w:bookmarkEnd w:id="1389"/>
    </w:p>
    <w:p w14:paraId="294E2B0F" w14:textId="311C35B3" w:rsidR="002E72CA" w:rsidRDefault="003551DF" w:rsidP="00A236D1">
      <w:pPr>
        <w:jc w:val="both"/>
      </w:pPr>
      <w:r w:rsidRPr="00042ADB">
        <w:rPr>
          <w:rFonts w:cstheme="minorHAnsi"/>
          <w:szCs w:val="18"/>
          <w:lang w:val="en-US"/>
        </w:rPr>
        <w:t xml:space="preserve">For MPSG projects, commitments to use </w:t>
      </w:r>
      <w:r w:rsidR="009523BD">
        <w:rPr>
          <w:rFonts w:cstheme="minorHAnsi"/>
          <w:szCs w:val="18"/>
          <w:lang w:val="en-US"/>
        </w:rPr>
        <w:t xml:space="preserve">Victorian </w:t>
      </w:r>
      <w:r w:rsidR="00457D11">
        <w:rPr>
          <w:rFonts w:cstheme="minorHAnsi"/>
          <w:szCs w:val="18"/>
          <w:lang w:val="en-US"/>
        </w:rPr>
        <w:t>ATCs</w:t>
      </w:r>
      <w:r w:rsidRPr="00042ADB">
        <w:rPr>
          <w:rFonts w:cstheme="minorHAnsi"/>
          <w:szCs w:val="18"/>
          <w:lang w:val="en-US"/>
        </w:rPr>
        <w:t xml:space="preserve"> for a minimum of 10 </w:t>
      </w:r>
      <w:r w:rsidR="00F76D37">
        <w:rPr>
          <w:rFonts w:cstheme="minorHAnsi"/>
          <w:szCs w:val="18"/>
          <w:lang w:val="en-US"/>
        </w:rPr>
        <w:t>%</w:t>
      </w:r>
      <w:r w:rsidRPr="00042ADB">
        <w:rPr>
          <w:rFonts w:cstheme="minorHAnsi"/>
          <w:szCs w:val="18"/>
          <w:lang w:val="en-US"/>
        </w:rPr>
        <w:t xml:space="preserve"> of </w:t>
      </w:r>
      <w:r w:rsidR="00F87BB7">
        <w:rPr>
          <w:rFonts w:cstheme="minorHAnsi"/>
          <w:szCs w:val="18"/>
          <w:lang w:val="en-US"/>
        </w:rPr>
        <w:t xml:space="preserve">the total project </w:t>
      </w:r>
      <w:r w:rsidRPr="00042ADB">
        <w:rPr>
          <w:rFonts w:cstheme="minorHAnsi"/>
          <w:szCs w:val="18"/>
          <w:lang w:val="en-US"/>
        </w:rPr>
        <w:t xml:space="preserve">labour hours must be identified in the LIDP. </w:t>
      </w:r>
      <w:r w:rsidR="009F0C93">
        <w:t>You</w:t>
      </w:r>
      <w:r w:rsidR="009F0C93" w:rsidRPr="00441BE2">
        <w:t xml:space="preserve"> may voluntarily increase </w:t>
      </w:r>
      <w:r w:rsidR="009F0C93">
        <w:t>you</w:t>
      </w:r>
      <w:r w:rsidR="009F0C93" w:rsidRPr="00441BE2">
        <w:t xml:space="preserve">r MPSG commitment above the minimum </w:t>
      </w:r>
      <w:r w:rsidR="00E17DD9">
        <w:t xml:space="preserve">10 per cent </w:t>
      </w:r>
      <w:r w:rsidR="009F0C93" w:rsidRPr="00441BE2">
        <w:t>requirement.</w:t>
      </w:r>
    </w:p>
    <w:p w14:paraId="0DE428D5" w14:textId="4AAEBC9B" w:rsidR="00A429DE" w:rsidRPr="00A429DE" w:rsidRDefault="002E72CA" w:rsidP="00042ADB">
      <w:pPr>
        <w:jc w:val="both"/>
      </w:pPr>
      <w:r w:rsidRPr="0A6F718C">
        <w:rPr>
          <w:rFonts w:cstheme="minorBidi"/>
          <w:lang w:val="en-US"/>
        </w:rPr>
        <w:t>The minimum MPSG requirement is generated from a bidder’s VIPP employment commitments</w:t>
      </w:r>
      <w:r w:rsidR="005C4F42" w:rsidRPr="0A6F718C">
        <w:rPr>
          <w:rFonts w:cstheme="minorBidi"/>
          <w:lang w:val="en-US"/>
        </w:rPr>
        <w:t xml:space="preserve"> in the LIDP</w:t>
      </w:r>
      <w:r w:rsidRPr="0A6F718C">
        <w:rPr>
          <w:rFonts w:cstheme="minorBidi"/>
          <w:lang w:val="en-US"/>
        </w:rPr>
        <w:t xml:space="preserve">. </w:t>
      </w:r>
      <w:r w:rsidR="003828E3" w:rsidRPr="0A6F718C">
        <w:rPr>
          <w:rFonts w:cstheme="minorBidi"/>
          <w:lang w:val="en-US"/>
        </w:rPr>
        <w:t>B</w:t>
      </w:r>
      <w:r w:rsidRPr="0A6F718C">
        <w:rPr>
          <w:rFonts w:cstheme="minorBidi"/>
          <w:lang w:val="en-US"/>
        </w:rPr>
        <w:t xml:space="preserve">idders may </w:t>
      </w:r>
      <w:r w:rsidR="003828E3" w:rsidRPr="0A6F718C">
        <w:rPr>
          <w:rFonts w:cstheme="minorBidi"/>
          <w:lang w:val="en-US"/>
        </w:rPr>
        <w:t xml:space="preserve">choose to </w:t>
      </w:r>
      <w:r w:rsidRPr="0A6F718C">
        <w:rPr>
          <w:rFonts w:cstheme="minorBidi"/>
          <w:lang w:val="en-US"/>
        </w:rPr>
        <w:t>use the Deemed Hours Formula</w:t>
      </w:r>
      <w:r w:rsidR="00D23A52" w:rsidRPr="0A6F718C">
        <w:rPr>
          <w:rFonts w:cstheme="minorBidi"/>
          <w:lang w:val="en-US"/>
        </w:rPr>
        <w:t xml:space="preserve"> </w:t>
      </w:r>
      <w:r w:rsidRPr="0A6F718C">
        <w:rPr>
          <w:rFonts w:cstheme="minorBidi"/>
          <w:lang w:val="en-US"/>
        </w:rPr>
        <w:t>to estimate project labour hours for their VIPP employment commitment</w:t>
      </w:r>
      <w:r w:rsidR="003828E3" w:rsidRPr="0A6F718C">
        <w:rPr>
          <w:rFonts w:cstheme="minorBidi"/>
          <w:lang w:val="en-US"/>
        </w:rPr>
        <w:t>, but this is not required</w:t>
      </w:r>
      <w:r w:rsidRPr="0A6F718C">
        <w:rPr>
          <w:rFonts w:cstheme="minorBidi"/>
          <w:lang w:val="en-US"/>
        </w:rPr>
        <w:t>.</w:t>
      </w:r>
      <w:r w:rsidR="00736A1A" w:rsidRPr="0A6F718C">
        <w:rPr>
          <w:rFonts w:cstheme="minorBidi"/>
          <w:lang w:val="en-US"/>
        </w:rPr>
        <w:t xml:space="preserve"> Agencies will compare bidder e</w:t>
      </w:r>
      <w:r w:rsidR="00CD4693" w:rsidRPr="0A6F718C">
        <w:rPr>
          <w:rFonts w:cstheme="minorBidi"/>
          <w:lang w:val="en-US"/>
        </w:rPr>
        <w:t>mployment estimates and may seek further information or clarification if required.</w:t>
      </w:r>
      <w:r w:rsidRPr="0A6F718C">
        <w:rPr>
          <w:rFonts w:cstheme="minorBidi"/>
          <w:lang w:val="en-US"/>
        </w:rPr>
        <w:t xml:space="preserve"> See</w:t>
      </w:r>
      <w:r w:rsidR="003B2D61" w:rsidRPr="0A6F718C">
        <w:rPr>
          <w:rFonts w:cstheme="minorBidi"/>
          <w:lang w:val="en-US"/>
        </w:rPr>
        <w:t xml:space="preserve"> </w:t>
      </w:r>
      <w:hyperlink w:anchor="_Appendix_3:_Deemed_1">
        <w:r w:rsidR="003B2D61" w:rsidRPr="0A6F718C">
          <w:rPr>
            <w:rStyle w:val="Hyperlink"/>
            <w:rFonts w:cstheme="minorBidi"/>
            <w:lang w:val="en-US"/>
          </w:rPr>
          <w:t>Appendix 3: Deemed Hours Formula (updated)</w:t>
        </w:r>
      </w:hyperlink>
      <w:r w:rsidR="003B2D61" w:rsidRPr="0A6F718C">
        <w:rPr>
          <w:rFonts w:cstheme="minorBidi"/>
          <w:lang w:val="en-US"/>
        </w:rPr>
        <w:t xml:space="preserve"> </w:t>
      </w:r>
      <w:r w:rsidRPr="0A6F718C">
        <w:rPr>
          <w:rFonts w:cstheme="minorBidi"/>
          <w:lang w:val="en-US"/>
        </w:rPr>
        <w:t>for more information.</w:t>
      </w:r>
      <w:r w:rsidR="00125D71" w:rsidRPr="0A6F718C">
        <w:rPr>
          <w:rFonts w:ascii="Arial" w:hAnsi="Arial" w:cstheme="minorBidi"/>
          <w:lang w:val="en-US"/>
        </w:rPr>
        <w:t xml:space="preserve"> </w:t>
      </w:r>
      <w:r w:rsidR="003551DF" w:rsidRPr="0A6F718C">
        <w:rPr>
          <w:rFonts w:cstheme="minorBidi"/>
          <w:lang w:val="en-US"/>
        </w:rPr>
        <w:t>The agency will assess your MPSG commitments through a 5 per cent weighting</w:t>
      </w:r>
      <w:r w:rsidR="004A0503">
        <w:rPr>
          <w:rFonts w:cstheme="minorBidi"/>
          <w:lang w:val="en-US"/>
        </w:rPr>
        <w:t xml:space="preserve"> as</w:t>
      </w:r>
      <w:r w:rsidR="003551DF" w:rsidRPr="0A6F718C">
        <w:rPr>
          <w:rFonts w:cstheme="minorBidi"/>
          <w:lang w:val="en-US"/>
        </w:rPr>
        <w:t xml:space="preserve"> part of the overall 10 per cent weighting for job outcomes for </w:t>
      </w:r>
      <w:r w:rsidR="009A34CD" w:rsidRPr="0A6F718C">
        <w:rPr>
          <w:rFonts w:cstheme="minorBidi"/>
          <w:lang w:val="en-US"/>
        </w:rPr>
        <w:t>LJF</w:t>
      </w:r>
      <w:r w:rsidR="003551DF" w:rsidRPr="0A6F718C">
        <w:rPr>
          <w:rFonts w:cstheme="minorBidi"/>
          <w:lang w:val="en-US"/>
        </w:rPr>
        <w:t xml:space="preserve"> projects.</w:t>
      </w:r>
      <w:r w:rsidR="00F50907" w:rsidRPr="0A6F718C">
        <w:rPr>
          <w:rFonts w:cstheme="minorBidi"/>
          <w:lang w:val="en-US"/>
        </w:rPr>
        <w:t xml:space="preserve"> </w:t>
      </w:r>
      <w:r w:rsidR="0041237B" w:rsidRPr="0A6F718C">
        <w:rPr>
          <w:rFonts w:cstheme="minorBidi"/>
          <w:lang w:val="en-US"/>
        </w:rPr>
        <w:t xml:space="preserve">Refer to the </w:t>
      </w:r>
      <w:r w:rsidR="00097576" w:rsidRPr="00E85F5D">
        <w:rPr>
          <w:rFonts w:cstheme="minorBidi"/>
          <w:lang w:val="en-US"/>
        </w:rPr>
        <w:t xml:space="preserve">LJF </w:t>
      </w:r>
      <w:r w:rsidR="0041237B" w:rsidRPr="00E85F5D">
        <w:rPr>
          <w:rFonts w:cstheme="minorBidi"/>
          <w:lang w:val="en-US"/>
        </w:rPr>
        <w:t>Agency Guidelines</w:t>
      </w:r>
      <w:r w:rsidR="0041237B" w:rsidRPr="0A6F718C">
        <w:rPr>
          <w:rFonts w:cstheme="minorBidi"/>
          <w:lang w:val="en-US"/>
        </w:rPr>
        <w:t xml:space="preserve"> f</w:t>
      </w:r>
      <w:r w:rsidR="00F50907" w:rsidRPr="0A6F718C">
        <w:rPr>
          <w:rFonts w:cstheme="minorBidi"/>
          <w:lang w:val="en-US"/>
        </w:rPr>
        <w:t>or more information about how job commitments on MPSG projects are assessed.</w:t>
      </w:r>
    </w:p>
    <w:p w14:paraId="4D40097E" w14:textId="77E0973D" w:rsidR="0036009D" w:rsidRPr="00042ADB" w:rsidRDefault="0036009D" w:rsidP="00DD69E1">
      <w:pPr>
        <w:pStyle w:val="Heading2"/>
        <w:ind w:left="578" w:hanging="578"/>
        <w:rPr>
          <w:sz w:val="24"/>
          <w:szCs w:val="24"/>
        </w:rPr>
      </w:pPr>
      <w:bookmarkStart w:id="1390" w:name="_Toc110595335"/>
      <w:bookmarkStart w:id="1391" w:name="_Toc110595740"/>
      <w:bookmarkStart w:id="1392" w:name="_Toc110600946"/>
      <w:bookmarkStart w:id="1393" w:name="_Toc110607413"/>
      <w:bookmarkStart w:id="1394" w:name="_Toc110613377"/>
      <w:bookmarkStart w:id="1395" w:name="_Toc112408952"/>
      <w:bookmarkStart w:id="1396" w:name="_Toc112409714"/>
      <w:bookmarkStart w:id="1397" w:name="_Toc114140642"/>
      <w:bookmarkStart w:id="1398" w:name="_Toc114145294"/>
      <w:bookmarkStart w:id="1399" w:name="_Toc114145628"/>
      <w:bookmarkStart w:id="1400" w:name="_Toc114145981"/>
      <w:bookmarkStart w:id="1401" w:name="_Toc104558288"/>
      <w:bookmarkStart w:id="1402" w:name="_Toc110586146"/>
      <w:bookmarkStart w:id="1403" w:name="_Toc110595336"/>
      <w:bookmarkStart w:id="1404" w:name="_Toc110595741"/>
      <w:bookmarkStart w:id="1405" w:name="_Toc110600947"/>
      <w:bookmarkStart w:id="1406" w:name="_Toc110607414"/>
      <w:bookmarkStart w:id="1407" w:name="_Toc110613378"/>
      <w:bookmarkStart w:id="1408" w:name="_Toc112408953"/>
      <w:bookmarkStart w:id="1409" w:name="_Toc112409715"/>
      <w:bookmarkStart w:id="1410" w:name="_Toc114140643"/>
      <w:bookmarkStart w:id="1411" w:name="_Toc114145295"/>
      <w:bookmarkStart w:id="1412" w:name="_Toc114145629"/>
      <w:bookmarkStart w:id="1413" w:name="_Toc114145982"/>
      <w:bookmarkStart w:id="1414" w:name="_Toc104558289"/>
      <w:bookmarkStart w:id="1415" w:name="_Toc110586147"/>
      <w:bookmarkStart w:id="1416" w:name="_Toc110595337"/>
      <w:bookmarkStart w:id="1417" w:name="_Toc110595742"/>
      <w:bookmarkStart w:id="1418" w:name="_Toc110600948"/>
      <w:bookmarkStart w:id="1419" w:name="_Toc110607415"/>
      <w:bookmarkStart w:id="1420" w:name="_Toc110613379"/>
      <w:bookmarkStart w:id="1421" w:name="_Toc112408954"/>
      <w:bookmarkStart w:id="1422" w:name="_Toc112409716"/>
      <w:bookmarkStart w:id="1423" w:name="_Toc114140644"/>
      <w:bookmarkStart w:id="1424" w:name="_Toc114145296"/>
      <w:bookmarkStart w:id="1425" w:name="_Toc114145630"/>
      <w:bookmarkStart w:id="1426" w:name="_Toc114145983"/>
      <w:bookmarkStart w:id="1427" w:name="_Toc104558290"/>
      <w:bookmarkStart w:id="1428" w:name="_Toc110586148"/>
      <w:bookmarkStart w:id="1429" w:name="_Toc110595338"/>
      <w:bookmarkStart w:id="1430" w:name="_Toc110595743"/>
      <w:bookmarkStart w:id="1431" w:name="_Toc110600949"/>
      <w:bookmarkStart w:id="1432" w:name="_Toc110607416"/>
      <w:bookmarkStart w:id="1433" w:name="_Toc110613380"/>
      <w:bookmarkStart w:id="1434" w:name="_Toc112408955"/>
      <w:bookmarkStart w:id="1435" w:name="_Toc112409717"/>
      <w:bookmarkStart w:id="1436" w:name="_Toc114140645"/>
      <w:bookmarkStart w:id="1437" w:name="_Toc114145297"/>
      <w:bookmarkStart w:id="1438" w:name="_Toc114145631"/>
      <w:bookmarkStart w:id="1439" w:name="_Toc114145984"/>
      <w:bookmarkStart w:id="1440" w:name="_Toc104558291"/>
      <w:bookmarkStart w:id="1441" w:name="_Toc110586149"/>
      <w:bookmarkStart w:id="1442" w:name="_Toc110595339"/>
      <w:bookmarkStart w:id="1443" w:name="_Toc110595744"/>
      <w:bookmarkStart w:id="1444" w:name="_Toc110600950"/>
      <w:bookmarkStart w:id="1445" w:name="_Toc110607417"/>
      <w:bookmarkStart w:id="1446" w:name="_Toc110613381"/>
      <w:bookmarkStart w:id="1447" w:name="_Toc112408956"/>
      <w:bookmarkStart w:id="1448" w:name="_Toc112409718"/>
      <w:bookmarkStart w:id="1449" w:name="_Toc114140646"/>
      <w:bookmarkStart w:id="1450" w:name="_Toc114145298"/>
      <w:bookmarkStart w:id="1451" w:name="_Toc114145632"/>
      <w:bookmarkStart w:id="1452" w:name="_Toc114145985"/>
      <w:bookmarkStart w:id="1453" w:name="_Toc104558292"/>
      <w:bookmarkStart w:id="1454" w:name="_Toc110586150"/>
      <w:bookmarkStart w:id="1455" w:name="_Toc110595340"/>
      <w:bookmarkStart w:id="1456" w:name="_Toc110595745"/>
      <w:bookmarkStart w:id="1457" w:name="_Toc110600951"/>
      <w:bookmarkStart w:id="1458" w:name="_Toc110607418"/>
      <w:bookmarkStart w:id="1459" w:name="_Toc110613382"/>
      <w:bookmarkStart w:id="1460" w:name="_Toc112408957"/>
      <w:bookmarkStart w:id="1461" w:name="_Toc112409719"/>
      <w:bookmarkStart w:id="1462" w:name="_Toc114140647"/>
      <w:bookmarkStart w:id="1463" w:name="_Toc114145299"/>
      <w:bookmarkStart w:id="1464" w:name="_Toc114145633"/>
      <w:bookmarkStart w:id="1465" w:name="_Toc114145986"/>
      <w:bookmarkStart w:id="1466" w:name="_Toc104558293"/>
      <w:bookmarkStart w:id="1467" w:name="_Toc110586151"/>
      <w:bookmarkStart w:id="1468" w:name="_Toc110595341"/>
      <w:bookmarkStart w:id="1469" w:name="_Toc110595746"/>
      <w:bookmarkStart w:id="1470" w:name="_Toc110600952"/>
      <w:bookmarkStart w:id="1471" w:name="_Toc110607419"/>
      <w:bookmarkStart w:id="1472" w:name="_Toc110613383"/>
      <w:bookmarkStart w:id="1473" w:name="_Toc112408958"/>
      <w:bookmarkStart w:id="1474" w:name="_Toc112409720"/>
      <w:bookmarkStart w:id="1475" w:name="_Toc114140648"/>
      <w:bookmarkStart w:id="1476" w:name="_Toc114145300"/>
      <w:bookmarkStart w:id="1477" w:name="_Toc114145634"/>
      <w:bookmarkStart w:id="1478" w:name="_Toc114145987"/>
      <w:bookmarkStart w:id="1479" w:name="_Toc104558294"/>
      <w:bookmarkStart w:id="1480" w:name="_Toc110586152"/>
      <w:bookmarkStart w:id="1481" w:name="_Toc110595342"/>
      <w:bookmarkStart w:id="1482" w:name="_Toc110595747"/>
      <w:bookmarkStart w:id="1483" w:name="_Toc110600953"/>
      <w:bookmarkStart w:id="1484" w:name="_Toc110607420"/>
      <w:bookmarkStart w:id="1485" w:name="_Toc110613384"/>
      <w:bookmarkStart w:id="1486" w:name="_Toc112408959"/>
      <w:bookmarkStart w:id="1487" w:name="_Toc112409721"/>
      <w:bookmarkStart w:id="1488" w:name="_Toc114140649"/>
      <w:bookmarkStart w:id="1489" w:name="_Toc114145301"/>
      <w:bookmarkStart w:id="1490" w:name="_Toc114145635"/>
      <w:bookmarkStart w:id="1491" w:name="_Toc114145988"/>
      <w:bookmarkStart w:id="1492" w:name="_Toc104558295"/>
      <w:bookmarkStart w:id="1493" w:name="_Toc110586153"/>
      <w:bookmarkStart w:id="1494" w:name="_Toc110595343"/>
      <w:bookmarkStart w:id="1495" w:name="_Toc110595748"/>
      <w:bookmarkStart w:id="1496" w:name="_Toc110600954"/>
      <w:bookmarkStart w:id="1497" w:name="_Toc110607421"/>
      <w:bookmarkStart w:id="1498" w:name="_Toc110613385"/>
      <w:bookmarkStart w:id="1499" w:name="_Toc112408960"/>
      <w:bookmarkStart w:id="1500" w:name="_Toc112409722"/>
      <w:bookmarkStart w:id="1501" w:name="_Toc114140650"/>
      <w:bookmarkStart w:id="1502" w:name="_Toc114145302"/>
      <w:bookmarkStart w:id="1503" w:name="_Toc114145636"/>
      <w:bookmarkStart w:id="1504" w:name="_Toc114145989"/>
      <w:bookmarkStart w:id="1505" w:name="_Toc104558296"/>
      <w:bookmarkStart w:id="1506" w:name="_Toc110586154"/>
      <w:bookmarkStart w:id="1507" w:name="_Toc110595344"/>
      <w:bookmarkStart w:id="1508" w:name="_Toc110595749"/>
      <w:bookmarkStart w:id="1509" w:name="_Toc110600955"/>
      <w:bookmarkStart w:id="1510" w:name="_Toc110607422"/>
      <w:bookmarkStart w:id="1511" w:name="_Toc110613386"/>
      <w:bookmarkStart w:id="1512" w:name="_Toc112408961"/>
      <w:bookmarkStart w:id="1513" w:name="_Toc112409723"/>
      <w:bookmarkStart w:id="1514" w:name="_Toc114140651"/>
      <w:bookmarkStart w:id="1515" w:name="_Toc114145303"/>
      <w:bookmarkStart w:id="1516" w:name="_Toc114145637"/>
      <w:bookmarkStart w:id="1517" w:name="_Toc114145990"/>
      <w:bookmarkStart w:id="1518" w:name="_Toc104558297"/>
      <w:bookmarkStart w:id="1519" w:name="_Toc110586155"/>
      <w:bookmarkStart w:id="1520" w:name="_Toc110595345"/>
      <w:bookmarkStart w:id="1521" w:name="_Toc110595750"/>
      <w:bookmarkStart w:id="1522" w:name="_Toc110600956"/>
      <w:bookmarkStart w:id="1523" w:name="_Toc110607423"/>
      <w:bookmarkStart w:id="1524" w:name="_Toc110613387"/>
      <w:bookmarkStart w:id="1525" w:name="_Toc112408962"/>
      <w:bookmarkStart w:id="1526" w:name="_Toc112409724"/>
      <w:bookmarkStart w:id="1527" w:name="_Toc114140652"/>
      <w:bookmarkStart w:id="1528" w:name="_Toc114145304"/>
      <w:bookmarkStart w:id="1529" w:name="_Toc114145638"/>
      <w:bookmarkStart w:id="1530" w:name="_Toc114145991"/>
      <w:bookmarkStart w:id="1531" w:name="_Toc104558298"/>
      <w:bookmarkStart w:id="1532" w:name="_Toc110586156"/>
      <w:bookmarkStart w:id="1533" w:name="_Toc110595346"/>
      <w:bookmarkStart w:id="1534" w:name="_Toc110595751"/>
      <w:bookmarkStart w:id="1535" w:name="_Toc110600957"/>
      <w:bookmarkStart w:id="1536" w:name="_Toc110607424"/>
      <w:bookmarkStart w:id="1537" w:name="_Toc110613388"/>
      <w:bookmarkStart w:id="1538" w:name="_Toc112408963"/>
      <w:bookmarkStart w:id="1539" w:name="_Toc112409725"/>
      <w:bookmarkStart w:id="1540" w:name="_Toc114140653"/>
      <w:bookmarkStart w:id="1541" w:name="_Toc114145305"/>
      <w:bookmarkStart w:id="1542" w:name="_Toc114145639"/>
      <w:bookmarkStart w:id="1543" w:name="_Toc114145992"/>
      <w:bookmarkStart w:id="1544" w:name="_Toc104558299"/>
      <w:bookmarkStart w:id="1545" w:name="_Toc110586157"/>
      <w:bookmarkStart w:id="1546" w:name="_Toc110595347"/>
      <w:bookmarkStart w:id="1547" w:name="_Toc110595752"/>
      <w:bookmarkStart w:id="1548" w:name="_Toc110600958"/>
      <w:bookmarkStart w:id="1549" w:name="_Toc110607425"/>
      <w:bookmarkStart w:id="1550" w:name="_Toc110613389"/>
      <w:bookmarkStart w:id="1551" w:name="_Toc112408964"/>
      <w:bookmarkStart w:id="1552" w:name="_Toc112409726"/>
      <w:bookmarkStart w:id="1553" w:name="_Toc114140654"/>
      <w:bookmarkStart w:id="1554" w:name="_Toc114145306"/>
      <w:bookmarkStart w:id="1555" w:name="_Toc114145640"/>
      <w:bookmarkStart w:id="1556" w:name="_Toc114145993"/>
      <w:bookmarkStart w:id="1557" w:name="_Toc207868001"/>
      <w:bookmarkEnd w:id="975"/>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r w:rsidRPr="00042ADB">
        <w:rPr>
          <w:sz w:val="24"/>
          <w:szCs w:val="24"/>
        </w:rPr>
        <w:t>Eligible apprentices, trainees and cadets</w:t>
      </w:r>
      <w:r w:rsidR="00392971">
        <w:rPr>
          <w:sz w:val="24"/>
          <w:szCs w:val="24"/>
        </w:rPr>
        <w:t xml:space="preserve"> (ATCs)</w:t>
      </w:r>
      <w:bookmarkEnd w:id="1557"/>
    </w:p>
    <w:p w14:paraId="5542D458" w14:textId="37F35AE2" w:rsidR="00C7013D" w:rsidRPr="00441BE2" w:rsidRDefault="00C7013D" w:rsidP="00582541">
      <w:pPr>
        <w:jc w:val="both"/>
        <w:rPr>
          <w:rFonts w:cstheme="minorBidi"/>
          <w:lang w:val="en-US"/>
        </w:rPr>
      </w:pPr>
      <w:r w:rsidRPr="7B556D0A">
        <w:rPr>
          <w:rFonts w:cstheme="minorBidi"/>
          <w:lang w:val="en-US"/>
        </w:rPr>
        <w:t>MPSG is designed to provide on</w:t>
      </w:r>
      <w:r w:rsidRPr="7B556D0A">
        <w:rPr>
          <w:rFonts w:ascii="Times New Roman" w:hAnsi="Times New Roman"/>
          <w:lang w:val="en-US"/>
        </w:rPr>
        <w:t>‑</w:t>
      </w:r>
      <w:r w:rsidRPr="7B556D0A">
        <w:rPr>
          <w:rFonts w:cstheme="minorBidi"/>
          <w:lang w:val="en-US"/>
        </w:rPr>
        <w:t>the</w:t>
      </w:r>
      <w:r w:rsidRPr="7B556D0A">
        <w:rPr>
          <w:rFonts w:ascii="Times New Roman" w:hAnsi="Times New Roman"/>
          <w:lang w:val="en-US"/>
        </w:rPr>
        <w:t>‑</w:t>
      </w:r>
      <w:r w:rsidRPr="7B556D0A">
        <w:rPr>
          <w:rFonts w:cstheme="minorBidi"/>
          <w:lang w:val="en-US"/>
        </w:rPr>
        <w:t xml:space="preserve">job training opportunities for new entrants to the construction workforce. Detailed definitions for </w:t>
      </w:r>
      <w:r w:rsidR="00457D11" w:rsidRPr="7B556D0A">
        <w:rPr>
          <w:rFonts w:cstheme="minorBidi"/>
          <w:lang w:val="en-US"/>
        </w:rPr>
        <w:t>ATCs</w:t>
      </w:r>
      <w:r w:rsidRPr="7B556D0A">
        <w:rPr>
          <w:rFonts w:cstheme="minorBidi"/>
          <w:lang w:val="en-US"/>
        </w:rPr>
        <w:t xml:space="preserve"> that can be counted towards MPSG are</w:t>
      </w:r>
      <w:r w:rsidRPr="7B556D0A">
        <w:rPr>
          <w:rFonts w:cstheme="minorBidi"/>
        </w:rPr>
        <w:t xml:space="preserve"> provided </w:t>
      </w:r>
      <w:r w:rsidR="00D43F43" w:rsidRPr="7B556D0A">
        <w:rPr>
          <w:rFonts w:cstheme="minorBidi"/>
        </w:rPr>
        <w:t xml:space="preserve">at </w:t>
      </w:r>
      <w:hyperlink w:anchor="_Appendix_1:_Glossary">
        <w:r w:rsidR="00D43F43" w:rsidRPr="7B556D0A">
          <w:rPr>
            <w:rStyle w:val="Hyperlink"/>
            <w:rFonts w:cstheme="minorBidi"/>
          </w:rPr>
          <w:t>Appendix 1: Glossary</w:t>
        </w:r>
      </w:hyperlink>
      <w:r w:rsidRPr="7B556D0A">
        <w:rPr>
          <w:rFonts w:cstheme="minorBidi"/>
        </w:rPr>
        <w:t>.</w:t>
      </w:r>
      <w:r w:rsidRPr="7B556D0A">
        <w:rPr>
          <w:rFonts w:cstheme="minorBidi"/>
          <w:lang w:val="en-US"/>
        </w:rPr>
        <w:t xml:space="preserve"> Note that professional traineeships (experienced workers undertaking professional development training) cannot count towards MPSG. Further guidance on the applicability of </w:t>
      </w:r>
      <w:r w:rsidR="00457D11" w:rsidRPr="7B556D0A">
        <w:rPr>
          <w:rFonts w:cstheme="minorBidi"/>
          <w:lang w:val="en-US"/>
        </w:rPr>
        <w:t>ATCs</w:t>
      </w:r>
      <w:r w:rsidRPr="7B556D0A">
        <w:rPr>
          <w:rFonts w:cstheme="minorBidi"/>
          <w:lang w:val="en-US"/>
        </w:rPr>
        <w:t xml:space="preserve"> is available via the</w:t>
      </w:r>
      <w:r w:rsidR="004A22DF">
        <w:rPr>
          <w:rFonts w:cstheme="minorBidi"/>
          <w:lang w:val="en-US"/>
        </w:rPr>
        <w:t xml:space="preserve"> </w:t>
      </w:r>
      <w:hyperlink r:id="rId30">
        <w:r w:rsidR="00EF7D29">
          <w:rPr>
            <w:rStyle w:val="Hyperlink"/>
            <w:rFonts w:cstheme="minorBidi"/>
            <w:lang w:val="en-US"/>
          </w:rPr>
          <w:t>LJF website</w:t>
        </w:r>
      </w:hyperlink>
      <w:r w:rsidR="00EF7D29">
        <w:t>.</w:t>
      </w:r>
    </w:p>
    <w:p w14:paraId="7FD9173F" w14:textId="000E2FF9" w:rsidR="00C7013D" w:rsidRPr="00441BE2" w:rsidRDefault="00457D11" w:rsidP="00582541">
      <w:pPr>
        <w:jc w:val="both"/>
        <w:rPr>
          <w:rFonts w:cstheme="minorHAnsi"/>
          <w:szCs w:val="18"/>
          <w:lang w:val="en-US"/>
        </w:rPr>
      </w:pPr>
      <w:r>
        <w:rPr>
          <w:rFonts w:cstheme="minorHAnsi"/>
          <w:szCs w:val="18"/>
          <w:lang w:val="en-US"/>
        </w:rPr>
        <w:t>ATCs</w:t>
      </w:r>
      <w:r w:rsidR="00C7013D" w:rsidRPr="00441BE2">
        <w:rPr>
          <w:rFonts w:cstheme="minorHAnsi"/>
          <w:szCs w:val="18"/>
          <w:lang w:val="en-US"/>
        </w:rPr>
        <w:t xml:space="preserve"> may be directly employed by the principal contractor or subcontractors or indirectly employed through group training organisations (GTOs).</w:t>
      </w:r>
    </w:p>
    <w:p w14:paraId="1981B969" w14:textId="640CB99A" w:rsidR="00DD5D07" w:rsidRDefault="00C7013D" w:rsidP="00DD69E1">
      <w:pPr>
        <w:jc w:val="both"/>
        <w:rPr>
          <w:lang w:val="en-US"/>
        </w:rPr>
      </w:pPr>
      <w:r w:rsidRPr="00441BE2">
        <w:rPr>
          <w:rFonts w:cstheme="minorHAnsi"/>
          <w:szCs w:val="18"/>
          <w:lang w:val="en-US"/>
        </w:rPr>
        <w:t xml:space="preserve">Bidders are encouraged to use Victorian </w:t>
      </w:r>
      <w:r w:rsidR="002875BC">
        <w:rPr>
          <w:rFonts w:cstheme="minorHAnsi"/>
          <w:szCs w:val="18"/>
          <w:lang w:val="en-US"/>
        </w:rPr>
        <w:t>ATCs</w:t>
      </w:r>
      <w:r w:rsidRPr="00441BE2">
        <w:rPr>
          <w:rFonts w:cstheme="minorHAnsi"/>
          <w:szCs w:val="18"/>
          <w:lang w:val="en-US"/>
        </w:rPr>
        <w:t xml:space="preserve"> drawn from groups who are generally under-represented in industry vocational training such as women, and/or </w:t>
      </w:r>
      <w:r w:rsidR="00146EBC">
        <w:rPr>
          <w:rFonts w:cstheme="minorHAnsi"/>
          <w:szCs w:val="18"/>
          <w:lang w:val="en-US"/>
        </w:rPr>
        <w:t xml:space="preserve">those </w:t>
      </w:r>
      <w:r w:rsidRPr="00441BE2">
        <w:rPr>
          <w:rFonts w:cstheme="minorHAnsi"/>
          <w:szCs w:val="18"/>
          <w:lang w:val="en-US"/>
        </w:rPr>
        <w:t xml:space="preserve">who face barriers to vocational training or the workforce more generally, such as </w:t>
      </w:r>
      <w:r w:rsidR="009B093C">
        <w:rPr>
          <w:rFonts w:cstheme="minorHAnsi"/>
          <w:szCs w:val="18"/>
          <w:lang w:val="en-US"/>
        </w:rPr>
        <w:t>Aboriginal</w:t>
      </w:r>
      <w:r w:rsidRPr="00441BE2">
        <w:rPr>
          <w:rFonts w:cstheme="minorHAnsi"/>
          <w:szCs w:val="18"/>
          <w:lang w:val="en-US"/>
        </w:rPr>
        <w:t xml:space="preserve"> or older </w:t>
      </w:r>
      <w:r w:rsidR="00042948">
        <w:rPr>
          <w:rFonts w:cstheme="minorHAnsi"/>
          <w:szCs w:val="18"/>
          <w:lang w:val="en-US"/>
        </w:rPr>
        <w:t>ATCs</w:t>
      </w:r>
      <w:r w:rsidRPr="00441BE2">
        <w:rPr>
          <w:rFonts w:cstheme="minorHAnsi"/>
          <w:szCs w:val="18"/>
          <w:lang w:val="en-US"/>
        </w:rPr>
        <w:t xml:space="preserve"> or </w:t>
      </w:r>
      <w:r w:rsidR="00042948">
        <w:rPr>
          <w:rFonts w:cstheme="minorHAnsi"/>
          <w:szCs w:val="18"/>
          <w:lang w:val="en-US"/>
        </w:rPr>
        <w:t>people</w:t>
      </w:r>
      <w:r w:rsidRPr="00441BE2">
        <w:rPr>
          <w:rFonts w:cstheme="minorHAnsi"/>
          <w:szCs w:val="18"/>
          <w:lang w:val="en-US"/>
        </w:rPr>
        <w:t xml:space="preserve"> with disabilit</w:t>
      </w:r>
      <w:r w:rsidR="000516BA">
        <w:rPr>
          <w:rFonts w:cstheme="minorHAnsi"/>
          <w:szCs w:val="18"/>
          <w:lang w:val="en-US"/>
        </w:rPr>
        <w:t>ies</w:t>
      </w:r>
      <w:r w:rsidRPr="00441BE2">
        <w:rPr>
          <w:rFonts w:cstheme="minorHAnsi"/>
          <w:szCs w:val="18"/>
          <w:lang w:val="en-US"/>
        </w:rPr>
        <w:t xml:space="preserve">. </w:t>
      </w:r>
      <w:r w:rsidR="00BF2CC8">
        <w:rPr>
          <w:rFonts w:cstheme="minorHAnsi"/>
          <w:szCs w:val="18"/>
          <w:lang w:val="en-US"/>
        </w:rPr>
        <w:t>K</w:t>
      </w:r>
      <w:r w:rsidRPr="00441BE2">
        <w:rPr>
          <w:rFonts w:cstheme="minorHAnsi"/>
          <w:szCs w:val="18"/>
          <w:lang w:val="en-US"/>
        </w:rPr>
        <w:t>ey resource</w:t>
      </w:r>
      <w:r w:rsidR="00BF2CC8">
        <w:rPr>
          <w:rFonts w:cstheme="minorHAnsi"/>
          <w:szCs w:val="18"/>
          <w:lang w:val="en-US"/>
        </w:rPr>
        <w:t>s</w:t>
      </w:r>
      <w:r w:rsidRPr="00441BE2">
        <w:rPr>
          <w:rFonts w:cstheme="minorHAnsi"/>
          <w:szCs w:val="18"/>
          <w:lang w:val="en-US"/>
        </w:rPr>
        <w:t xml:space="preserve"> to </w:t>
      </w:r>
      <w:r w:rsidR="006A1C4B">
        <w:rPr>
          <w:rFonts w:cstheme="minorHAnsi"/>
          <w:szCs w:val="18"/>
          <w:lang w:val="en-US"/>
        </w:rPr>
        <w:t>help</w:t>
      </w:r>
      <w:r w:rsidR="003129F9">
        <w:rPr>
          <w:rFonts w:cstheme="minorHAnsi"/>
          <w:szCs w:val="18"/>
          <w:lang w:val="en-US"/>
        </w:rPr>
        <w:t xml:space="preserve"> </w:t>
      </w:r>
      <w:r w:rsidRPr="00441BE2">
        <w:rPr>
          <w:rFonts w:cstheme="minorHAnsi"/>
          <w:szCs w:val="18"/>
          <w:lang w:val="en-US"/>
        </w:rPr>
        <w:t xml:space="preserve">achieve this </w:t>
      </w:r>
      <w:r w:rsidR="00BF2CC8">
        <w:rPr>
          <w:rFonts w:cstheme="minorHAnsi"/>
          <w:szCs w:val="18"/>
          <w:lang w:val="en-US"/>
        </w:rPr>
        <w:t>may include</w:t>
      </w:r>
      <w:r w:rsidRPr="00441BE2">
        <w:rPr>
          <w:rFonts w:cstheme="minorHAnsi"/>
          <w:szCs w:val="18"/>
          <w:lang w:val="en-US"/>
        </w:rPr>
        <w:t xml:space="preserve"> state and federal employment programs</w:t>
      </w:r>
      <w:r w:rsidR="00BF2CC8">
        <w:rPr>
          <w:rFonts w:cstheme="minorHAnsi"/>
          <w:szCs w:val="18"/>
          <w:lang w:val="en-US"/>
        </w:rPr>
        <w:t xml:space="preserve"> and initiatives.</w:t>
      </w:r>
    </w:p>
    <w:p w14:paraId="24BF4241" w14:textId="167341EB" w:rsidR="0036009D" w:rsidRPr="0036009D" w:rsidRDefault="00047463" w:rsidP="00582541">
      <w:pPr>
        <w:jc w:val="both"/>
      </w:pPr>
      <w:r>
        <w:rPr>
          <w:rFonts w:cstheme="minorHAnsi"/>
          <w:szCs w:val="18"/>
          <w:lang w:val="en-US"/>
        </w:rPr>
        <w:t>A</w:t>
      </w:r>
      <w:r w:rsidRPr="002A0EF2">
        <w:rPr>
          <w:rFonts w:cstheme="minorHAnsi"/>
          <w:szCs w:val="18"/>
          <w:lang w:val="en-US"/>
        </w:rPr>
        <w:t>gencies</w:t>
      </w:r>
      <w:r>
        <w:rPr>
          <w:rFonts w:cstheme="minorHAnsi"/>
          <w:szCs w:val="18"/>
          <w:lang w:val="en-US"/>
        </w:rPr>
        <w:t xml:space="preserve"> may</w:t>
      </w:r>
      <w:r w:rsidRPr="002A0EF2">
        <w:rPr>
          <w:rFonts w:cstheme="minorHAnsi"/>
          <w:szCs w:val="18"/>
          <w:lang w:val="en-US"/>
        </w:rPr>
        <w:t xml:space="preserve"> leverage MPSG to deliver additional benefits such as social, economic, and training outcomes by specifying how </w:t>
      </w:r>
      <w:r w:rsidR="00457D11">
        <w:rPr>
          <w:rFonts w:cstheme="minorHAnsi"/>
          <w:szCs w:val="18"/>
          <w:lang w:val="en-US"/>
        </w:rPr>
        <w:t>ATC</w:t>
      </w:r>
      <w:r w:rsidRPr="002A0EF2">
        <w:rPr>
          <w:rFonts w:cstheme="minorHAnsi"/>
          <w:szCs w:val="18"/>
          <w:lang w:val="en-US"/>
        </w:rPr>
        <w:t xml:space="preserve"> roles are filled on a project basis.</w:t>
      </w:r>
      <w:r>
        <w:t xml:space="preserve"> </w:t>
      </w:r>
      <w:r w:rsidRPr="002A0EF2">
        <w:t xml:space="preserve">The LIDP does not require bidders to detail how ATC roles will be filled, however </w:t>
      </w:r>
      <w:r w:rsidRPr="002A0EF2">
        <w:rPr>
          <w:rFonts w:cstheme="minorHAnsi"/>
          <w:szCs w:val="18"/>
          <w:lang w:val="en-US"/>
        </w:rPr>
        <w:t>where applicable</w:t>
      </w:r>
      <w:r w:rsidRPr="002A0EF2">
        <w:t xml:space="preserve"> suppliers can choose to demonstrate delivery </w:t>
      </w:r>
      <w:r w:rsidRPr="002A0EF2">
        <w:rPr>
          <w:rFonts w:cstheme="minorHAnsi"/>
          <w:szCs w:val="18"/>
          <w:lang w:val="en-US"/>
        </w:rPr>
        <w:t>of additional benefits as part of the MPSG information their LIDP.</w:t>
      </w:r>
      <w:r w:rsidR="00E0338D">
        <w:rPr>
          <w:rFonts w:cstheme="minorHAnsi"/>
          <w:szCs w:val="18"/>
          <w:lang w:val="en-US"/>
        </w:rPr>
        <w:t xml:space="preserve"> Further information </w:t>
      </w:r>
      <w:r w:rsidR="0059682C">
        <w:rPr>
          <w:rFonts w:cstheme="minorHAnsi"/>
          <w:szCs w:val="18"/>
          <w:lang w:val="en-US"/>
        </w:rPr>
        <w:t xml:space="preserve">about </w:t>
      </w:r>
      <w:r w:rsidR="001C56D7">
        <w:rPr>
          <w:rFonts w:cstheme="minorHAnsi"/>
          <w:szCs w:val="18"/>
          <w:lang w:val="en-US"/>
        </w:rPr>
        <w:t>Victorian Government procurement policies</w:t>
      </w:r>
      <w:r w:rsidR="00612471">
        <w:rPr>
          <w:rFonts w:cstheme="minorHAnsi"/>
          <w:szCs w:val="18"/>
          <w:lang w:val="en-US"/>
        </w:rPr>
        <w:t xml:space="preserve"> </w:t>
      </w:r>
      <w:r w:rsidR="006F7B2A">
        <w:rPr>
          <w:rFonts w:cstheme="minorHAnsi"/>
          <w:szCs w:val="18"/>
          <w:lang w:val="en-US"/>
        </w:rPr>
        <w:t>such as the Social Procurement Framework and</w:t>
      </w:r>
      <w:r w:rsidR="00612471">
        <w:rPr>
          <w:rFonts w:cstheme="minorHAnsi"/>
          <w:szCs w:val="18"/>
          <w:lang w:val="en-US"/>
        </w:rPr>
        <w:t xml:space="preserve"> the Building Equality Policy</w:t>
      </w:r>
      <w:r w:rsidR="001C56D7">
        <w:rPr>
          <w:rFonts w:cstheme="minorHAnsi"/>
          <w:szCs w:val="18"/>
          <w:lang w:val="en-US"/>
        </w:rPr>
        <w:t xml:space="preserve"> can be found at </w:t>
      </w:r>
      <w:hyperlink r:id="rId31" w:history="1">
        <w:r w:rsidR="00E10600" w:rsidRPr="00E10600">
          <w:rPr>
            <w:rStyle w:val="Hyperlink"/>
            <w:rFonts w:cstheme="minorHAnsi"/>
            <w:szCs w:val="18"/>
            <w:lang w:val="en-US"/>
          </w:rPr>
          <w:t>https://www.buyingfor.vic.gov.au/</w:t>
        </w:r>
      </w:hyperlink>
      <w:r w:rsidR="00EF7D29">
        <w:t>.</w:t>
      </w:r>
    </w:p>
    <w:p w14:paraId="26229420" w14:textId="4339A9C4" w:rsidR="00BC5CA0" w:rsidRDefault="00BC5CA0" w:rsidP="00DD69E1">
      <w:pPr>
        <w:pStyle w:val="Heading2"/>
        <w:ind w:left="578" w:hanging="578"/>
        <w:rPr>
          <w:sz w:val="24"/>
          <w:szCs w:val="24"/>
        </w:rPr>
      </w:pPr>
      <w:bookmarkStart w:id="1558" w:name="_Toc207868002"/>
      <w:r w:rsidRPr="00042ADB">
        <w:rPr>
          <w:sz w:val="24"/>
          <w:szCs w:val="24"/>
        </w:rPr>
        <w:t>Eligible labour hours</w:t>
      </w:r>
      <w:bookmarkEnd w:id="1558"/>
    </w:p>
    <w:p w14:paraId="0F826A6A" w14:textId="573939B6" w:rsidR="008D792C" w:rsidRPr="00441BE2" w:rsidRDefault="008D792C" w:rsidP="008D792C">
      <w:pPr>
        <w:jc w:val="both"/>
        <w:rPr>
          <w:rFonts w:cstheme="minorHAnsi"/>
          <w:szCs w:val="18"/>
          <w:lang w:val="en-US"/>
        </w:rPr>
      </w:pPr>
      <w:r w:rsidRPr="00441BE2">
        <w:rPr>
          <w:rFonts w:cstheme="minorHAnsi"/>
          <w:szCs w:val="18"/>
          <w:lang w:val="en-US"/>
        </w:rPr>
        <w:t xml:space="preserve">The MPSG does not prescribe the breakdown of labour hour contributions from apprentices, trainees or cadets. They can be used in any combination of hours and across different contracts of a particular project. However, the Victorian </w:t>
      </w:r>
      <w:r w:rsidR="00DD7D2E">
        <w:rPr>
          <w:rFonts w:cstheme="minorHAnsi"/>
          <w:szCs w:val="18"/>
          <w:lang w:val="en-US"/>
        </w:rPr>
        <w:t>ATCs</w:t>
      </w:r>
      <w:r w:rsidRPr="00441BE2">
        <w:rPr>
          <w:rFonts w:cstheme="minorHAnsi"/>
          <w:szCs w:val="18"/>
          <w:lang w:val="en-US"/>
        </w:rPr>
        <w:t xml:space="preserve"> that are used must reflect the existing occupational profile of the sector workforce, and bidders are to avoid reliance on any one group to achieve compliance where this is outside the industry or sector norm.</w:t>
      </w:r>
    </w:p>
    <w:p w14:paraId="193926F9" w14:textId="658E37C2" w:rsidR="008D792C" w:rsidRPr="00441BE2" w:rsidRDefault="008D792C" w:rsidP="008D792C">
      <w:pPr>
        <w:jc w:val="both"/>
        <w:rPr>
          <w:rFonts w:cstheme="minorBidi"/>
        </w:rPr>
      </w:pPr>
      <w:r w:rsidRPr="1CB83294">
        <w:rPr>
          <w:rFonts w:cstheme="minorBidi"/>
        </w:rPr>
        <w:t>The contribution can include work hour contributions from either existing or new Victorian ATCs or combinations of these</w:t>
      </w:r>
      <w:r w:rsidR="00E812A9">
        <w:rPr>
          <w:rFonts w:cstheme="minorBidi"/>
        </w:rPr>
        <w:t>.</w:t>
      </w:r>
    </w:p>
    <w:p w14:paraId="4098D65B" w14:textId="1BFDF435" w:rsidR="008D792C" w:rsidRPr="00441BE2" w:rsidRDefault="008D792C" w:rsidP="008D792C">
      <w:pPr>
        <w:jc w:val="both"/>
        <w:rPr>
          <w:rFonts w:cstheme="minorHAnsi"/>
          <w:szCs w:val="18"/>
          <w:lang w:val="en-US"/>
        </w:rPr>
      </w:pPr>
      <w:r w:rsidRPr="00441BE2">
        <w:rPr>
          <w:rFonts w:cstheme="minorHAnsi"/>
          <w:szCs w:val="18"/>
          <w:lang w:val="en-US"/>
        </w:rPr>
        <w:t>Only the hours spent working on the appl</w:t>
      </w:r>
      <w:r>
        <w:rPr>
          <w:rFonts w:cstheme="minorHAnsi"/>
          <w:szCs w:val="18"/>
          <w:lang w:val="en-US"/>
        </w:rPr>
        <w:t>icable</w:t>
      </w:r>
      <w:r w:rsidRPr="00441BE2">
        <w:rPr>
          <w:rFonts w:cstheme="minorHAnsi"/>
          <w:szCs w:val="18"/>
          <w:lang w:val="en-US"/>
        </w:rPr>
        <w:t xml:space="preserve"> project can be counted towards the project’s </w:t>
      </w:r>
      <w:r w:rsidR="00D16E82">
        <w:rPr>
          <w:rFonts w:cstheme="minorHAnsi"/>
          <w:szCs w:val="18"/>
          <w:lang w:val="en-US"/>
        </w:rPr>
        <w:t xml:space="preserve">minimum </w:t>
      </w:r>
      <w:r w:rsidRPr="00441BE2">
        <w:rPr>
          <w:rFonts w:cstheme="minorHAnsi"/>
          <w:szCs w:val="18"/>
          <w:lang w:val="en-US"/>
        </w:rPr>
        <w:t>10 per cent</w:t>
      </w:r>
      <w:r w:rsidR="00D16E82">
        <w:rPr>
          <w:rFonts w:cstheme="minorHAnsi"/>
          <w:szCs w:val="18"/>
          <w:lang w:val="en-US"/>
        </w:rPr>
        <w:t xml:space="preserve"> MPSG</w:t>
      </w:r>
      <w:r w:rsidRPr="00441BE2">
        <w:rPr>
          <w:rFonts w:cstheme="minorHAnsi"/>
          <w:szCs w:val="18"/>
          <w:lang w:val="en-US"/>
        </w:rPr>
        <w:t xml:space="preserve"> requirement. For example, a full-time business administration trainee may work across a few projects, only spending an equivalent of two days per week working on the MPSG applicable project. In this example, only </w:t>
      </w:r>
      <w:r w:rsidR="00CD4939">
        <w:rPr>
          <w:rFonts w:cstheme="minorHAnsi"/>
          <w:szCs w:val="18"/>
          <w:lang w:val="en-US"/>
        </w:rPr>
        <w:t xml:space="preserve">15.2/38 </w:t>
      </w:r>
      <w:r w:rsidRPr="00441BE2">
        <w:rPr>
          <w:rFonts w:cstheme="minorHAnsi"/>
          <w:szCs w:val="18"/>
          <w:lang w:val="en-US"/>
        </w:rPr>
        <w:t>hours per week can be counted towards the requirement.</w:t>
      </w:r>
    </w:p>
    <w:p w14:paraId="426427DE" w14:textId="05B41DAB" w:rsidR="008D792C" w:rsidRDefault="008D792C" w:rsidP="008D792C">
      <w:pPr>
        <w:jc w:val="both"/>
        <w:rPr>
          <w:rFonts w:cstheme="minorHAnsi"/>
          <w:szCs w:val="18"/>
          <w:lang w:val="en-US"/>
        </w:rPr>
      </w:pPr>
      <w:r w:rsidRPr="00441BE2">
        <w:rPr>
          <w:rFonts w:cstheme="minorHAnsi"/>
          <w:szCs w:val="18"/>
          <w:lang w:val="en-US"/>
        </w:rPr>
        <w:t>Hours worked off site to deliver inputs to a project can be counted towards the</w:t>
      </w:r>
      <w:r w:rsidR="00D16E82">
        <w:rPr>
          <w:rFonts w:cstheme="minorHAnsi"/>
          <w:szCs w:val="18"/>
          <w:lang w:val="en-US"/>
        </w:rPr>
        <w:t xml:space="preserve"> minimum</w:t>
      </w:r>
      <w:r w:rsidRPr="00441BE2">
        <w:rPr>
          <w:rFonts w:cstheme="minorHAnsi"/>
          <w:szCs w:val="18"/>
          <w:lang w:val="en-US"/>
        </w:rPr>
        <w:t xml:space="preserve"> 10 per cent </w:t>
      </w:r>
      <w:r w:rsidR="00D16E82">
        <w:rPr>
          <w:rFonts w:cstheme="minorHAnsi"/>
          <w:szCs w:val="18"/>
          <w:lang w:val="en-US"/>
        </w:rPr>
        <w:t xml:space="preserve">MPSG </w:t>
      </w:r>
      <w:r w:rsidRPr="00441BE2">
        <w:rPr>
          <w:rFonts w:cstheme="minorHAnsi"/>
          <w:szCs w:val="18"/>
          <w:lang w:val="en-US"/>
        </w:rPr>
        <w:t xml:space="preserve">requirement, where </w:t>
      </w:r>
      <w:r w:rsidR="008B64FC">
        <w:rPr>
          <w:rFonts w:cstheme="minorHAnsi"/>
          <w:szCs w:val="18"/>
          <w:lang w:val="en-US"/>
        </w:rPr>
        <w:t>ATCs</w:t>
      </w:r>
      <w:r w:rsidRPr="00441BE2">
        <w:rPr>
          <w:rFonts w:cstheme="minorHAnsi"/>
          <w:szCs w:val="18"/>
          <w:lang w:val="en-US"/>
        </w:rPr>
        <w:t xml:space="preserve"> are employed by subcontractors under the principal contractor. For example, the hours worked by an engineering fabrication apprentice to manufacture prefabricated steel components for use on an MPSG-applicable project can be counted towards the MPSG hours for that project. Bidders should be encouraged to contact their off-site suppliers to understand their ATC use on the project.</w:t>
      </w:r>
    </w:p>
    <w:p w14:paraId="64E3C960" w14:textId="1A53F4CB" w:rsidR="005B43DA" w:rsidRDefault="00527D80" w:rsidP="005B43DA">
      <w:pPr>
        <w:jc w:val="both"/>
        <w:rPr>
          <w:rFonts w:cstheme="minorHAnsi"/>
          <w:szCs w:val="18"/>
          <w:lang w:val="en-US"/>
        </w:rPr>
      </w:pPr>
      <w:r w:rsidRPr="00527D80">
        <w:rPr>
          <w:rFonts w:cstheme="minorHAnsi"/>
          <w:szCs w:val="18"/>
          <w:lang w:val="en-US"/>
        </w:rPr>
        <w:t xml:space="preserve">Hours spent off site </w:t>
      </w:r>
      <w:r w:rsidR="00763028">
        <w:rPr>
          <w:rFonts w:cstheme="minorHAnsi"/>
          <w:szCs w:val="18"/>
          <w:lang w:val="en-US"/>
        </w:rPr>
        <w:t>on</w:t>
      </w:r>
      <w:r w:rsidRPr="00527D80">
        <w:rPr>
          <w:rFonts w:cstheme="minorHAnsi"/>
          <w:szCs w:val="18"/>
          <w:lang w:val="en-US"/>
        </w:rPr>
        <w:t xml:space="preserve"> training and education can be counted towards the</w:t>
      </w:r>
      <w:r w:rsidR="00D16E82">
        <w:rPr>
          <w:rFonts w:cstheme="minorHAnsi"/>
          <w:szCs w:val="18"/>
          <w:lang w:val="en-US"/>
        </w:rPr>
        <w:t xml:space="preserve"> minimum</w:t>
      </w:r>
      <w:r w:rsidRPr="00527D80">
        <w:rPr>
          <w:rFonts w:cstheme="minorHAnsi"/>
          <w:szCs w:val="18"/>
          <w:lang w:val="en-US"/>
        </w:rPr>
        <w:t xml:space="preserve"> 10 per cent </w:t>
      </w:r>
      <w:r w:rsidR="00475ADE">
        <w:rPr>
          <w:rFonts w:cstheme="minorHAnsi"/>
          <w:szCs w:val="18"/>
          <w:lang w:val="en-US"/>
        </w:rPr>
        <w:t xml:space="preserve">MPSG </w:t>
      </w:r>
      <w:r w:rsidRPr="00527D80">
        <w:rPr>
          <w:rFonts w:cstheme="minorHAnsi"/>
          <w:szCs w:val="18"/>
          <w:lang w:val="en-US"/>
        </w:rPr>
        <w:t>requirement. This allows the time apprentices, trainees and cadet</w:t>
      </w:r>
      <w:r w:rsidR="002F6AA9">
        <w:rPr>
          <w:rFonts w:cstheme="minorHAnsi"/>
          <w:szCs w:val="18"/>
          <w:lang w:val="en-US"/>
        </w:rPr>
        <w:t>s</w:t>
      </w:r>
      <w:r w:rsidRPr="00527D80">
        <w:rPr>
          <w:rFonts w:cstheme="minorHAnsi"/>
          <w:szCs w:val="18"/>
          <w:lang w:val="en-US"/>
        </w:rPr>
        <w:t xml:space="preserve"> spend away from the project at TAFE or university to still be counted. For example, a cadet working two days on the project with five contact hours at university, a total of </w:t>
      </w:r>
      <w:r w:rsidR="00D7314E">
        <w:rPr>
          <w:rFonts w:cstheme="minorHAnsi"/>
          <w:szCs w:val="18"/>
          <w:lang w:val="en-US"/>
        </w:rPr>
        <w:t>20.2/38</w:t>
      </w:r>
      <w:r w:rsidRPr="00527D80">
        <w:rPr>
          <w:rFonts w:cstheme="minorHAnsi"/>
          <w:szCs w:val="18"/>
          <w:lang w:val="en-US"/>
        </w:rPr>
        <w:t xml:space="preserve"> hours can be counted towards the hour requirement. However, if a cadet is on summer break from university and therefore not attending classes, no contact hours at university can be counted. Only training contact hours while concurrently working on the project can contribute towards MPSG.</w:t>
      </w:r>
    </w:p>
    <w:p w14:paraId="027E1C04" w14:textId="598D7E91" w:rsidR="007C0F5C" w:rsidRDefault="008D792C" w:rsidP="00DD69E1">
      <w:pPr>
        <w:pStyle w:val="Heading1"/>
        <w:ind w:left="431" w:hanging="431"/>
        <w:jc w:val="both"/>
      </w:pPr>
      <w:bookmarkStart w:id="1559" w:name="_Toc104558435"/>
      <w:bookmarkStart w:id="1560" w:name="_Toc110586293"/>
      <w:bookmarkStart w:id="1561" w:name="_Toc110586735"/>
      <w:bookmarkStart w:id="1562" w:name="_Toc110587189"/>
      <w:bookmarkStart w:id="1563" w:name="_Toc110587625"/>
      <w:bookmarkStart w:id="1564" w:name="_Toc110588067"/>
      <w:bookmarkStart w:id="1565" w:name="_Toc110589040"/>
      <w:bookmarkStart w:id="1566" w:name="_Toc110589477"/>
      <w:bookmarkStart w:id="1567" w:name="_Toc110595483"/>
      <w:bookmarkStart w:id="1568" w:name="_Toc110595888"/>
      <w:bookmarkStart w:id="1569" w:name="_Toc110601094"/>
      <w:bookmarkStart w:id="1570" w:name="_Toc110607561"/>
      <w:bookmarkStart w:id="1571" w:name="_Toc110613525"/>
      <w:bookmarkStart w:id="1572" w:name="_Toc112409100"/>
      <w:bookmarkStart w:id="1573" w:name="_Toc112409862"/>
      <w:bookmarkStart w:id="1574" w:name="_Toc114140790"/>
      <w:bookmarkStart w:id="1575" w:name="_Toc114145370"/>
      <w:bookmarkStart w:id="1576" w:name="_Toc114145704"/>
      <w:bookmarkStart w:id="1577" w:name="_Toc114145996"/>
      <w:bookmarkStart w:id="1578" w:name="_How_to_apply_4"/>
      <w:bookmarkStart w:id="1579" w:name="_Toc207868003"/>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r>
        <w:t>How to apply Local Jobs First to grants and loans</w:t>
      </w:r>
      <w:bookmarkEnd w:id="1579"/>
    </w:p>
    <w:p w14:paraId="04F74C4A" w14:textId="4967E31E" w:rsidR="008D792C" w:rsidRPr="00A20F88" w:rsidRDefault="008D792C" w:rsidP="00DD69E1">
      <w:pPr>
        <w:spacing w:before="0"/>
        <w:jc w:val="both"/>
      </w:pPr>
      <w:bookmarkStart w:id="1580" w:name="_Toc110586901"/>
      <w:bookmarkStart w:id="1581" w:name="_Toc528163217"/>
      <w:r w:rsidRPr="00944D8A">
        <w:rPr>
          <w:rFonts w:cstheme="minorHAnsi"/>
          <w:szCs w:val="18"/>
          <w:lang w:val="en-US"/>
        </w:rPr>
        <w:t>The application of LJF to grant or loan recipients ensures that local SMEs can access opportunities within the procurement</w:t>
      </w:r>
      <w:r w:rsidRPr="00A20F88">
        <w:t xml:space="preserve"> activity once it starts.</w:t>
      </w:r>
    </w:p>
    <w:p w14:paraId="1E367173" w14:textId="3180D43C" w:rsidR="008D792C" w:rsidRPr="00944D8A" w:rsidRDefault="008D792C" w:rsidP="00DD69E1">
      <w:pPr>
        <w:spacing w:before="0"/>
        <w:jc w:val="both"/>
        <w:rPr>
          <w:rFonts w:cstheme="minorHAnsi"/>
          <w:i/>
          <w:iCs/>
          <w:szCs w:val="18"/>
          <w:lang w:val="en-US"/>
        </w:rPr>
      </w:pPr>
      <w:r w:rsidRPr="00944D8A">
        <w:rPr>
          <w:rFonts w:cstheme="minorHAnsi"/>
          <w:szCs w:val="18"/>
          <w:lang w:val="en-US"/>
        </w:rPr>
        <w:t xml:space="preserve">The main difference in the LJF </w:t>
      </w:r>
      <w:r>
        <w:rPr>
          <w:rFonts w:cstheme="minorHAnsi"/>
          <w:szCs w:val="18"/>
          <w:lang w:val="en-US"/>
        </w:rPr>
        <w:t xml:space="preserve">grants and loans </w:t>
      </w:r>
      <w:r w:rsidRPr="00944D8A">
        <w:rPr>
          <w:rFonts w:cstheme="minorHAnsi"/>
          <w:szCs w:val="18"/>
          <w:lang w:val="en-US"/>
        </w:rPr>
        <w:t xml:space="preserve">process is the requirement to consult with the ICN to acquire an Interaction Reference Number (IRN), rather than register and develop an LIDP. </w:t>
      </w:r>
      <w:r w:rsidRPr="00944D8A">
        <w:rPr>
          <w:rFonts w:cstheme="minorHAnsi"/>
          <w:b/>
          <w:bCs/>
          <w:szCs w:val="18"/>
          <w:lang w:val="en-US"/>
        </w:rPr>
        <w:t>Payment of monies under the grant funding agreement is conditional on compliance with the consultation requirement.</w:t>
      </w:r>
    </w:p>
    <w:p w14:paraId="29AB15F5" w14:textId="16CF2C32" w:rsidR="008D792C" w:rsidRDefault="008D792C" w:rsidP="00DD69E1">
      <w:pPr>
        <w:spacing w:before="0"/>
        <w:jc w:val="both"/>
      </w:pPr>
      <w:r>
        <w:t>In the below steps, “grants” refers to both grants and loans provided by the State Government</w:t>
      </w:r>
      <w:r w:rsidRPr="00B64CE2">
        <w:t xml:space="preserve"> </w:t>
      </w:r>
      <w:r w:rsidRPr="00066435">
        <w:t>to any private, non-government or local government organisation that is a supplier, contractor, or grant or loan recipient</w:t>
      </w:r>
      <w:r w:rsidRPr="00CA4BDB">
        <w:t xml:space="preserve"> for a project that falls within the scope of </w:t>
      </w:r>
      <w:r w:rsidR="000C1696">
        <w:t>LJF</w:t>
      </w:r>
      <w:r w:rsidRPr="00066435">
        <w:t>.</w:t>
      </w:r>
    </w:p>
    <w:p w14:paraId="03277969" w14:textId="65CC0E6A" w:rsidR="008D792C" w:rsidRPr="0051705C" w:rsidRDefault="008D792C" w:rsidP="00DD69E1">
      <w:pPr>
        <w:spacing w:before="0"/>
        <w:jc w:val="both"/>
      </w:pPr>
      <w:r w:rsidRPr="00944D8A">
        <w:rPr>
          <w:rFonts w:cs="Arial"/>
        </w:rPr>
        <w:t>Note that grants and loans with a state contribution of $50 million or above may be</w:t>
      </w:r>
      <w:r w:rsidRPr="00A938AC">
        <w:rPr>
          <w:rFonts w:cs="Arial"/>
        </w:rPr>
        <w:t xml:space="preserve"> </w:t>
      </w:r>
      <w:r w:rsidRPr="00944D8A">
        <w:rPr>
          <w:rFonts w:cs="Arial"/>
        </w:rPr>
        <w:t>treated as a Strategic Project. The agency will notify you if Strategic Project requirements apply to your project.</w:t>
      </w:r>
    </w:p>
    <w:p w14:paraId="2C218AD4" w14:textId="325AE7D5" w:rsidR="008D792C" w:rsidRPr="00042ADB" w:rsidRDefault="008D792C" w:rsidP="00DD69E1">
      <w:pPr>
        <w:pStyle w:val="Heading2"/>
        <w:ind w:left="578" w:hanging="578"/>
        <w:jc w:val="both"/>
        <w:rPr>
          <w:sz w:val="24"/>
          <w:szCs w:val="24"/>
        </w:rPr>
      </w:pPr>
      <w:bookmarkStart w:id="1582" w:name="_Toc114140792"/>
      <w:bookmarkStart w:id="1583" w:name="_Toc114145372"/>
      <w:bookmarkStart w:id="1584" w:name="_Toc114145706"/>
      <w:bookmarkStart w:id="1585" w:name="_Toc114145998"/>
      <w:bookmarkStart w:id="1586" w:name="_Toc104558436"/>
      <w:bookmarkStart w:id="1587" w:name="_Toc110586294"/>
      <w:bookmarkStart w:id="1588" w:name="_Toc110586736"/>
      <w:bookmarkStart w:id="1589" w:name="_Toc110587190"/>
      <w:bookmarkStart w:id="1590" w:name="_Toc110587626"/>
      <w:bookmarkStart w:id="1591" w:name="_Toc110588068"/>
      <w:bookmarkStart w:id="1592" w:name="_Toc110589041"/>
      <w:bookmarkStart w:id="1593" w:name="_Toc110589478"/>
      <w:bookmarkStart w:id="1594" w:name="_Toc110595484"/>
      <w:bookmarkStart w:id="1595" w:name="_Toc110595889"/>
      <w:bookmarkStart w:id="1596" w:name="_Toc110601095"/>
      <w:bookmarkStart w:id="1597" w:name="_Toc110607562"/>
      <w:bookmarkStart w:id="1598" w:name="_Toc110613526"/>
      <w:bookmarkStart w:id="1599" w:name="_Toc112409101"/>
      <w:bookmarkStart w:id="1600" w:name="_Toc112409863"/>
      <w:bookmarkStart w:id="1601" w:name="_Toc114140793"/>
      <w:bookmarkStart w:id="1602" w:name="_Toc114145373"/>
      <w:bookmarkStart w:id="1603" w:name="_Toc114145707"/>
      <w:bookmarkStart w:id="1604" w:name="_Toc114145999"/>
      <w:bookmarkStart w:id="1605" w:name="_Toc104558437"/>
      <w:bookmarkStart w:id="1606" w:name="_Toc110586295"/>
      <w:bookmarkStart w:id="1607" w:name="_Toc110586737"/>
      <w:bookmarkStart w:id="1608" w:name="_Toc110587191"/>
      <w:bookmarkStart w:id="1609" w:name="_Toc110587627"/>
      <w:bookmarkStart w:id="1610" w:name="_Toc110588069"/>
      <w:bookmarkStart w:id="1611" w:name="_Toc110589042"/>
      <w:bookmarkStart w:id="1612" w:name="_Toc110589479"/>
      <w:bookmarkStart w:id="1613" w:name="_Toc110595485"/>
      <w:bookmarkStart w:id="1614" w:name="_Toc110595890"/>
      <w:bookmarkStart w:id="1615" w:name="_Toc110601096"/>
      <w:bookmarkStart w:id="1616" w:name="_Toc110607563"/>
      <w:bookmarkStart w:id="1617" w:name="_Toc110613527"/>
      <w:bookmarkStart w:id="1618" w:name="_Toc112409102"/>
      <w:bookmarkStart w:id="1619" w:name="_Toc112409864"/>
      <w:bookmarkStart w:id="1620" w:name="_Toc114140794"/>
      <w:bookmarkStart w:id="1621" w:name="_Toc114145374"/>
      <w:bookmarkStart w:id="1622" w:name="_Toc114145708"/>
      <w:bookmarkStart w:id="1623" w:name="_Toc114146000"/>
      <w:bookmarkStart w:id="1624" w:name="_Toc104558438"/>
      <w:bookmarkStart w:id="1625" w:name="_Toc110586296"/>
      <w:bookmarkStart w:id="1626" w:name="_Toc110586738"/>
      <w:bookmarkStart w:id="1627" w:name="_Toc110587192"/>
      <w:bookmarkStart w:id="1628" w:name="_Toc110587628"/>
      <w:bookmarkStart w:id="1629" w:name="_Toc110588070"/>
      <w:bookmarkStart w:id="1630" w:name="_Toc110589043"/>
      <w:bookmarkStart w:id="1631" w:name="_Toc110589480"/>
      <w:bookmarkStart w:id="1632" w:name="_Toc110595486"/>
      <w:bookmarkStart w:id="1633" w:name="_Toc110595891"/>
      <w:bookmarkStart w:id="1634" w:name="_Toc110601097"/>
      <w:bookmarkStart w:id="1635" w:name="_Toc110607564"/>
      <w:bookmarkStart w:id="1636" w:name="_Toc110613528"/>
      <w:bookmarkStart w:id="1637" w:name="_Toc112409103"/>
      <w:bookmarkStart w:id="1638" w:name="_Toc112409865"/>
      <w:bookmarkStart w:id="1639" w:name="_Toc114140795"/>
      <w:bookmarkStart w:id="1640" w:name="_Toc114145375"/>
      <w:bookmarkStart w:id="1641" w:name="_Toc114145709"/>
      <w:bookmarkStart w:id="1642" w:name="_Toc114146001"/>
      <w:bookmarkStart w:id="1643" w:name="_Toc104558439"/>
      <w:bookmarkStart w:id="1644" w:name="_Toc110586297"/>
      <w:bookmarkStart w:id="1645" w:name="_Toc110586739"/>
      <w:bookmarkStart w:id="1646" w:name="_Toc110587193"/>
      <w:bookmarkStart w:id="1647" w:name="_Toc110587629"/>
      <w:bookmarkStart w:id="1648" w:name="_Toc110588071"/>
      <w:bookmarkStart w:id="1649" w:name="_Toc110589044"/>
      <w:bookmarkStart w:id="1650" w:name="_Toc110589481"/>
      <w:bookmarkStart w:id="1651" w:name="_Toc110595487"/>
      <w:bookmarkStart w:id="1652" w:name="_Toc110595892"/>
      <w:bookmarkStart w:id="1653" w:name="_Toc110601098"/>
      <w:bookmarkStart w:id="1654" w:name="_Toc110607565"/>
      <w:bookmarkStart w:id="1655" w:name="_Toc110613529"/>
      <w:bookmarkStart w:id="1656" w:name="_Toc112409104"/>
      <w:bookmarkStart w:id="1657" w:name="_Toc112409866"/>
      <w:bookmarkStart w:id="1658" w:name="_Toc114140796"/>
      <w:bookmarkStart w:id="1659" w:name="_Toc114145376"/>
      <w:bookmarkStart w:id="1660" w:name="_Toc114145710"/>
      <w:bookmarkStart w:id="1661" w:name="_Toc114146002"/>
      <w:bookmarkStart w:id="1662" w:name="_Toc104558440"/>
      <w:bookmarkStart w:id="1663" w:name="_Toc110586298"/>
      <w:bookmarkStart w:id="1664" w:name="_Toc110586740"/>
      <w:bookmarkStart w:id="1665" w:name="_Toc110587194"/>
      <w:bookmarkStart w:id="1666" w:name="_Toc110587630"/>
      <w:bookmarkStart w:id="1667" w:name="_Toc110588072"/>
      <w:bookmarkStart w:id="1668" w:name="_Toc110589045"/>
      <w:bookmarkStart w:id="1669" w:name="_Toc110589482"/>
      <w:bookmarkStart w:id="1670" w:name="_Toc110595488"/>
      <w:bookmarkStart w:id="1671" w:name="_Toc110595893"/>
      <w:bookmarkStart w:id="1672" w:name="_Toc110601099"/>
      <w:bookmarkStart w:id="1673" w:name="_Toc110607566"/>
      <w:bookmarkStart w:id="1674" w:name="_Toc110613530"/>
      <w:bookmarkStart w:id="1675" w:name="_Toc112409105"/>
      <w:bookmarkStart w:id="1676" w:name="_Toc112409867"/>
      <w:bookmarkStart w:id="1677" w:name="_Toc114140797"/>
      <w:bookmarkStart w:id="1678" w:name="_Toc114145377"/>
      <w:bookmarkStart w:id="1679" w:name="_Toc114145711"/>
      <w:bookmarkStart w:id="1680" w:name="_Toc114146003"/>
      <w:bookmarkStart w:id="1681" w:name="_Toc104558441"/>
      <w:bookmarkStart w:id="1682" w:name="_Toc110586299"/>
      <w:bookmarkStart w:id="1683" w:name="_Toc110586741"/>
      <w:bookmarkStart w:id="1684" w:name="_Toc110587195"/>
      <w:bookmarkStart w:id="1685" w:name="_Toc110587631"/>
      <w:bookmarkStart w:id="1686" w:name="_Toc110588073"/>
      <w:bookmarkStart w:id="1687" w:name="_Toc110589046"/>
      <w:bookmarkStart w:id="1688" w:name="_Toc110589483"/>
      <w:bookmarkStart w:id="1689" w:name="_Toc110595489"/>
      <w:bookmarkStart w:id="1690" w:name="_Toc110595894"/>
      <w:bookmarkStart w:id="1691" w:name="_Toc110601100"/>
      <w:bookmarkStart w:id="1692" w:name="_Toc110607567"/>
      <w:bookmarkStart w:id="1693" w:name="_Toc110613531"/>
      <w:bookmarkStart w:id="1694" w:name="_Toc112409106"/>
      <w:bookmarkStart w:id="1695" w:name="_Toc112409868"/>
      <w:bookmarkStart w:id="1696" w:name="_Toc114140798"/>
      <w:bookmarkStart w:id="1697" w:name="_Toc114145378"/>
      <w:bookmarkStart w:id="1698" w:name="_Toc114145712"/>
      <w:bookmarkStart w:id="1699" w:name="_Toc114146004"/>
      <w:bookmarkStart w:id="1700" w:name="_Toc104558442"/>
      <w:bookmarkStart w:id="1701" w:name="_Toc110586300"/>
      <w:bookmarkStart w:id="1702" w:name="_Toc110586742"/>
      <w:bookmarkStart w:id="1703" w:name="_Toc110587196"/>
      <w:bookmarkStart w:id="1704" w:name="_Toc110587632"/>
      <w:bookmarkStart w:id="1705" w:name="_Toc110588074"/>
      <w:bookmarkStart w:id="1706" w:name="_Toc110589047"/>
      <w:bookmarkStart w:id="1707" w:name="_Toc110589484"/>
      <w:bookmarkStart w:id="1708" w:name="_Toc110595490"/>
      <w:bookmarkStart w:id="1709" w:name="_Toc110595895"/>
      <w:bookmarkStart w:id="1710" w:name="_Toc110601101"/>
      <w:bookmarkStart w:id="1711" w:name="_Toc110607568"/>
      <w:bookmarkStart w:id="1712" w:name="_Toc110613532"/>
      <w:bookmarkStart w:id="1713" w:name="_Toc112409107"/>
      <w:bookmarkStart w:id="1714" w:name="_Toc112409869"/>
      <w:bookmarkStart w:id="1715" w:name="_Toc114140799"/>
      <w:bookmarkStart w:id="1716" w:name="_Toc114145379"/>
      <w:bookmarkStart w:id="1717" w:name="_Toc114145713"/>
      <w:bookmarkStart w:id="1718" w:name="_Toc114146005"/>
      <w:bookmarkStart w:id="1719" w:name="_Toc104558443"/>
      <w:bookmarkStart w:id="1720" w:name="_Toc110586301"/>
      <w:bookmarkStart w:id="1721" w:name="_Toc110586743"/>
      <w:bookmarkStart w:id="1722" w:name="_Toc110587197"/>
      <w:bookmarkStart w:id="1723" w:name="_Toc110587633"/>
      <w:bookmarkStart w:id="1724" w:name="_Toc110588075"/>
      <w:bookmarkStart w:id="1725" w:name="_Toc110589048"/>
      <w:bookmarkStart w:id="1726" w:name="_Toc110589485"/>
      <w:bookmarkStart w:id="1727" w:name="_Toc110595491"/>
      <w:bookmarkStart w:id="1728" w:name="_Toc110595896"/>
      <w:bookmarkStart w:id="1729" w:name="_Toc110601102"/>
      <w:bookmarkStart w:id="1730" w:name="_Toc110607569"/>
      <w:bookmarkStart w:id="1731" w:name="_Toc110613533"/>
      <w:bookmarkStart w:id="1732" w:name="_Toc112409108"/>
      <w:bookmarkStart w:id="1733" w:name="_Toc112409870"/>
      <w:bookmarkStart w:id="1734" w:name="_Toc114140800"/>
      <w:bookmarkStart w:id="1735" w:name="_Toc114145380"/>
      <w:bookmarkStart w:id="1736" w:name="_Toc114145714"/>
      <w:bookmarkStart w:id="1737" w:name="_Toc114146006"/>
      <w:bookmarkStart w:id="1738" w:name="_Toc104558444"/>
      <w:bookmarkStart w:id="1739" w:name="_Toc110586302"/>
      <w:bookmarkStart w:id="1740" w:name="_Toc110586744"/>
      <w:bookmarkStart w:id="1741" w:name="_Toc110587198"/>
      <w:bookmarkStart w:id="1742" w:name="_Toc110587634"/>
      <w:bookmarkStart w:id="1743" w:name="_Toc110588076"/>
      <w:bookmarkStart w:id="1744" w:name="_Toc110589049"/>
      <w:bookmarkStart w:id="1745" w:name="_Toc110589486"/>
      <w:bookmarkStart w:id="1746" w:name="_Toc110595492"/>
      <w:bookmarkStart w:id="1747" w:name="_Toc110595897"/>
      <w:bookmarkStart w:id="1748" w:name="_Toc110601103"/>
      <w:bookmarkStart w:id="1749" w:name="_Toc110607570"/>
      <w:bookmarkStart w:id="1750" w:name="_Toc110613534"/>
      <w:bookmarkStart w:id="1751" w:name="_Toc112409109"/>
      <w:bookmarkStart w:id="1752" w:name="_Toc112409871"/>
      <w:bookmarkStart w:id="1753" w:name="_Toc114140801"/>
      <w:bookmarkStart w:id="1754" w:name="_Toc114145381"/>
      <w:bookmarkStart w:id="1755" w:name="_Toc114145715"/>
      <w:bookmarkStart w:id="1756" w:name="_Toc114146007"/>
      <w:bookmarkStart w:id="1757" w:name="_Toc104558445"/>
      <w:bookmarkStart w:id="1758" w:name="_Toc110586303"/>
      <w:bookmarkStart w:id="1759" w:name="_Toc110586745"/>
      <w:bookmarkStart w:id="1760" w:name="_Toc110587199"/>
      <w:bookmarkStart w:id="1761" w:name="_Toc110587635"/>
      <w:bookmarkStart w:id="1762" w:name="_Toc110588077"/>
      <w:bookmarkStart w:id="1763" w:name="_Toc110589050"/>
      <w:bookmarkStart w:id="1764" w:name="_Toc110589487"/>
      <w:bookmarkStart w:id="1765" w:name="_Toc110595493"/>
      <w:bookmarkStart w:id="1766" w:name="_Toc110595898"/>
      <w:bookmarkStart w:id="1767" w:name="_Toc110601104"/>
      <w:bookmarkStart w:id="1768" w:name="_Toc110607571"/>
      <w:bookmarkStart w:id="1769" w:name="_Toc110613535"/>
      <w:bookmarkStart w:id="1770" w:name="_Toc112409110"/>
      <w:bookmarkStart w:id="1771" w:name="_Toc112409872"/>
      <w:bookmarkStart w:id="1772" w:name="_Toc114140802"/>
      <w:bookmarkStart w:id="1773" w:name="_Toc114145382"/>
      <w:bookmarkStart w:id="1774" w:name="_Toc114145716"/>
      <w:bookmarkStart w:id="1775" w:name="_Toc114146008"/>
      <w:bookmarkStart w:id="1776" w:name="_Toc104558446"/>
      <w:bookmarkStart w:id="1777" w:name="_Toc110586304"/>
      <w:bookmarkStart w:id="1778" w:name="_Toc110586746"/>
      <w:bookmarkStart w:id="1779" w:name="_Toc110587200"/>
      <w:bookmarkStart w:id="1780" w:name="_Toc110587636"/>
      <w:bookmarkStart w:id="1781" w:name="_Toc110588078"/>
      <w:bookmarkStart w:id="1782" w:name="_Toc110589051"/>
      <w:bookmarkStart w:id="1783" w:name="_Toc110589488"/>
      <w:bookmarkStart w:id="1784" w:name="_Toc110595494"/>
      <w:bookmarkStart w:id="1785" w:name="_Toc110595899"/>
      <w:bookmarkStart w:id="1786" w:name="_Toc110601105"/>
      <w:bookmarkStart w:id="1787" w:name="_Toc110607572"/>
      <w:bookmarkStart w:id="1788" w:name="_Toc110613536"/>
      <w:bookmarkStart w:id="1789" w:name="_Toc112409111"/>
      <w:bookmarkStart w:id="1790" w:name="_Toc112409873"/>
      <w:bookmarkStart w:id="1791" w:name="_Toc114140803"/>
      <w:bookmarkStart w:id="1792" w:name="_Toc114145383"/>
      <w:bookmarkStart w:id="1793" w:name="_Toc114145717"/>
      <w:bookmarkStart w:id="1794" w:name="_Toc114146009"/>
      <w:bookmarkStart w:id="1795" w:name="_Toc104558447"/>
      <w:bookmarkStart w:id="1796" w:name="_Toc110586305"/>
      <w:bookmarkStart w:id="1797" w:name="_Toc110586747"/>
      <w:bookmarkStart w:id="1798" w:name="_Toc110587201"/>
      <w:bookmarkStart w:id="1799" w:name="_Toc110587637"/>
      <w:bookmarkStart w:id="1800" w:name="_Toc110588079"/>
      <w:bookmarkStart w:id="1801" w:name="_Toc110589052"/>
      <w:bookmarkStart w:id="1802" w:name="_Toc110589489"/>
      <w:bookmarkStart w:id="1803" w:name="_Toc110595495"/>
      <w:bookmarkStart w:id="1804" w:name="_Toc110595900"/>
      <w:bookmarkStart w:id="1805" w:name="_Toc110601106"/>
      <w:bookmarkStart w:id="1806" w:name="_Toc110607573"/>
      <w:bookmarkStart w:id="1807" w:name="_Toc110613537"/>
      <w:bookmarkStart w:id="1808" w:name="_Toc112409112"/>
      <w:bookmarkStart w:id="1809" w:name="_Toc112409874"/>
      <w:bookmarkStart w:id="1810" w:name="_Toc114140804"/>
      <w:bookmarkStart w:id="1811" w:name="_Toc114145384"/>
      <w:bookmarkStart w:id="1812" w:name="_Toc114145718"/>
      <w:bookmarkStart w:id="1813" w:name="_Toc114146010"/>
      <w:bookmarkStart w:id="1814" w:name="_Toc104558448"/>
      <w:bookmarkStart w:id="1815" w:name="_Toc110586306"/>
      <w:bookmarkStart w:id="1816" w:name="_Toc110586748"/>
      <w:bookmarkStart w:id="1817" w:name="_Toc110587202"/>
      <w:bookmarkStart w:id="1818" w:name="_Toc110587638"/>
      <w:bookmarkStart w:id="1819" w:name="_Toc110588080"/>
      <w:bookmarkStart w:id="1820" w:name="_Toc110589053"/>
      <w:bookmarkStart w:id="1821" w:name="_Toc110589490"/>
      <w:bookmarkStart w:id="1822" w:name="_Toc110595496"/>
      <w:bookmarkStart w:id="1823" w:name="_Toc110595901"/>
      <w:bookmarkStart w:id="1824" w:name="_Toc110601107"/>
      <w:bookmarkStart w:id="1825" w:name="_Toc110607574"/>
      <w:bookmarkStart w:id="1826" w:name="_Toc110613538"/>
      <w:bookmarkStart w:id="1827" w:name="_Toc112409113"/>
      <w:bookmarkStart w:id="1828" w:name="_Toc112409875"/>
      <w:bookmarkStart w:id="1829" w:name="_Toc114140805"/>
      <w:bookmarkStart w:id="1830" w:name="_Toc114145385"/>
      <w:bookmarkStart w:id="1831" w:name="_Toc114145719"/>
      <w:bookmarkStart w:id="1832" w:name="_Toc114146011"/>
      <w:bookmarkStart w:id="1833" w:name="_Toc104558449"/>
      <w:bookmarkStart w:id="1834" w:name="_Toc110586307"/>
      <w:bookmarkStart w:id="1835" w:name="_Toc110586749"/>
      <w:bookmarkStart w:id="1836" w:name="_Toc110587203"/>
      <w:bookmarkStart w:id="1837" w:name="_Toc110587639"/>
      <w:bookmarkStart w:id="1838" w:name="_Toc110588081"/>
      <w:bookmarkStart w:id="1839" w:name="_Toc110589054"/>
      <w:bookmarkStart w:id="1840" w:name="_Toc110589491"/>
      <w:bookmarkStart w:id="1841" w:name="_Toc110595497"/>
      <w:bookmarkStart w:id="1842" w:name="_Toc110595902"/>
      <w:bookmarkStart w:id="1843" w:name="_Toc110601108"/>
      <w:bookmarkStart w:id="1844" w:name="_Toc110607575"/>
      <w:bookmarkStart w:id="1845" w:name="_Toc110613539"/>
      <w:bookmarkStart w:id="1846" w:name="_Toc112409114"/>
      <w:bookmarkStart w:id="1847" w:name="_Toc112409876"/>
      <w:bookmarkStart w:id="1848" w:name="_Toc114140806"/>
      <w:bookmarkStart w:id="1849" w:name="_Toc114145386"/>
      <w:bookmarkStart w:id="1850" w:name="_Toc114145720"/>
      <w:bookmarkStart w:id="1851" w:name="_Toc114146012"/>
      <w:bookmarkStart w:id="1852" w:name="_Toc104558450"/>
      <w:bookmarkStart w:id="1853" w:name="_Toc110586308"/>
      <w:bookmarkStart w:id="1854" w:name="_Toc110586750"/>
      <w:bookmarkStart w:id="1855" w:name="_Toc110587204"/>
      <w:bookmarkStart w:id="1856" w:name="_Toc110587640"/>
      <w:bookmarkStart w:id="1857" w:name="_Toc110588082"/>
      <w:bookmarkStart w:id="1858" w:name="_Toc110589055"/>
      <w:bookmarkStart w:id="1859" w:name="_Toc110589492"/>
      <w:bookmarkStart w:id="1860" w:name="_Toc110595498"/>
      <w:bookmarkStart w:id="1861" w:name="_Toc110595903"/>
      <w:bookmarkStart w:id="1862" w:name="_Toc110601109"/>
      <w:bookmarkStart w:id="1863" w:name="_Toc110607576"/>
      <w:bookmarkStart w:id="1864" w:name="_Toc110613540"/>
      <w:bookmarkStart w:id="1865" w:name="_Toc112409115"/>
      <w:bookmarkStart w:id="1866" w:name="_Toc112409877"/>
      <w:bookmarkStart w:id="1867" w:name="_Toc114140807"/>
      <w:bookmarkStart w:id="1868" w:name="_Toc114145387"/>
      <w:bookmarkStart w:id="1869" w:name="_Toc114145721"/>
      <w:bookmarkStart w:id="1870" w:name="_Toc114146013"/>
      <w:bookmarkStart w:id="1871" w:name="_Toc104558451"/>
      <w:bookmarkStart w:id="1872" w:name="_Toc110586309"/>
      <w:bookmarkStart w:id="1873" w:name="_Toc110586751"/>
      <w:bookmarkStart w:id="1874" w:name="_Toc110587205"/>
      <w:bookmarkStart w:id="1875" w:name="_Toc110587641"/>
      <w:bookmarkStart w:id="1876" w:name="_Toc110588083"/>
      <w:bookmarkStart w:id="1877" w:name="_Toc110589056"/>
      <w:bookmarkStart w:id="1878" w:name="_Toc110589493"/>
      <w:bookmarkStart w:id="1879" w:name="_Toc110595499"/>
      <w:bookmarkStart w:id="1880" w:name="_Toc110595904"/>
      <w:bookmarkStart w:id="1881" w:name="_Toc110601110"/>
      <w:bookmarkStart w:id="1882" w:name="_Toc110607577"/>
      <w:bookmarkStart w:id="1883" w:name="_Toc110613541"/>
      <w:bookmarkStart w:id="1884" w:name="_Toc112409116"/>
      <w:bookmarkStart w:id="1885" w:name="_Toc112409878"/>
      <w:bookmarkStart w:id="1886" w:name="_Toc114140808"/>
      <w:bookmarkStart w:id="1887" w:name="_Toc114145388"/>
      <w:bookmarkStart w:id="1888" w:name="_Toc114145722"/>
      <w:bookmarkStart w:id="1889" w:name="_Toc114146014"/>
      <w:bookmarkStart w:id="1890" w:name="_Toc104558452"/>
      <w:bookmarkStart w:id="1891" w:name="_Toc110586310"/>
      <w:bookmarkStart w:id="1892" w:name="_Toc110586752"/>
      <w:bookmarkStart w:id="1893" w:name="_Toc110587206"/>
      <w:bookmarkStart w:id="1894" w:name="_Toc110587642"/>
      <w:bookmarkStart w:id="1895" w:name="_Toc110588084"/>
      <w:bookmarkStart w:id="1896" w:name="_Toc110589057"/>
      <w:bookmarkStart w:id="1897" w:name="_Toc110589494"/>
      <w:bookmarkStart w:id="1898" w:name="_Toc110595500"/>
      <w:bookmarkStart w:id="1899" w:name="_Toc110595905"/>
      <w:bookmarkStart w:id="1900" w:name="_Toc110601111"/>
      <w:bookmarkStart w:id="1901" w:name="_Toc110607578"/>
      <w:bookmarkStart w:id="1902" w:name="_Toc110613542"/>
      <w:bookmarkStart w:id="1903" w:name="_Toc112409117"/>
      <w:bookmarkStart w:id="1904" w:name="_Toc112409879"/>
      <w:bookmarkStart w:id="1905" w:name="_Toc114140809"/>
      <w:bookmarkStart w:id="1906" w:name="_Toc114145389"/>
      <w:bookmarkStart w:id="1907" w:name="_Toc114145723"/>
      <w:bookmarkStart w:id="1908" w:name="_Toc114146015"/>
      <w:bookmarkStart w:id="1909" w:name="_Toc104558453"/>
      <w:bookmarkStart w:id="1910" w:name="_Toc110586311"/>
      <w:bookmarkStart w:id="1911" w:name="_Toc110586753"/>
      <w:bookmarkStart w:id="1912" w:name="_Toc110587207"/>
      <w:bookmarkStart w:id="1913" w:name="_Toc110587643"/>
      <w:bookmarkStart w:id="1914" w:name="_Toc110588085"/>
      <w:bookmarkStart w:id="1915" w:name="_Toc110589058"/>
      <w:bookmarkStart w:id="1916" w:name="_Toc110589495"/>
      <w:bookmarkStart w:id="1917" w:name="_Toc110595501"/>
      <w:bookmarkStart w:id="1918" w:name="_Toc110595906"/>
      <w:bookmarkStart w:id="1919" w:name="_Toc110601112"/>
      <w:bookmarkStart w:id="1920" w:name="_Toc110607579"/>
      <w:bookmarkStart w:id="1921" w:name="_Toc110613543"/>
      <w:bookmarkStart w:id="1922" w:name="_Toc112409118"/>
      <w:bookmarkStart w:id="1923" w:name="_Toc112409880"/>
      <w:bookmarkStart w:id="1924" w:name="_Toc114140810"/>
      <w:bookmarkStart w:id="1925" w:name="_Toc114145390"/>
      <w:bookmarkStart w:id="1926" w:name="_Toc114145724"/>
      <w:bookmarkStart w:id="1927" w:name="_Toc114146016"/>
      <w:bookmarkStart w:id="1928" w:name="_Toc104558454"/>
      <w:bookmarkStart w:id="1929" w:name="_Toc110586312"/>
      <w:bookmarkStart w:id="1930" w:name="_Toc110586754"/>
      <w:bookmarkStart w:id="1931" w:name="_Toc110587208"/>
      <w:bookmarkStart w:id="1932" w:name="_Toc110587644"/>
      <w:bookmarkStart w:id="1933" w:name="_Toc110588086"/>
      <w:bookmarkStart w:id="1934" w:name="_Toc110589059"/>
      <w:bookmarkStart w:id="1935" w:name="_Toc110589496"/>
      <w:bookmarkStart w:id="1936" w:name="_Toc110595502"/>
      <w:bookmarkStart w:id="1937" w:name="_Toc110595907"/>
      <w:bookmarkStart w:id="1938" w:name="_Toc110601113"/>
      <w:bookmarkStart w:id="1939" w:name="_Toc110607580"/>
      <w:bookmarkStart w:id="1940" w:name="_Toc110613544"/>
      <w:bookmarkStart w:id="1941" w:name="_Toc112409119"/>
      <w:bookmarkStart w:id="1942" w:name="_Toc112409881"/>
      <w:bookmarkStart w:id="1943" w:name="_Toc114140811"/>
      <w:bookmarkStart w:id="1944" w:name="_Toc114145391"/>
      <w:bookmarkStart w:id="1945" w:name="_Toc114145725"/>
      <w:bookmarkStart w:id="1946" w:name="_Toc114146017"/>
      <w:bookmarkStart w:id="1947" w:name="_Toc104558455"/>
      <w:bookmarkStart w:id="1948" w:name="_Toc110586313"/>
      <w:bookmarkStart w:id="1949" w:name="_Toc110586755"/>
      <w:bookmarkStart w:id="1950" w:name="_Toc110587209"/>
      <w:bookmarkStart w:id="1951" w:name="_Toc110587645"/>
      <w:bookmarkStart w:id="1952" w:name="_Toc110588087"/>
      <w:bookmarkStart w:id="1953" w:name="_Toc110589060"/>
      <w:bookmarkStart w:id="1954" w:name="_Toc110589497"/>
      <w:bookmarkStart w:id="1955" w:name="_Toc110595503"/>
      <w:bookmarkStart w:id="1956" w:name="_Toc110595908"/>
      <w:bookmarkStart w:id="1957" w:name="_Toc110601114"/>
      <w:bookmarkStart w:id="1958" w:name="_Toc110607581"/>
      <w:bookmarkStart w:id="1959" w:name="_Toc110613545"/>
      <w:bookmarkStart w:id="1960" w:name="_Toc112409120"/>
      <w:bookmarkStart w:id="1961" w:name="_Toc112409882"/>
      <w:bookmarkStart w:id="1962" w:name="_Toc114140812"/>
      <w:bookmarkStart w:id="1963" w:name="_Toc114145392"/>
      <w:bookmarkStart w:id="1964" w:name="_Toc114145726"/>
      <w:bookmarkStart w:id="1965" w:name="_Toc114146018"/>
      <w:bookmarkStart w:id="1966" w:name="_Toc104558456"/>
      <w:bookmarkStart w:id="1967" w:name="_Toc110586314"/>
      <w:bookmarkStart w:id="1968" w:name="_Toc110586756"/>
      <w:bookmarkStart w:id="1969" w:name="_Toc110587210"/>
      <w:bookmarkStart w:id="1970" w:name="_Toc110587646"/>
      <w:bookmarkStart w:id="1971" w:name="_Toc110588088"/>
      <w:bookmarkStart w:id="1972" w:name="_Toc110589061"/>
      <w:bookmarkStart w:id="1973" w:name="_Toc110589498"/>
      <w:bookmarkStart w:id="1974" w:name="_Toc110595504"/>
      <w:bookmarkStart w:id="1975" w:name="_Toc110595909"/>
      <w:bookmarkStart w:id="1976" w:name="_Toc110601115"/>
      <w:bookmarkStart w:id="1977" w:name="_Toc110607582"/>
      <w:bookmarkStart w:id="1978" w:name="_Toc110613546"/>
      <w:bookmarkStart w:id="1979" w:name="_Toc112409121"/>
      <w:bookmarkStart w:id="1980" w:name="_Toc112409883"/>
      <w:bookmarkStart w:id="1981" w:name="_Toc114140813"/>
      <w:bookmarkStart w:id="1982" w:name="_Toc114145393"/>
      <w:bookmarkStart w:id="1983" w:name="_Toc114145727"/>
      <w:bookmarkStart w:id="1984" w:name="_Toc114146019"/>
      <w:bookmarkStart w:id="1985" w:name="_Toc104558457"/>
      <w:bookmarkStart w:id="1986" w:name="_Toc110586315"/>
      <w:bookmarkStart w:id="1987" w:name="_Toc110586757"/>
      <w:bookmarkStart w:id="1988" w:name="_Toc110587211"/>
      <w:bookmarkStart w:id="1989" w:name="_Toc110587647"/>
      <w:bookmarkStart w:id="1990" w:name="_Toc110588089"/>
      <w:bookmarkStart w:id="1991" w:name="_Toc110589062"/>
      <w:bookmarkStart w:id="1992" w:name="_Toc110589499"/>
      <w:bookmarkStart w:id="1993" w:name="_Toc110595505"/>
      <w:bookmarkStart w:id="1994" w:name="_Toc110595910"/>
      <w:bookmarkStart w:id="1995" w:name="_Toc110601116"/>
      <w:bookmarkStart w:id="1996" w:name="_Toc110607583"/>
      <w:bookmarkStart w:id="1997" w:name="_Toc110613547"/>
      <w:bookmarkStart w:id="1998" w:name="_Toc112409122"/>
      <w:bookmarkStart w:id="1999" w:name="_Toc112409884"/>
      <w:bookmarkStart w:id="2000" w:name="_Toc114140814"/>
      <w:bookmarkStart w:id="2001" w:name="_Toc114145394"/>
      <w:bookmarkStart w:id="2002" w:name="_Toc114145728"/>
      <w:bookmarkStart w:id="2003" w:name="_Toc114146020"/>
      <w:bookmarkStart w:id="2004" w:name="_Toc104558458"/>
      <w:bookmarkStart w:id="2005" w:name="_Toc110586316"/>
      <w:bookmarkStart w:id="2006" w:name="_Toc110586758"/>
      <w:bookmarkStart w:id="2007" w:name="_Toc110587212"/>
      <w:bookmarkStart w:id="2008" w:name="_Toc110587648"/>
      <w:bookmarkStart w:id="2009" w:name="_Toc110588090"/>
      <w:bookmarkStart w:id="2010" w:name="_Toc110589063"/>
      <w:bookmarkStart w:id="2011" w:name="_Toc110589500"/>
      <w:bookmarkStart w:id="2012" w:name="_Toc110595506"/>
      <w:bookmarkStart w:id="2013" w:name="_Toc110595911"/>
      <w:bookmarkStart w:id="2014" w:name="_Toc110601117"/>
      <w:bookmarkStart w:id="2015" w:name="_Toc110607584"/>
      <w:bookmarkStart w:id="2016" w:name="_Toc110613548"/>
      <w:bookmarkStart w:id="2017" w:name="_Toc112409123"/>
      <w:bookmarkStart w:id="2018" w:name="_Toc112409885"/>
      <w:bookmarkStart w:id="2019" w:name="_Toc114140815"/>
      <w:bookmarkStart w:id="2020" w:name="_Toc114145395"/>
      <w:bookmarkStart w:id="2021" w:name="_Toc114145729"/>
      <w:bookmarkStart w:id="2022" w:name="_Toc114146021"/>
      <w:bookmarkStart w:id="2023" w:name="_Toc104558459"/>
      <w:bookmarkStart w:id="2024" w:name="_Toc110586317"/>
      <w:bookmarkStart w:id="2025" w:name="_Toc110586759"/>
      <w:bookmarkStart w:id="2026" w:name="_Toc110587213"/>
      <w:bookmarkStart w:id="2027" w:name="_Toc110587649"/>
      <w:bookmarkStart w:id="2028" w:name="_Toc110588091"/>
      <w:bookmarkStart w:id="2029" w:name="_Toc110589064"/>
      <w:bookmarkStart w:id="2030" w:name="_Toc110589501"/>
      <w:bookmarkStart w:id="2031" w:name="_Toc110595507"/>
      <w:bookmarkStart w:id="2032" w:name="_Toc110595912"/>
      <w:bookmarkStart w:id="2033" w:name="_Toc110601118"/>
      <w:bookmarkStart w:id="2034" w:name="_Toc110607585"/>
      <w:bookmarkStart w:id="2035" w:name="_Toc110613549"/>
      <w:bookmarkStart w:id="2036" w:name="_Toc112409124"/>
      <w:bookmarkStart w:id="2037" w:name="_Toc112409886"/>
      <w:bookmarkStart w:id="2038" w:name="_Toc114140816"/>
      <w:bookmarkStart w:id="2039" w:name="_Toc114145396"/>
      <w:bookmarkStart w:id="2040" w:name="_Toc114145730"/>
      <w:bookmarkStart w:id="2041" w:name="_Toc114146022"/>
      <w:bookmarkStart w:id="2042" w:name="_Toc104558460"/>
      <w:bookmarkStart w:id="2043" w:name="_Toc110586318"/>
      <w:bookmarkStart w:id="2044" w:name="_Toc110586760"/>
      <w:bookmarkStart w:id="2045" w:name="_Toc110587214"/>
      <w:bookmarkStart w:id="2046" w:name="_Toc110587650"/>
      <w:bookmarkStart w:id="2047" w:name="_Toc110588092"/>
      <w:bookmarkStart w:id="2048" w:name="_Toc110589065"/>
      <w:bookmarkStart w:id="2049" w:name="_Toc110589502"/>
      <w:bookmarkStart w:id="2050" w:name="_Toc110595508"/>
      <w:bookmarkStart w:id="2051" w:name="_Toc110595913"/>
      <w:bookmarkStart w:id="2052" w:name="_Toc110601119"/>
      <w:bookmarkStart w:id="2053" w:name="_Toc110607586"/>
      <w:bookmarkStart w:id="2054" w:name="_Toc110613550"/>
      <w:bookmarkStart w:id="2055" w:name="_Toc112409125"/>
      <w:bookmarkStart w:id="2056" w:name="_Toc112409887"/>
      <w:bookmarkStart w:id="2057" w:name="_Toc114140817"/>
      <w:bookmarkStart w:id="2058" w:name="_Toc114145397"/>
      <w:bookmarkStart w:id="2059" w:name="_Toc114145731"/>
      <w:bookmarkStart w:id="2060" w:name="_Toc114146023"/>
      <w:bookmarkStart w:id="2061" w:name="_Toc104558461"/>
      <w:bookmarkStart w:id="2062" w:name="_Toc110586319"/>
      <w:bookmarkStart w:id="2063" w:name="_Toc110586761"/>
      <w:bookmarkStart w:id="2064" w:name="_Toc110587215"/>
      <w:bookmarkStart w:id="2065" w:name="_Toc110587651"/>
      <w:bookmarkStart w:id="2066" w:name="_Toc110588093"/>
      <w:bookmarkStart w:id="2067" w:name="_Toc110589066"/>
      <w:bookmarkStart w:id="2068" w:name="_Toc110589503"/>
      <w:bookmarkStart w:id="2069" w:name="_Toc110595509"/>
      <w:bookmarkStart w:id="2070" w:name="_Toc110595914"/>
      <w:bookmarkStart w:id="2071" w:name="_Toc110601120"/>
      <w:bookmarkStart w:id="2072" w:name="_Toc110607587"/>
      <w:bookmarkStart w:id="2073" w:name="_Toc110613551"/>
      <w:bookmarkStart w:id="2074" w:name="_Toc112409126"/>
      <w:bookmarkStart w:id="2075" w:name="_Toc112409888"/>
      <w:bookmarkStart w:id="2076" w:name="_Toc114140818"/>
      <w:bookmarkStart w:id="2077" w:name="_Toc114145398"/>
      <w:bookmarkStart w:id="2078" w:name="_Toc114145732"/>
      <w:bookmarkStart w:id="2079" w:name="_Toc114146024"/>
      <w:bookmarkStart w:id="2080" w:name="_Toc104558462"/>
      <w:bookmarkStart w:id="2081" w:name="_Toc110586320"/>
      <w:bookmarkStart w:id="2082" w:name="_Toc110586762"/>
      <w:bookmarkStart w:id="2083" w:name="_Toc110587216"/>
      <w:bookmarkStart w:id="2084" w:name="_Toc110587652"/>
      <w:bookmarkStart w:id="2085" w:name="_Toc110588094"/>
      <w:bookmarkStart w:id="2086" w:name="_Toc110589067"/>
      <w:bookmarkStart w:id="2087" w:name="_Toc110589504"/>
      <w:bookmarkStart w:id="2088" w:name="_Toc110595510"/>
      <w:bookmarkStart w:id="2089" w:name="_Toc110595915"/>
      <w:bookmarkStart w:id="2090" w:name="_Toc110601121"/>
      <w:bookmarkStart w:id="2091" w:name="_Toc110607588"/>
      <w:bookmarkStart w:id="2092" w:name="_Toc110613552"/>
      <w:bookmarkStart w:id="2093" w:name="_Toc112409127"/>
      <w:bookmarkStart w:id="2094" w:name="_Toc112409889"/>
      <w:bookmarkStart w:id="2095" w:name="_Toc114140819"/>
      <w:bookmarkStart w:id="2096" w:name="_Toc114145399"/>
      <w:bookmarkStart w:id="2097" w:name="_Toc114145733"/>
      <w:bookmarkStart w:id="2098" w:name="_Toc114146025"/>
      <w:bookmarkStart w:id="2099" w:name="_Toc104558463"/>
      <w:bookmarkStart w:id="2100" w:name="_Toc110586321"/>
      <w:bookmarkStart w:id="2101" w:name="_Toc110586763"/>
      <w:bookmarkStart w:id="2102" w:name="_Toc110587217"/>
      <w:bookmarkStart w:id="2103" w:name="_Toc110587653"/>
      <w:bookmarkStart w:id="2104" w:name="_Toc110588095"/>
      <w:bookmarkStart w:id="2105" w:name="_Toc110589068"/>
      <w:bookmarkStart w:id="2106" w:name="_Toc110589505"/>
      <w:bookmarkStart w:id="2107" w:name="_Toc110595511"/>
      <w:bookmarkStart w:id="2108" w:name="_Toc110595916"/>
      <w:bookmarkStart w:id="2109" w:name="_Toc110601122"/>
      <w:bookmarkStart w:id="2110" w:name="_Toc110607589"/>
      <w:bookmarkStart w:id="2111" w:name="_Toc110613553"/>
      <w:bookmarkStart w:id="2112" w:name="_Toc112409128"/>
      <w:bookmarkStart w:id="2113" w:name="_Toc112409890"/>
      <w:bookmarkStart w:id="2114" w:name="_Toc114140820"/>
      <w:bookmarkStart w:id="2115" w:name="_Toc114145400"/>
      <w:bookmarkStart w:id="2116" w:name="_Toc114145734"/>
      <w:bookmarkStart w:id="2117" w:name="_Toc114146026"/>
      <w:bookmarkStart w:id="2118" w:name="_Toc104558464"/>
      <w:bookmarkStart w:id="2119" w:name="_Toc110586322"/>
      <w:bookmarkStart w:id="2120" w:name="_Toc110586764"/>
      <w:bookmarkStart w:id="2121" w:name="_Toc110587218"/>
      <w:bookmarkStart w:id="2122" w:name="_Toc110587654"/>
      <w:bookmarkStart w:id="2123" w:name="_Toc110588096"/>
      <w:bookmarkStart w:id="2124" w:name="_Toc110589069"/>
      <w:bookmarkStart w:id="2125" w:name="_Toc110589506"/>
      <w:bookmarkStart w:id="2126" w:name="_Toc110595512"/>
      <w:bookmarkStart w:id="2127" w:name="_Toc110595917"/>
      <w:bookmarkStart w:id="2128" w:name="_Toc110601123"/>
      <w:bookmarkStart w:id="2129" w:name="_Toc110607590"/>
      <w:bookmarkStart w:id="2130" w:name="_Toc110613554"/>
      <w:bookmarkStart w:id="2131" w:name="_Toc112409129"/>
      <w:bookmarkStart w:id="2132" w:name="_Toc112409891"/>
      <w:bookmarkStart w:id="2133" w:name="_Toc114140821"/>
      <w:bookmarkStart w:id="2134" w:name="_Toc114145401"/>
      <w:bookmarkStart w:id="2135" w:name="_Toc114145735"/>
      <w:bookmarkStart w:id="2136" w:name="_Toc114146027"/>
      <w:bookmarkStart w:id="2137" w:name="_Toc104558465"/>
      <w:bookmarkStart w:id="2138" w:name="_Toc110586323"/>
      <w:bookmarkStart w:id="2139" w:name="_Toc110586765"/>
      <w:bookmarkStart w:id="2140" w:name="_Toc110587219"/>
      <w:bookmarkStart w:id="2141" w:name="_Toc110587655"/>
      <w:bookmarkStart w:id="2142" w:name="_Toc110588097"/>
      <w:bookmarkStart w:id="2143" w:name="_Toc110589070"/>
      <w:bookmarkStart w:id="2144" w:name="_Toc110589507"/>
      <w:bookmarkStart w:id="2145" w:name="_Toc110595513"/>
      <w:bookmarkStart w:id="2146" w:name="_Toc110595918"/>
      <w:bookmarkStart w:id="2147" w:name="_Toc110601124"/>
      <w:bookmarkStart w:id="2148" w:name="_Toc110607591"/>
      <w:bookmarkStart w:id="2149" w:name="_Toc110613555"/>
      <w:bookmarkStart w:id="2150" w:name="_Toc112409130"/>
      <w:bookmarkStart w:id="2151" w:name="_Toc112409892"/>
      <w:bookmarkStart w:id="2152" w:name="_Toc114140822"/>
      <w:bookmarkStart w:id="2153" w:name="_Toc114145402"/>
      <w:bookmarkStart w:id="2154" w:name="_Toc114145736"/>
      <w:bookmarkStart w:id="2155" w:name="_Toc114146028"/>
      <w:bookmarkStart w:id="2156" w:name="_Toc104558466"/>
      <w:bookmarkStart w:id="2157" w:name="_Toc110586324"/>
      <w:bookmarkStart w:id="2158" w:name="_Toc110586766"/>
      <w:bookmarkStart w:id="2159" w:name="_Toc110587220"/>
      <w:bookmarkStart w:id="2160" w:name="_Toc110587656"/>
      <w:bookmarkStart w:id="2161" w:name="_Toc110588098"/>
      <w:bookmarkStart w:id="2162" w:name="_Toc110589071"/>
      <w:bookmarkStart w:id="2163" w:name="_Toc110589508"/>
      <w:bookmarkStart w:id="2164" w:name="_Toc110595514"/>
      <w:bookmarkStart w:id="2165" w:name="_Toc110595919"/>
      <w:bookmarkStart w:id="2166" w:name="_Toc110601125"/>
      <w:bookmarkStart w:id="2167" w:name="_Toc110607592"/>
      <w:bookmarkStart w:id="2168" w:name="_Toc110613556"/>
      <w:bookmarkStart w:id="2169" w:name="_Toc112409131"/>
      <w:bookmarkStart w:id="2170" w:name="_Toc112409893"/>
      <w:bookmarkStart w:id="2171" w:name="_Toc114140823"/>
      <w:bookmarkStart w:id="2172" w:name="_Toc114145403"/>
      <w:bookmarkStart w:id="2173" w:name="_Toc114145737"/>
      <w:bookmarkStart w:id="2174" w:name="_Toc114146029"/>
      <w:bookmarkStart w:id="2175" w:name="_Toc104558475"/>
      <w:bookmarkStart w:id="2176" w:name="_Toc110586333"/>
      <w:bookmarkStart w:id="2177" w:name="_Toc110586775"/>
      <w:bookmarkStart w:id="2178" w:name="_Toc110587229"/>
      <w:bookmarkStart w:id="2179" w:name="_Toc110587665"/>
      <w:bookmarkStart w:id="2180" w:name="_Toc110588107"/>
      <w:bookmarkStart w:id="2181" w:name="_Toc110589080"/>
      <w:bookmarkStart w:id="2182" w:name="_Toc110589517"/>
      <w:bookmarkStart w:id="2183" w:name="_Toc110595523"/>
      <w:bookmarkStart w:id="2184" w:name="_Toc110595928"/>
      <w:bookmarkStart w:id="2185" w:name="_Toc110601134"/>
      <w:bookmarkStart w:id="2186" w:name="_Toc110607601"/>
      <w:bookmarkStart w:id="2187" w:name="_Toc110613565"/>
      <w:bookmarkStart w:id="2188" w:name="_Toc112409140"/>
      <w:bookmarkStart w:id="2189" w:name="_Toc112409902"/>
      <w:bookmarkStart w:id="2190" w:name="_Toc114140832"/>
      <w:bookmarkStart w:id="2191" w:name="_Toc114145412"/>
      <w:bookmarkStart w:id="2192" w:name="_Toc114145746"/>
      <w:bookmarkStart w:id="2193" w:name="_Toc114146038"/>
      <w:bookmarkStart w:id="2194" w:name="_Toc104558476"/>
      <w:bookmarkStart w:id="2195" w:name="_Toc110586334"/>
      <w:bookmarkStart w:id="2196" w:name="_Toc110586776"/>
      <w:bookmarkStart w:id="2197" w:name="_Toc110587230"/>
      <w:bookmarkStart w:id="2198" w:name="_Toc110587666"/>
      <w:bookmarkStart w:id="2199" w:name="_Toc110588108"/>
      <w:bookmarkStart w:id="2200" w:name="_Toc110589081"/>
      <w:bookmarkStart w:id="2201" w:name="_Toc110589518"/>
      <w:bookmarkStart w:id="2202" w:name="_Toc110595524"/>
      <w:bookmarkStart w:id="2203" w:name="_Toc110595929"/>
      <w:bookmarkStart w:id="2204" w:name="_Toc110601135"/>
      <w:bookmarkStart w:id="2205" w:name="_Toc110607602"/>
      <w:bookmarkStart w:id="2206" w:name="_Toc110613566"/>
      <w:bookmarkStart w:id="2207" w:name="_Toc112409141"/>
      <w:bookmarkStart w:id="2208" w:name="_Toc112409903"/>
      <w:bookmarkStart w:id="2209" w:name="_Toc114140833"/>
      <w:bookmarkStart w:id="2210" w:name="_Toc114145413"/>
      <w:bookmarkStart w:id="2211" w:name="_Toc114145747"/>
      <w:bookmarkStart w:id="2212" w:name="_Toc114146039"/>
      <w:bookmarkStart w:id="2213" w:name="_Toc104558478"/>
      <w:bookmarkStart w:id="2214" w:name="_Toc110586336"/>
      <w:bookmarkStart w:id="2215" w:name="_Toc110586778"/>
      <w:bookmarkStart w:id="2216" w:name="_Toc110587232"/>
      <w:bookmarkStart w:id="2217" w:name="_Toc110587668"/>
      <w:bookmarkStart w:id="2218" w:name="_Toc110588110"/>
      <w:bookmarkStart w:id="2219" w:name="_Toc110589083"/>
      <w:bookmarkStart w:id="2220" w:name="_Toc110589520"/>
      <w:bookmarkStart w:id="2221" w:name="_Toc110595526"/>
      <w:bookmarkStart w:id="2222" w:name="_Toc110595931"/>
      <w:bookmarkStart w:id="2223" w:name="_Toc110601137"/>
      <w:bookmarkStart w:id="2224" w:name="_Toc110607604"/>
      <w:bookmarkStart w:id="2225" w:name="_Toc110613568"/>
      <w:bookmarkStart w:id="2226" w:name="_Toc112409143"/>
      <w:bookmarkStart w:id="2227" w:name="_Toc112409905"/>
      <w:bookmarkStart w:id="2228" w:name="_Toc114140835"/>
      <w:bookmarkStart w:id="2229" w:name="_Toc114145415"/>
      <w:bookmarkStart w:id="2230" w:name="_Toc114145749"/>
      <w:bookmarkStart w:id="2231" w:name="_Toc114146041"/>
      <w:bookmarkStart w:id="2232" w:name="_Toc104558479"/>
      <w:bookmarkStart w:id="2233" w:name="_Toc110586337"/>
      <w:bookmarkStart w:id="2234" w:name="_Toc110586779"/>
      <w:bookmarkStart w:id="2235" w:name="_Toc110587233"/>
      <w:bookmarkStart w:id="2236" w:name="_Toc110587669"/>
      <w:bookmarkStart w:id="2237" w:name="_Toc110588111"/>
      <w:bookmarkStart w:id="2238" w:name="_Toc110589084"/>
      <w:bookmarkStart w:id="2239" w:name="_Toc110589521"/>
      <w:bookmarkStart w:id="2240" w:name="_Toc110595527"/>
      <w:bookmarkStart w:id="2241" w:name="_Toc110595932"/>
      <w:bookmarkStart w:id="2242" w:name="_Toc110601138"/>
      <w:bookmarkStart w:id="2243" w:name="_Toc110607605"/>
      <w:bookmarkStart w:id="2244" w:name="_Toc110613569"/>
      <w:bookmarkStart w:id="2245" w:name="_Toc112409144"/>
      <w:bookmarkStart w:id="2246" w:name="_Toc112409906"/>
      <w:bookmarkStart w:id="2247" w:name="_Toc114140836"/>
      <w:bookmarkStart w:id="2248" w:name="_Toc114145416"/>
      <w:bookmarkStart w:id="2249" w:name="_Toc114145750"/>
      <w:bookmarkStart w:id="2250" w:name="_Toc114146042"/>
      <w:bookmarkStart w:id="2251" w:name="_Toc104558480"/>
      <w:bookmarkStart w:id="2252" w:name="_Toc110586338"/>
      <w:bookmarkStart w:id="2253" w:name="_Toc110586780"/>
      <w:bookmarkStart w:id="2254" w:name="_Toc110587234"/>
      <w:bookmarkStart w:id="2255" w:name="_Toc110587670"/>
      <w:bookmarkStart w:id="2256" w:name="_Toc110588112"/>
      <w:bookmarkStart w:id="2257" w:name="_Toc110589085"/>
      <w:bookmarkStart w:id="2258" w:name="_Toc110589522"/>
      <w:bookmarkStart w:id="2259" w:name="_Toc110595528"/>
      <w:bookmarkStart w:id="2260" w:name="_Toc110595933"/>
      <w:bookmarkStart w:id="2261" w:name="_Toc110601139"/>
      <w:bookmarkStart w:id="2262" w:name="_Toc110607606"/>
      <w:bookmarkStart w:id="2263" w:name="_Toc110613570"/>
      <w:bookmarkStart w:id="2264" w:name="_Toc112409145"/>
      <w:bookmarkStart w:id="2265" w:name="_Toc112409907"/>
      <w:bookmarkStart w:id="2266" w:name="_Toc114140837"/>
      <w:bookmarkStart w:id="2267" w:name="_Toc114145417"/>
      <w:bookmarkStart w:id="2268" w:name="_Toc114145751"/>
      <w:bookmarkStart w:id="2269" w:name="_Toc114146043"/>
      <w:bookmarkStart w:id="2270" w:name="_Toc104558481"/>
      <w:bookmarkStart w:id="2271" w:name="_Toc110586339"/>
      <w:bookmarkStart w:id="2272" w:name="_Toc110586781"/>
      <w:bookmarkStart w:id="2273" w:name="_Toc110587235"/>
      <w:bookmarkStart w:id="2274" w:name="_Toc110587671"/>
      <w:bookmarkStart w:id="2275" w:name="_Toc110588113"/>
      <w:bookmarkStart w:id="2276" w:name="_Toc110589086"/>
      <w:bookmarkStart w:id="2277" w:name="_Toc110589523"/>
      <w:bookmarkStart w:id="2278" w:name="_Toc110595529"/>
      <w:bookmarkStart w:id="2279" w:name="_Toc110595934"/>
      <w:bookmarkStart w:id="2280" w:name="_Toc110601140"/>
      <w:bookmarkStart w:id="2281" w:name="_Toc110607607"/>
      <w:bookmarkStart w:id="2282" w:name="_Toc110613571"/>
      <w:bookmarkStart w:id="2283" w:name="_Toc112409146"/>
      <w:bookmarkStart w:id="2284" w:name="_Toc112409908"/>
      <w:bookmarkStart w:id="2285" w:name="_Toc114140838"/>
      <w:bookmarkStart w:id="2286" w:name="_Toc114145418"/>
      <w:bookmarkStart w:id="2287" w:name="_Toc114145752"/>
      <w:bookmarkStart w:id="2288" w:name="_Toc114146044"/>
      <w:bookmarkStart w:id="2289" w:name="_Toc104558482"/>
      <w:bookmarkStart w:id="2290" w:name="_Toc110586340"/>
      <w:bookmarkStart w:id="2291" w:name="_Toc110586782"/>
      <w:bookmarkStart w:id="2292" w:name="_Toc110587236"/>
      <w:bookmarkStart w:id="2293" w:name="_Toc110587672"/>
      <w:bookmarkStart w:id="2294" w:name="_Toc110588114"/>
      <w:bookmarkStart w:id="2295" w:name="_Toc110589087"/>
      <w:bookmarkStart w:id="2296" w:name="_Toc110589524"/>
      <w:bookmarkStart w:id="2297" w:name="_Toc110595530"/>
      <w:bookmarkStart w:id="2298" w:name="_Toc110595935"/>
      <w:bookmarkStart w:id="2299" w:name="_Toc110601141"/>
      <w:bookmarkStart w:id="2300" w:name="_Toc110607608"/>
      <w:bookmarkStart w:id="2301" w:name="_Toc110613572"/>
      <w:bookmarkStart w:id="2302" w:name="_Toc112409147"/>
      <w:bookmarkStart w:id="2303" w:name="_Toc112409909"/>
      <w:bookmarkStart w:id="2304" w:name="_Toc114140839"/>
      <w:bookmarkStart w:id="2305" w:name="_Toc114145419"/>
      <w:bookmarkStart w:id="2306" w:name="_Toc114145753"/>
      <w:bookmarkStart w:id="2307" w:name="_Toc114146045"/>
      <w:bookmarkStart w:id="2308" w:name="_Toc104558483"/>
      <w:bookmarkStart w:id="2309" w:name="_Toc110586341"/>
      <w:bookmarkStart w:id="2310" w:name="_Toc110586783"/>
      <w:bookmarkStart w:id="2311" w:name="_Toc110587237"/>
      <w:bookmarkStart w:id="2312" w:name="_Toc110587673"/>
      <w:bookmarkStart w:id="2313" w:name="_Toc110588115"/>
      <w:bookmarkStart w:id="2314" w:name="_Toc110589088"/>
      <w:bookmarkStart w:id="2315" w:name="_Toc110589525"/>
      <w:bookmarkStart w:id="2316" w:name="_Toc110595531"/>
      <w:bookmarkStart w:id="2317" w:name="_Toc110595936"/>
      <w:bookmarkStart w:id="2318" w:name="_Toc110601142"/>
      <w:bookmarkStart w:id="2319" w:name="_Toc110607609"/>
      <w:bookmarkStart w:id="2320" w:name="_Toc110613573"/>
      <w:bookmarkStart w:id="2321" w:name="_Toc112409148"/>
      <w:bookmarkStart w:id="2322" w:name="_Toc112409910"/>
      <w:bookmarkStart w:id="2323" w:name="_Toc114140840"/>
      <w:bookmarkStart w:id="2324" w:name="_Toc114145420"/>
      <w:bookmarkStart w:id="2325" w:name="_Toc114145754"/>
      <w:bookmarkStart w:id="2326" w:name="_Toc114146046"/>
      <w:bookmarkStart w:id="2327" w:name="_Toc104558484"/>
      <w:bookmarkStart w:id="2328" w:name="_Toc110586342"/>
      <w:bookmarkStart w:id="2329" w:name="_Toc110586784"/>
      <w:bookmarkStart w:id="2330" w:name="_Toc110587238"/>
      <w:bookmarkStart w:id="2331" w:name="_Toc110587674"/>
      <w:bookmarkStart w:id="2332" w:name="_Toc110588116"/>
      <w:bookmarkStart w:id="2333" w:name="_Toc110589089"/>
      <w:bookmarkStart w:id="2334" w:name="_Toc110589526"/>
      <w:bookmarkStart w:id="2335" w:name="_Toc110595532"/>
      <w:bookmarkStart w:id="2336" w:name="_Toc110595937"/>
      <w:bookmarkStart w:id="2337" w:name="_Toc110601143"/>
      <w:bookmarkStart w:id="2338" w:name="_Toc110607610"/>
      <w:bookmarkStart w:id="2339" w:name="_Toc110613574"/>
      <w:bookmarkStart w:id="2340" w:name="_Toc112409149"/>
      <w:bookmarkStart w:id="2341" w:name="_Toc112409911"/>
      <w:bookmarkStart w:id="2342" w:name="_Toc114140841"/>
      <w:bookmarkStart w:id="2343" w:name="_Toc114145421"/>
      <w:bookmarkStart w:id="2344" w:name="_Toc114145755"/>
      <w:bookmarkStart w:id="2345" w:name="_Toc114146047"/>
      <w:bookmarkStart w:id="2346" w:name="_Toc104558485"/>
      <w:bookmarkStart w:id="2347" w:name="_Toc110586343"/>
      <w:bookmarkStart w:id="2348" w:name="_Toc110586785"/>
      <w:bookmarkStart w:id="2349" w:name="_Toc110587239"/>
      <w:bookmarkStart w:id="2350" w:name="_Toc110587675"/>
      <w:bookmarkStart w:id="2351" w:name="_Toc110588117"/>
      <w:bookmarkStart w:id="2352" w:name="_Toc110589090"/>
      <w:bookmarkStart w:id="2353" w:name="_Toc110589527"/>
      <w:bookmarkStart w:id="2354" w:name="_Toc110595533"/>
      <w:bookmarkStart w:id="2355" w:name="_Toc110595938"/>
      <w:bookmarkStart w:id="2356" w:name="_Toc110601144"/>
      <w:bookmarkStart w:id="2357" w:name="_Toc110607611"/>
      <w:bookmarkStart w:id="2358" w:name="_Toc110613575"/>
      <w:bookmarkStart w:id="2359" w:name="_Toc112409150"/>
      <w:bookmarkStart w:id="2360" w:name="_Toc112409912"/>
      <w:bookmarkStart w:id="2361" w:name="_Toc114140842"/>
      <w:bookmarkStart w:id="2362" w:name="_Toc114145422"/>
      <w:bookmarkStart w:id="2363" w:name="_Toc114145756"/>
      <w:bookmarkStart w:id="2364" w:name="_Toc114146048"/>
      <w:bookmarkStart w:id="2365" w:name="_Toc104558486"/>
      <w:bookmarkStart w:id="2366" w:name="_Toc110586344"/>
      <w:bookmarkStart w:id="2367" w:name="_Toc110586786"/>
      <w:bookmarkStart w:id="2368" w:name="_Toc110587240"/>
      <w:bookmarkStart w:id="2369" w:name="_Toc110587676"/>
      <w:bookmarkStart w:id="2370" w:name="_Toc110588118"/>
      <w:bookmarkStart w:id="2371" w:name="_Toc110589091"/>
      <w:bookmarkStart w:id="2372" w:name="_Toc110589528"/>
      <w:bookmarkStart w:id="2373" w:name="_Toc110595534"/>
      <w:bookmarkStart w:id="2374" w:name="_Toc110595939"/>
      <w:bookmarkStart w:id="2375" w:name="_Toc110601145"/>
      <w:bookmarkStart w:id="2376" w:name="_Toc110607612"/>
      <w:bookmarkStart w:id="2377" w:name="_Toc110613576"/>
      <w:bookmarkStart w:id="2378" w:name="_Toc112409151"/>
      <w:bookmarkStart w:id="2379" w:name="_Toc112409913"/>
      <w:bookmarkStart w:id="2380" w:name="_Toc114140843"/>
      <w:bookmarkStart w:id="2381" w:name="_Toc114145423"/>
      <w:bookmarkStart w:id="2382" w:name="_Toc114145757"/>
      <w:bookmarkStart w:id="2383" w:name="_Toc114146049"/>
      <w:bookmarkStart w:id="2384" w:name="_Toc104558487"/>
      <w:bookmarkStart w:id="2385" w:name="_Toc110586345"/>
      <w:bookmarkStart w:id="2386" w:name="_Toc110586787"/>
      <w:bookmarkStart w:id="2387" w:name="_Toc110587241"/>
      <w:bookmarkStart w:id="2388" w:name="_Toc110587677"/>
      <w:bookmarkStart w:id="2389" w:name="_Toc110588119"/>
      <w:bookmarkStart w:id="2390" w:name="_Toc110589092"/>
      <w:bookmarkStart w:id="2391" w:name="_Toc110589529"/>
      <w:bookmarkStart w:id="2392" w:name="_Toc110595535"/>
      <w:bookmarkStart w:id="2393" w:name="_Toc110595940"/>
      <w:bookmarkStart w:id="2394" w:name="_Toc110601146"/>
      <w:bookmarkStart w:id="2395" w:name="_Toc110607613"/>
      <w:bookmarkStart w:id="2396" w:name="_Toc110613577"/>
      <w:bookmarkStart w:id="2397" w:name="_Toc112409152"/>
      <w:bookmarkStart w:id="2398" w:name="_Toc112409914"/>
      <w:bookmarkStart w:id="2399" w:name="_Toc114140844"/>
      <w:bookmarkStart w:id="2400" w:name="_Toc114145424"/>
      <w:bookmarkStart w:id="2401" w:name="_Toc114145758"/>
      <w:bookmarkStart w:id="2402" w:name="_Toc114146050"/>
      <w:bookmarkStart w:id="2403" w:name="_Toc104558488"/>
      <w:bookmarkStart w:id="2404" w:name="_Toc110586346"/>
      <w:bookmarkStart w:id="2405" w:name="_Toc110586788"/>
      <w:bookmarkStart w:id="2406" w:name="_Toc110587242"/>
      <w:bookmarkStart w:id="2407" w:name="_Toc110587678"/>
      <w:bookmarkStart w:id="2408" w:name="_Toc110588120"/>
      <w:bookmarkStart w:id="2409" w:name="_Toc110589093"/>
      <w:bookmarkStart w:id="2410" w:name="_Toc110589530"/>
      <w:bookmarkStart w:id="2411" w:name="_Toc110595536"/>
      <w:bookmarkStart w:id="2412" w:name="_Toc110595941"/>
      <w:bookmarkStart w:id="2413" w:name="_Toc110601147"/>
      <w:bookmarkStart w:id="2414" w:name="_Toc110607614"/>
      <w:bookmarkStart w:id="2415" w:name="_Toc110613578"/>
      <w:bookmarkStart w:id="2416" w:name="_Toc112409153"/>
      <w:bookmarkStart w:id="2417" w:name="_Toc112409915"/>
      <w:bookmarkStart w:id="2418" w:name="_Toc114140845"/>
      <w:bookmarkStart w:id="2419" w:name="_Toc114145425"/>
      <w:bookmarkStart w:id="2420" w:name="_Toc114145759"/>
      <w:bookmarkStart w:id="2421" w:name="_Toc114146051"/>
      <w:bookmarkStart w:id="2422" w:name="_Toc104558489"/>
      <w:bookmarkStart w:id="2423" w:name="_Toc110586347"/>
      <w:bookmarkStart w:id="2424" w:name="_Toc110586789"/>
      <w:bookmarkStart w:id="2425" w:name="_Toc110587243"/>
      <w:bookmarkStart w:id="2426" w:name="_Toc110587679"/>
      <w:bookmarkStart w:id="2427" w:name="_Toc110588121"/>
      <w:bookmarkStart w:id="2428" w:name="_Toc110589094"/>
      <w:bookmarkStart w:id="2429" w:name="_Toc110589531"/>
      <w:bookmarkStart w:id="2430" w:name="_Toc110595537"/>
      <w:bookmarkStart w:id="2431" w:name="_Toc110595942"/>
      <w:bookmarkStart w:id="2432" w:name="_Toc110601148"/>
      <w:bookmarkStart w:id="2433" w:name="_Toc110607615"/>
      <w:bookmarkStart w:id="2434" w:name="_Toc110613579"/>
      <w:bookmarkStart w:id="2435" w:name="_Toc112409154"/>
      <w:bookmarkStart w:id="2436" w:name="_Toc112409916"/>
      <w:bookmarkStart w:id="2437" w:name="_Toc114140846"/>
      <w:bookmarkStart w:id="2438" w:name="_Toc114145426"/>
      <w:bookmarkStart w:id="2439" w:name="_Toc114145760"/>
      <w:bookmarkStart w:id="2440" w:name="_Toc114146052"/>
      <w:bookmarkStart w:id="2441" w:name="_Toc104558490"/>
      <w:bookmarkStart w:id="2442" w:name="_Toc110586348"/>
      <w:bookmarkStart w:id="2443" w:name="_Toc110586790"/>
      <w:bookmarkStart w:id="2444" w:name="_Toc110587244"/>
      <w:bookmarkStart w:id="2445" w:name="_Toc110587680"/>
      <w:bookmarkStart w:id="2446" w:name="_Toc110588122"/>
      <w:bookmarkStart w:id="2447" w:name="_Toc110589095"/>
      <w:bookmarkStart w:id="2448" w:name="_Toc110589532"/>
      <w:bookmarkStart w:id="2449" w:name="_Toc110595538"/>
      <w:bookmarkStart w:id="2450" w:name="_Toc110595943"/>
      <w:bookmarkStart w:id="2451" w:name="_Toc110601149"/>
      <w:bookmarkStart w:id="2452" w:name="_Toc110607616"/>
      <w:bookmarkStart w:id="2453" w:name="_Toc110613580"/>
      <w:bookmarkStart w:id="2454" w:name="_Toc112409155"/>
      <w:bookmarkStart w:id="2455" w:name="_Toc112409917"/>
      <w:bookmarkStart w:id="2456" w:name="_Toc114140847"/>
      <w:bookmarkStart w:id="2457" w:name="_Toc114145427"/>
      <w:bookmarkStart w:id="2458" w:name="_Toc114145761"/>
      <w:bookmarkStart w:id="2459" w:name="_Toc114146053"/>
      <w:bookmarkStart w:id="2460" w:name="_Toc104558491"/>
      <w:bookmarkStart w:id="2461" w:name="_Toc110586349"/>
      <w:bookmarkStart w:id="2462" w:name="_Toc110586791"/>
      <w:bookmarkStart w:id="2463" w:name="_Toc110587245"/>
      <w:bookmarkStart w:id="2464" w:name="_Toc110587681"/>
      <w:bookmarkStart w:id="2465" w:name="_Toc110588123"/>
      <w:bookmarkStart w:id="2466" w:name="_Toc110589096"/>
      <w:bookmarkStart w:id="2467" w:name="_Toc110589533"/>
      <w:bookmarkStart w:id="2468" w:name="_Toc110595539"/>
      <w:bookmarkStart w:id="2469" w:name="_Toc110595944"/>
      <w:bookmarkStart w:id="2470" w:name="_Toc110601150"/>
      <w:bookmarkStart w:id="2471" w:name="_Toc110607617"/>
      <w:bookmarkStart w:id="2472" w:name="_Toc110613581"/>
      <w:bookmarkStart w:id="2473" w:name="_Toc112409156"/>
      <w:bookmarkStart w:id="2474" w:name="_Toc112409918"/>
      <w:bookmarkStart w:id="2475" w:name="_Toc114140848"/>
      <w:bookmarkStart w:id="2476" w:name="_Toc114145428"/>
      <w:bookmarkStart w:id="2477" w:name="_Toc114145762"/>
      <w:bookmarkStart w:id="2478" w:name="_Toc114146054"/>
      <w:bookmarkStart w:id="2479" w:name="_Toc104558492"/>
      <w:bookmarkStart w:id="2480" w:name="_Toc110586350"/>
      <w:bookmarkStart w:id="2481" w:name="_Toc110586792"/>
      <w:bookmarkStart w:id="2482" w:name="_Toc110587246"/>
      <w:bookmarkStart w:id="2483" w:name="_Toc110587682"/>
      <w:bookmarkStart w:id="2484" w:name="_Toc110588124"/>
      <w:bookmarkStart w:id="2485" w:name="_Toc110589097"/>
      <w:bookmarkStart w:id="2486" w:name="_Toc110589534"/>
      <w:bookmarkStart w:id="2487" w:name="_Toc110595540"/>
      <w:bookmarkStart w:id="2488" w:name="_Toc110595945"/>
      <w:bookmarkStart w:id="2489" w:name="_Toc110601151"/>
      <w:bookmarkStart w:id="2490" w:name="_Toc110607618"/>
      <w:bookmarkStart w:id="2491" w:name="_Toc110613582"/>
      <w:bookmarkStart w:id="2492" w:name="_Toc112409157"/>
      <w:bookmarkStart w:id="2493" w:name="_Toc112409919"/>
      <w:bookmarkStart w:id="2494" w:name="_Toc114140849"/>
      <w:bookmarkStart w:id="2495" w:name="_Toc114145429"/>
      <w:bookmarkStart w:id="2496" w:name="_Toc114145763"/>
      <w:bookmarkStart w:id="2497" w:name="_Toc114146055"/>
      <w:bookmarkStart w:id="2498" w:name="_Toc104558493"/>
      <w:bookmarkStart w:id="2499" w:name="_Toc110586351"/>
      <w:bookmarkStart w:id="2500" w:name="_Toc110586793"/>
      <w:bookmarkStart w:id="2501" w:name="_Toc110587247"/>
      <w:bookmarkStart w:id="2502" w:name="_Toc110587683"/>
      <w:bookmarkStart w:id="2503" w:name="_Toc110588125"/>
      <w:bookmarkStart w:id="2504" w:name="_Toc110589098"/>
      <w:bookmarkStart w:id="2505" w:name="_Toc110589535"/>
      <w:bookmarkStart w:id="2506" w:name="_Toc110595541"/>
      <w:bookmarkStart w:id="2507" w:name="_Toc110595946"/>
      <w:bookmarkStart w:id="2508" w:name="_Toc110601152"/>
      <w:bookmarkStart w:id="2509" w:name="_Toc110607619"/>
      <w:bookmarkStart w:id="2510" w:name="_Toc110613583"/>
      <w:bookmarkStart w:id="2511" w:name="_Toc112409158"/>
      <w:bookmarkStart w:id="2512" w:name="_Toc112409920"/>
      <w:bookmarkStart w:id="2513" w:name="_Toc114140850"/>
      <w:bookmarkStart w:id="2514" w:name="_Toc114145430"/>
      <w:bookmarkStart w:id="2515" w:name="_Toc114145764"/>
      <w:bookmarkStart w:id="2516" w:name="_Toc114146056"/>
      <w:bookmarkStart w:id="2517" w:name="_Toc104558494"/>
      <w:bookmarkStart w:id="2518" w:name="_Toc110586352"/>
      <w:bookmarkStart w:id="2519" w:name="_Toc110586794"/>
      <w:bookmarkStart w:id="2520" w:name="_Toc110587248"/>
      <w:bookmarkStart w:id="2521" w:name="_Toc110587684"/>
      <w:bookmarkStart w:id="2522" w:name="_Toc110588126"/>
      <w:bookmarkStart w:id="2523" w:name="_Toc110589099"/>
      <w:bookmarkStart w:id="2524" w:name="_Toc110589536"/>
      <w:bookmarkStart w:id="2525" w:name="_Toc110595542"/>
      <w:bookmarkStart w:id="2526" w:name="_Toc110595947"/>
      <w:bookmarkStart w:id="2527" w:name="_Toc110601153"/>
      <w:bookmarkStart w:id="2528" w:name="_Toc110607620"/>
      <w:bookmarkStart w:id="2529" w:name="_Toc110613584"/>
      <w:bookmarkStart w:id="2530" w:name="_Toc112409159"/>
      <w:bookmarkStart w:id="2531" w:name="_Toc112409921"/>
      <w:bookmarkStart w:id="2532" w:name="_Toc114140851"/>
      <w:bookmarkStart w:id="2533" w:name="_Toc114145431"/>
      <w:bookmarkStart w:id="2534" w:name="_Toc114145765"/>
      <w:bookmarkStart w:id="2535" w:name="_Toc114146057"/>
      <w:bookmarkStart w:id="2536" w:name="_Toc104558495"/>
      <w:bookmarkStart w:id="2537" w:name="_Toc110586353"/>
      <w:bookmarkStart w:id="2538" w:name="_Toc110586795"/>
      <w:bookmarkStart w:id="2539" w:name="_Toc110587249"/>
      <w:bookmarkStart w:id="2540" w:name="_Toc110587685"/>
      <w:bookmarkStart w:id="2541" w:name="_Toc110588127"/>
      <w:bookmarkStart w:id="2542" w:name="_Toc110589100"/>
      <w:bookmarkStart w:id="2543" w:name="_Toc110589537"/>
      <w:bookmarkStart w:id="2544" w:name="_Toc110595543"/>
      <w:bookmarkStart w:id="2545" w:name="_Toc110595948"/>
      <w:bookmarkStart w:id="2546" w:name="_Toc110601154"/>
      <w:bookmarkStart w:id="2547" w:name="_Toc110607621"/>
      <w:bookmarkStart w:id="2548" w:name="_Toc110613585"/>
      <w:bookmarkStart w:id="2549" w:name="_Toc112409160"/>
      <w:bookmarkStart w:id="2550" w:name="_Toc112409922"/>
      <w:bookmarkStart w:id="2551" w:name="_Toc114140852"/>
      <w:bookmarkStart w:id="2552" w:name="_Toc114145432"/>
      <w:bookmarkStart w:id="2553" w:name="_Toc114145766"/>
      <w:bookmarkStart w:id="2554" w:name="_Toc114146058"/>
      <w:bookmarkStart w:id="2555" w:name="_Toc104558496"/>
      <w:bookmarkStart w:id="2556" w:name="_Toc110586354"/>
      <w:bookmarkStart w:id="2557" w:name="_Toc110586796"/>
      <w:bookmarkStart w:id="2558" w:name="_Toc110587250"/>
      <w:bookmarkStart w:id="2559" w:name="_Toc110587686"/>
      <w:bookmarkStart w:id="2560" w:name="_Toc110588128"/>
      <w:bookmarkStart w:id="2561" w:name="_Toc110589101"/>
      <w:bookmarkStart w:id="2562" w:name="_Toc110589538"/>
      <w:bookmarkStart w:id="2563" w:name="_Toc110595544"/>
      <w:bookmarkStart w:id="2564" w:name="_Toc110595949"/>
      <w:bookmarkStart w:id="2565" w:name="_Toc110601155"/>
      <w:bookmarkStart w:id="2566" w:name="_Toc110607622"/>
      <w:bookmarkStart w:id="2567" w:name="_Toc110613586"/>
      <w:bookmarkStart w:id="2568" w:name="_Toc112409161"/>
      <w:bookmarkStart w:id="2569" w:name="_Toc112409923"/>
      <w:bookmarkStart w:id="2570" w:name="_Toc114140853"/>
      <w:bookmarkStart w:id="2571" w:name="_Toc114145433"/>
      <w:bookmarkStart w:id="2572" w:name="_Toc114145767"/>
      <w:bookmarkStart w:id="2573" w:name="_Toc114146059"/>
      <w:bookmarkStart w:id="2574" w:name="_Toc104558497"/>
      <w:bookmarkStart w:id="2575" w:name="_Toc110586355"/>
      <w:bookmarkStart w:id="2576" w:name="_Toc110586797"/>
      <w:bookmarkStart w:id="2577" w:name="_Toc110587251"/>
      <w:bookmarkStart w:id="2578" w:name="_Toc110587687"/>
      <w:bookmarkStart w:id="2579" w:name="_Toc110588129"/>
      <w:bookmarkStart w:id="2580" w:name="_Toc110589102"/>
      <w:bookmarkStart w:id="2581" w:name="_Toc110589539"/>
      <w:bookmarkStart w:id="2582" w:name="_Toc110595545"/>
      <w:bookmarkStart w:id="2583" w:name="_Toc110595950"/>
      <w:bookmarkStart w:id="2584" w:name="_Toc110601156"/>
      <w:bookmarkStart w:id="2585" w:name="_Toc110607623"/>
      <w:bookmarkStart w:id="2586" w:name="_Toc110613587"/>
      <w:bookmarkStart w:id="2587" w:name="_Toc112409162"/>
      <w:bookmarkStart w:id="2588" w:name="_Toc112409924"/>
      <w:bookmarkStart w:id="2589" w:name="_Toc114140854"/>
      <w:bookmarkStart w:id="2590" w:name="_Toc114145434"/>
      <w:bookmarkStart w:id="2591" w:name="_Toc114145768"/>
      <w:bookmarkStart w:id="2592" w:name="_Toc114146060"/>
      <w:bookmarkStart w:id="2593" w:name="_Toc104558498"/>
      <w:bookmarkStart w:id="2594" w:name="_Toc110586356"/>
      <w:bookmarkStart w:id="2595" w:name="_Toc110586798"/>
      <w:bookmarkStart w:id="2596" w:name="_Toc110587252"/>
      <w:bookmarkStart w:id="2597" w:name="_Toc110587688"/>
      <w:bookmarkStart w:id="2598" w:name="_Toc110588130"/>
      <w:bookmarkStart w:id="2599" w:name="_Toc110589103"/>
      <w:bookmarkStart w:id="2600" w:name="_Toc110589540"/>
      <w:bookmarkStart w:id="2601" w:name="_Toc110595546"/>
      <w:bookmarkStart w:id="2602" w:name="_Toc110595951"/>
      <w:bookmarkStart w:id="2603" w:name="_Toc110601157"/>
      <w:bookmarkStart w:id="2604" w:name="_Toc110607624"/>
      <w:bookmarkStart w:id="2605" w:name="_Toc110613588"/>
      <w:bookmarkStart w:id="2606" w:name="_Toc112409163"/>
      <w:bookmarkStart w:id="2607" w:name="_Toc112409925"/>
      <w:bookmarkStart w:id="2608" w:name="_Toc114140855"/>
      <w:bookmarkStart w:id="2609" w:name="_Toc114145435"/>
      <w:bookmarkStart w:id="2610" w:name="_Toc114145769"/>
      <w:bookmarkStart w:id="2611" w:name="_Toc114146061"/>
      <w:bookmarkStart w:id="2612" w:name="_Toc104558499"/>
      <w:bookmarkStart w:id="2613" w:name="_Toc110586357"/>
      <w:bookmarkStart w:id="2614" w:name="_Toc110586799"/>
      <w:bookmarkStart w:id="2615" w:name="_Toc110587253"/>
      <w:bookmarkStart w:id="2616" w:name="_Toc110587689"/>
      <w:bookmarkStart w:id="2617" w:name="_Toc110588131"/>
      <w:bookmarkStart w:id="2618" w:name="_Toc110589104"/>
      <w:bookmarkStart w:id="2619" w:name="_Toc110589541"/>
      <w:bookmarkStart w:id="2620" w:name="_Toc110595547"/>
      <w:bookmarkStart w:id="2621" w:name="_Toc110595952"/>
      <w:bookmarkStart w:id="2622" w:name="_Toc110601158"/>
      <w:bookmarkStart w:id="2623" w:name="_Toc110607625"/>
      <w:bookmarkStart w:id="2624" w:name="_Toc110613589"/>
      <w:bookmarkStart w:id="2625" w:name="_Toc112409164"/>
      <w:bookmarkStart w:id="2626" w:name="_Toc112409926"/>
      <w:bookmarkStart w:id="2627" w:name="_Toc114140856"/>
      <w:bookmarkStart w:id="2628" w:name="_Toc114145436"/>
      <w:bookmarkStart w:id="2629" w:name="_Toc114145770"/>
      <w:bookmarkStart w:id="2630" w:name="_Toc114146062"/>
      <w:bookmarkStart w:id="2631" w:name="_Toc104558500"/>
      <w:bookmarkStart w:id="2632" w:name="_Toc110586358"/>
      <w:bookmarkStart w:id="2633" w:name="_Toc110586800"/>
      <w:bookmarkStart w:id="2634" w:name="_Toc110587254"/>
      <w:bookmarkStart w:id="2635" w:name="_Toc110587690"/>
      <w:bookmarkStart w:id="2636" w:name="_Toc110588132"/>
      <w:bookmarkStart w:id="2637" w:name="_Toc110589105"/>
      <w:bookmarkStart w:id="2638" w:name="_Toc110589542"/>
      <w:bookmarkStart w:id="2639" w:name="_Toc110595548"/>
      <w:bookmarkStart w:id="2640" w:name="_Toc110595953"/>
      <w:bookmarkStart w:id="2641" w:name="_Toc110601159"/>
      <w:bookmarkStart w:id="2642" w:name="_Toc110607626"/>
      <w:bookmarkStart w:id="2643" w:name="_Toc110613590"/>
      <w:bookmarkStart w:id="2644" w:name="_Toc112409165"/>
      <w:bookmarkStart w:id="2645" w:name="_Toc112409927"/>
      <w:bookmarkStart w:id="2646" w:name="_Toc114140857"/>
      <w:bookmarkStart w:id="2647" w:name="_Toc114145437"/>
      <w:bookmarkStart w:id="2648" w:name="_Toc114145771"/>
      <w:bookmarkStart w:id="2649" w:name="_Toc114146063"/>
      <w:bookmarkStart w:id="2650" w:name="_Toc104558501"/>
      <w:bookmarkStart w:id="2651" w:name="_Toc110586359"/>
      <w:bookmarkStart w:id="2652" w:name="_Toc110586801"/>
      <w:bookmarkStart w:id="2653" w:name="_Toc110587255"/>
      <w:bookmarkStart w:id="2654" w:name="_Toc110587691"/>
      <w:bookmarkStart w:id="2655" w:name="_Toc110588133"/>
      <w:bookmarkStart w:id="2656" w:name="_Toc110589106"/>
      <w:bookmarkStart w:id="2657" w:name="_Toc110589543"/>
      <w:bookmarkStart w:id="2658" w:name="_Toc110595549"/>
      <w:bookmarkStart w:id="2659" w:name="_Toc110595954"/>
      <w:bookmarkStart w:id="2660" w:name="_Toc110601160"/>
      <w:bookmarkStart w:id="2661" w:name="_Toc110607627"/>
      <w:bookmarkStart w:id="2662" w:name="_Toc110613591"/>
      <w:bookmarkStart w:id="2663" w:name="_Toc112409166"/>
      <w:bookmarkStart w:id="2664" w:name="_Toc112409928"/>
      <w:bookmarkStart w:id="2665" w:name="_Toc114140858"/>
      <w:bookmarkStart w:id="2666" w:name="_Toc114145438"/>
      <w:bookmarkStart w:id="2667" w:name="_Toc114145772"/>
      <w:bookmarkStart w:id="2668" w:name="_Toc114146064"/>
      <w:bookmarkStart w:id="2669" w:name="_Toc104558502"/>
      <w:bookmarkStart w:id="2670" w:name="_Toc110586360"/>
      <w:bookmarkStart w:id="2671" w:name="_Toc110586802"/>
      <w:bookmarkStart w:id="2672" w:name="_Toc110587256"/>
      <w:bookmarkStart w:id="2673" w:name="_Toc110587692"/>
      <w:bookmarkStart w:id="2674" w:name="_Toc110588134"/>
      <w:bookmarkStart w:id="2675" w:name="_Toc110589107"/>
      <w:bookmarkStart w:id="2676" w:name="_Toc110589544"/>
      <w:bookmarkStart w:id="2677" w:name="_Toc110595550"/>
      <w:bookmarkStart w:id="2678" w:name="_Toc110595955"/>
      <w:bookmarkStart w:id="2679" w:name="_Toc110601161"/>
      <w:bookmarkStart w:id="2680" w:name="_Toc110607628"/>
      <w:bookmarkStart w:id="2681" w:name="_Toc110613592"/>
      <w:bookmarkStart w:id="2682" w:name="_Toc112409167"/>
      <w:bookmarkStart w:id="2683" w:name="_Toc112409929"/>
      <w:bookmarkStart w:id="2684" w:name="_Toc114140859"/>
      <w:bookmarkStart w:id="2685" w:name="_Toc114145439"/>
      <w:bookmarkStart w:id="2686" w:name="_Toc114145773"/>
      <w:bookmarkStart w:id="2687" w:name="_Toc114146065"/>
      <w:bookmarkStart w:id="2688" w:name="_Toc104558503"/>
      <w:bookmarkStart w:id="2689" w:name="_Toc110586361"/>
      <w:bookmarkStart w:id="2690" w:name="_Toc110586803"/>
      <w:bookmarkStart w:id="2691" w:name="_Toc110587257"/>
      <w:bookmarkStart w:id="2692" w:name="_Toc110587693"/>
      <w:bookmarkStart w:id="2693" w:name="_Toc110588135"/>
      <w:bookmarkStart w:id="2694" w:name="_Toc110589108"/>
      <w:bookmarkStart w:id="2695" w:name="_Toc110589545"/>
      <w:bookmarkStart w:id="2696" w:name="_Toc110595551"/>
      <w:bookmarkStart w:id="2697" w:name="_Toc110595956"/>
      <w:bookmarkStart w:id="2698" w:name="_Toc110601162"/>
      <w:bookmarkStart w:id="2699" w:name="_Toc110607629"/>
      <w:bookmarkStart w:id="2700" w:name="_Toc110613593"/>
      <w:bookmarkStart w:id="2701" w:name="_Toc112409168"/>
      <w:bookmarkStart w:id="2702" w:name="_Toc112409930"/>
      <w:bookmarkStart w:id="2703" w:name="_Toc114140860"/>
      <w:bookmarkStart w:id="2704" w:name="_Toc114145440"/>
      <w:bookmarkStart w:id="2705" w:name="_Toc114145774"/>
      <w:bookmarkStart w:id="2706" w:name="_Toc114146066"/>
      <w:bookmarkStart w:id="2707" w:name="_Toc104558504"/>
      <w:bookmarkStart w:id="2708" w:name="_Toc110586362"/>
      <w:bookmarkStart w:id="2709" w:name="_Toc110586804"/>
      <w:bookmarkStart w:id="2710" w:name="_Toc110587258"/>
      <w:bookmarkStart w:id="2711" w:name="_Toc110587694"/>
      <w:bookmarkStart w:id="2712" w:name="_Toc110588136"/>
      <w:bookmarkStart w:id="2713" w:name="_Toc110589109"/>
      <w:bookmarkStart w:id="2714" w:name="_Toc110589546"/>
      <w:bookmarkStart w:id="2715" w:name="_Toc110595552"/>
      <w:bookmarkStart w:id="2716" w:name="_Toc110595957"/>
      <w:bookmarkStart w:id="2717" w:name="_Toc110601163"/>
      <w:bookmarkStart w:id="2718" w:name="_Toc110607630"/>
      <w:bookmarkStart w:id="2719" w:name="_Toc110613594"/>
      <w:bookmarkStart w:id="2720" w:name="_Toc112409169"/>
      <w:bookmarkStart w:id="2721" w:name="_Toc112409931"/>
      <w:bookmarkStart w:id="2722" w:name="_Toc114140861"/>
      <w:bookmarkStart w:id="2723" w:name="_Toc114145441"/>
      <w:bookmarkStart w:id="2724" w:name="_Toc114145775"/>
      <w:bookmarkStart w:id="2725" w:name="_Toc114146067"/>
      <w:bookmarkStart w:id="2726" w:name="_Toc104558505"/>
      <w:bookmarkStart w:id="2727" w:name="_Toc110586363"/>
      <w:bookmarkStart w:id="2728" w:name="_Toc110586805"/>
      <w:bookmarkStart w:id="2729" w:name="_Toc110587259"/>
      <w:bookmarkStart w:id="2730" w:name="_Toc110587695"/>
      <w:bookmarkStart w:id="2731" w:name="_Toc110588137"/>
      <w:bookmarkStart w:id="2732" w:name="_Toc110589110"/>
      <w:bookmarkStart w:id="2733" w:name="_Toc110589547"/>
      <w:bookmarkStart w:id="2734" w:name="_Toc110595553"/>
      <w:bookmarkStart w:id="2735" w:name="_Toc110595958"/>
      <w:bookmarkStart w:id="2736" w:name="_Toc110601164"/>
      <w:bookmarkStart w:id="2737" w:name="_Toc110607631"/>
      <w:bookmarkStart w:id="2738" w:name="_Toc110613595"/>
      <w:bookmarkStart w:id="2739" w:name="_Toc112409170"/>
      <w:bookmarkStart w:id="2740" w:name="_Toc112409932"/>
      <w:bookmarkStart w:id="2741" w:name="_Toc114140862"/>
      <w:bookmarkStart w:id="2742" w:name="_Toc114145442"/>
      <w:bookmarkStart w:id="2743" w:name="_Toc114145776"/>
      <w:bookmarkStart w:id="2744" w:name="_Toc114146068"/>
      <w:bookmarkStart w:id="2745" w:name="_Toc104558506"/>
      <w:bookmarkStart w:id="2746" w:name="_Toc110586364"/>
      <w:bookmarkStart w:id="2747" w:name="_Toc110586806"/>
      <w:bookmarkStart w:id="2748" w:name="_Toc110587260"/>
      <w:bookmarkStart w:id="2749" w:name="_Toc110587696"/>
      <w:bookmarkStart w:id="2750" w:name="_Toc110588138"/>
      <w:bookmarkStart w:id="2751" w:name="_Toc110589111"/>
      <w:bookmarkStart w:id="2752" w:name="_Toc110589548"/>
      <w:bookmarkStart w:id="2753" w:name="_Toc110595554"/>
      <w:bookmarkStart w:id="2754" w:name="_Toc110595959"/>
      <w:bookmarkStart w:id="2755" w:name="_Toc110601165"/>
      <w:bookmarkStart w:id="2756" w:name="_Toc110607632"/>
      <w:bookmarkStart w:id="2757" w:name="_Toc110613596"/>
      <w:bookmarkStart w:id="2758" w:name="_Toc112409171"/>
      <w:bookmarkStart w:id="2759" w:name="_Toc112409933"/>
      <w:bookmarkStart w:id="2760" w:name="_Toc114140863"/>
      <w:bookmarkStart w:id="2761" w:name="_Toc114145443"/>
      <w:bookmarkStart w:id="2762" w:name="_Toc114145777"/>
      <w:bookmarkStart w:id="2763" w:name="_Toc114146069"/>
      <w:bookmarkStart w:id="2764" w:name="_Toc104558507"/>
      <w:bookmarkStart w:id="2765" w:name="_Toc110586365"/>
      <w:bookmarkStart w:id="2766" w:name="_Toc110586807"/>
      <w:bookmarkStart w:id="2767" w:name="_Toc110587261"/>
      <w:bookmarkStart w:id="2768" w:name="_Toc110587697"/>
      <w:bookmarkStart w:id="2769" w:name="_Toc110588139"/>
      <w:bookmarkStart w:id="2770" w:name="_Toc110589112"/>
      <w:bookmarkStart w:id="2771" w:name="_Toc110589549"/>
      <w:bookmarkStart w:id="2772" w:name="_Toc110595555"/>
      <w:bookmarkStart w:id="2773" w:name="_Toc110595960"/>
      <w:bookmarkStart w:id="2774" w:name="_Toc110601166"/>
      <w:bookmarkStart w:id="2775" w:name="_Toc110607633"/>
      <w:bookmarkStart w:id="2776" w:name="_Toc110613597"/>
      <w:bookmarkStart w:id="2777" w:name="_Toc112409172"/>
      <w:bookmarkStart w:id="2778" w:name="_Toc112409934"/>
      <w:bookmarkStart w:id="2779" w:name="_Toc114140864"/>
      <w:bookmarkStart w:id="2780" w:name="_Toc114145444"/>
      <w:bookmarkStart w:id="2781" w:name="_Toc114145778"/>
      <w:bookmarkStart w:id="2782" w:name="_Toc114146070"/>
      <w:bookmarkStart w:id="2783" w:name="_Toc104558508"/>
      <w:bookmarkStart w:id="2784" w:name="_Toc110586366"/>
      <w:bookmarkStart w:id="2785" w:name="_Toc110586808"/>
      <w:bookmarkStart w:id="2786" w:name="_Toc110587262"/>
      <w:bookmarkStart w:id="2787" w:name="_Toc110587698"/>
      <w:bookmarkStart w:id="2788" w:name="_Toc110588140"/>
      <w:bookmarkStart w:id="2789" w:name="_Toc110589113"/>
      <w:bookmarkStart w:id="2790" w:name="_Toc110589550"/>
      <w:bookmarkStart w:id="2791" w:name="_Toc110595556"/>
      <w:bookmarkStart w:id="2792" w:name="_Toc110595961"/>
      <w:bookmarkStart w:id="2793" w:name="_Toc110601167"/>
      <w:bookmarkStart w:id="2794" w:name="_Toc110607634"/>
      <w:bookmarkStart w:id="2795" w:name="_Toc110613598"/>
      <w:bookmarkStart w:id="2796" w:name="_Toc112409173"/>
      <w:bookmarkStart w:id="2797" w:name="_Toc112409935"/>
      <w:bookmarkStart w:id="2798" w:name="_Toc114140865"/>
      <w:bookmarkStart w:id="2799" w:name="_Toc114145445"/>
      <w:bookmarkStart w:id="2800" w:name="_Toc114145779"/>
      <w:bookmarkStart w:id="2801" w:name="_Toc114146071"/>
      <w:bookmarkStart w:id="2802" w:name="_Toc104558509"/>
      <w:bookmarkStart w:id="2803" w:name="_Toc110586367"/>
      <w:bookmarkStart w:id="2804" w:name="_Toc110586809"/>
      <w:bookmarkStart w:id="2805" w:name="_Toc110587263"/>
      <w:bookmarkStart w:id="2806" w:name="_Toc110587699"/>
      <w:bookmarkStart w:id="2807" w:name="_Toc110588141"/>
      <w:bookmarkStart w:id="2808" w:name="_Toc110589114"/>
      <w:bookmarkStart w:id="2809" w:name="_Toc110589551"/>
      <w:bookmarkStart w:id="2810" w:name="_Toc110595557"/>
      <w:bookmarkStart w:id="2811" w:name="_Toc110595962"/>
      <w:bookmarkStart w:id="2812" w:name="_Toc110601168"/>
      <w:bookmarkStart w:id="2813" w:name="_Toc110607635"/>
      <w:bookmarkStart w:id="2814" w:name="_Toc110613599"/>
      <w:bookmarkStart w:id="2815" w:name="_Toc112409174"/>
      <w:bookmarkStart w:id="2816" w:name="_Toc112409936"/>
      <w:bookmarkStart w:id="2817" w:name="_Toc114140866"/>
      <w:bookmarkStart w:id="2818" w:name="_Toc114145446"/>
      <w:bookmarkStart w:id="2819" w:name="_Toc114145780"/>
      <w:bookmarkStart w:id="2820" w:name="_Toc114146072"/>
      <w:bookmarkStart w:id="2821" w:name="_Toc104558510"/>
      <w:bookmarkStart w:id="2822" w:name="_Toc110586368"/>
      <w:bookmarkStart w:id="2823" w:name="_Toc110586810"/>
      <w:bookmarkStart w:id="2824" w:name="_Toc110587264"/>
      <w:bookmarkStart w:id="2825" w:name="_Toc110587700"/>
      <w:bookmarkStart w:id="2826" w:name="_Toc110588142"/>
      <w:bookmarkStart w:id="2827" w:name="_Toc110589115"/>
      <w:bookmarkStart w:id="2828" w:name="_Toc110589552"/>
      <w:bookmarkStart w:id="2829" w:name="_Toc110595558"/>
      <w:bookmarkStart w:id="2830" w:name="_Toc110595963"/>
      <w:bookmarkStart w:id="2831" w:name="_Toc110601169"/>
      <w:bookmarkStart w:id="2832" w:name="_Toc110607636"/>
      <w:bookmarkStart w:id="2833" w:name="_Toc110613600"/>
      <w:bookmarkStart w:id="2834" w:name="_Toc112409175"/>
      <w:bookmarkStart w:id="2835" w:name="_Toc112409937"/>
      <w:bookmarkStart w:id="2836" w:name="_Toc114140867"/>
      <w:bookmarkStart w:id="2837" w:name="_Toc114145447"/>
      <w:bookmarkStart w:id="2838" w:name="_Toc114145781"/>
      <w:bookmarkStart w:id="2839" w:name="_Toc114146073"/>
      <w:bookmarkStart w:id="2840" w:name="_Toc104558511"/>
      <w:bookmarkStart w:id="2841" w:name="_Toc110586369"/>
      <w:bookmarkStart w:id="2842" w:name="_Toc110586811"/>
      <w:bookmarkStart w:id="2843" w:name="_Toc110587265"/>
      <w:bookmarkStart w:id="2844" w:name="_Toc110587701"/>
      <w:bookmarkStart w:id="2845" w:name="_Toc110588143"/>
      <w:bookmarkStart w:id="2846" w:name="_Toc110589116"/>
      <w:bookmarkStart w:id="2847" w:name="_Toc110589553"/>
      <w:bookmarkStart w:id="2848" w:name="_Toc110595559"/>
      <w:bookmarkStart w:id="2849" w:name="_Toc110595964"/>
      <w:bookmarkStart w:id="2850" w:name="_Toc110601170"/>
      <w:bookmarkStart w:id="2851" w:name="_Toc110607637"/>
      <w:bookmarkStart w:id="2852" w:name="_Toc110613601"/>
      <w:bookmarkStart w:id="2853" w:name="_Toc112409176"/>
      <w:bookmarkStart w:id="2854" w:name="_Toc112409938"/>
      <w:bookmarkStart w:id="2855" w:name="_Toc114140868"/>
      <w:bookmarkStart w:id="2856" w:name="_Toc114145448"/>
      <w:bookmarkStart w:id="2857" w:name="_Toc114145782"/>
      <w:bookmarkStart w:id="2858" w:name="_Toc114146074"/>
      <w:bookmarkStart w:id="2859" w:name="_Toc104558512"/>
      <w:bookmarkStart w:id="2860" w:name="_Toc110586370"/>
      <w:bookmarkStart w:id="2861" w:name="_Toc110586812"/>
      <w:bookmarkStart w:id="2862" w:name="_Toc110587266"/>
      <w:bookmarkStart w:id="2863" w:name="_Toc110587702"/>
      <w:bookmarkStart w:id="2864" w:name="_Toc110588144"/>
      <w:bookmarkStart w:id="2865" w:name="_Toc110589117"/>
      <w:bookmarkStart w:id="2866" w:name="_Toc110589554"/>
      <w:bookmarkStart w:id="2867" w:name="_Toc110595560"/>
      <w:bookmarkStart w:id="2868" w:name="_Toc110595965"/>
      <w:bookmarkStart w:id="2869" w:name="_Toc110601171"/>
      <w:bookmarkStart w:id="2870" w:name="_Toc110607638"/>
      <w:bookmarkStart w:id="2871" w:name="_Toc110613602"/>
      <w:bookmarkStart w:id="2872" w:name="_Toc112409177"/>
      <w:bookmarkStart w:id="2873" w:name="_Toc112409939"/>
      <w:bookmarkStart w:id="2874" w:name="_Toc114140869"/>
      <w:bookmarkStart w:id="2875" w:name="_Toc114145449"/>
      <w:bookmarkStart w:id="2876" w:name="_Toc114145783"/>
      <w:bookmarkStart w:id="2877" w:name="_Toc114146075"/>
      <w:bookmarkStart w:id="2878" w:name="_Toc104558513"/>
      <w:bookmarkStart w:id="2879" w:name="_Toc110586371"/>
      <w:bookmarkStart w:id="2880" w:name="_Toc110586813"/>
      <w:bookmarkStart w:id="2881" w:name="_Toc110587267"/>
      <w:bookmarkStart w:id="2882" w:name="_Toc110587703"/>
      <w:bookmarkStart w:id="2883" w:name="_Toc110588145"/>
      <w:bookmarkStart w:id="2884" w:name="_Toc110589118"/>
      <w:bookmarkStart w:id="2885" w:name="_Toc110589555"/>
      <w:bookmarkStart w:id="2886" w:name="_Toc110595561"/>
      <w:bookmarkStart w:id="2887" w:name="_Toc110595966"/>
      <w:bookmarkStart w:id="2888" w:name="_Toc110601172"/>
      <w:bookmarkStart w:id="2889" w:name="_Toc110607639"/>
      <w:bookmarkStart w:id="2890" w:name="_Toc110613603"/>
      <w:bookmarkStart w:id="2891" w:name="_Toc112409178"/>
      <w:bookmarkStart w:id="2892" w:name="_Toc112409940"/>
      <w:bookmarkStart w:id="2893" w:name="_Toc114140870"/>
      <w:bookmarkStart w:id="2894" w:name="_Toc114145450"/>
      <w:bookmarkStart w:id="2895" w:name="_Toc114145784"/>
      <w:bookmarkStart w:id="2896" w:name="_Toc114146076"/>
      <w:bookmarkStart w:id="2897" w:name="_Toc104558514"/>
      <w:bookmarkStart w:id="2898" w:name="_Toc110586372"/>
      <w:bookmarkStart w:id="2899" w:name="_Toc110586814"/>
      <w:bookmarkStart w:id="2900" w:name="_Toc110587268"/>
      <w:bookmarkStart w:id="2901" w:name="_Toc110587704"/>
      <w:bookmarkStart w:id="2902" w:name="_Toc110588146"/>
      <w:bookmarkStart w:id="2903" w:name="_Toc110589119"/>
      <w:bookmarkStart w:id="2904" w:name="_Toc110589556"/>
      <w:bookmarkStart w:id="2905" w:name="_Toc110595562"/>
      <w:bookmarkStart w:id="2906" w:name="_Toc110595967"/>
      <w:bookmarkStart w:id="2907" w:name="_Toc110601173"/>
      <w:bookmarkStart w:id="2908" w:name="_Toc110607640"/>
      <w:bookmarkStart w:id="2909" w:name="_Toc110613604"/>
      <w:bookmarkStart w:id="2910" w:name="_Toc112409179"/>
      <w:bookmarkStart w:id="2911" w:name="_Toc112409941"/>
      <w:bookmarkStart w:id="2912" w:name="_Toc114140871"/>
      <w:bookmarkStart w:id="2913" w:name="_Toc114145451"/>
      <w:bookmarkStart w:id="2914" w:name="_Toc114145785"/>
      <w:bookmarkStart w:id="2915" w:name="_Toc114146077"/>
      <w:bookmarkStart w:id="2916" w:name="_Toc104558515"/>
      <w:bookmarkStart w:id="2917" w:name="_Toc110586373"/>
      <w:bookmarkStart w:id="2918" w:name="_Toc110586815"/>
      <w:bookmarkStart w:id="2919" w:name="_Toc110587269"/>
      <w:bookmarkStart w:id="2920" w:name="_Toc110587705"/>
      <w:bookmarkStart w:id="2921" w:name="_Toc110588147"/>
      <w:bookmarkStart w:id="2922" w:name="_Toc110589120"/>
      <w:bookmarkStart w:id="2923" w:name="_Toc110589557"/>
      <w:bookmarkStart w:id="2924" w:name="_Toc110595563"/>
      <w:bookmarkStart w:id="2925" w:name="_Toc110595968"/>
      <w:bookmarkStart w:id="2926" w:name="_Toc110601174"/>
      <w:bookmarkStart w:id="2927" w:name="_Toc110607641"/>
      <w:bookmarkStart w:id="2928" w:name="_Toc110613605"/>
      <w:bookmarkStart w:id="2929" w:name="_Toc112409180"/>
      <w:bookmarkStart w:id="2930" w:name="_Toc112409942"/>
      <w:bookmarkStart w:id="2931" w:name="_Toc114140872"/>
      <w:bookmarkStart w:id="2932" w:name="_Toc114145452"/>
      <w:bookmarkStart w:id="2933" w:name="_Toc114145786"/>
      <w:bookmarkStart w:id="2934" w:name="_Toc114146078"/>
      <w:bookmarkStart w:id="2935" w:name="_Toc104558516"/>
      <w:bookmarkStart w:id="2936" w:name="_Toc110586374"/>
      <w:bookmarkStart w:id="2937" w:name="_Toc110586816"/>
      <w:bookmarkStart w:id="2938" w:name="_Toc110587270"/>
      <w:bookmarkStart w:id="2939" w:name="_Toc110587706"/>
      <w:bookmarkStart w:id="2940" w:name="_Toc110588148"/>
      <w:bookmarkStart w:id="2941" w:name="_Toc110589121"/>
      <w:bookmarkStart w:id="2942" w:name="_Toc110589558"/>
      <w:bookmarkStart w:id="2943" w:name="_Toc110595564"/>
      <w:bookmarkStart w:id="2944" w:name="_Toc110595969"/>
      <w:bookmarkStart w:id="2945" w:name="_Toc110601175"/>
      <w:bookmarkStart w:id="2946" w:name="_Toc110607642"/>
      <w:bookmarkStart w:id="2947" w:name="_Toc110613606"/>
      <w:bookmarkStart w:id="2948" w:name="_Toc112409181"/>
      <w:bookmarkStart w:id="2949" w:name="_Toc112409943"/>
      <w:bookmarkStart w:id="2950" w:name="_Toc114140873"/>
      <w:bookmarkStart w:id="2951" w:name="_Toc114145453"/>
      <w:bookmarkStart w:id="2952" w:name="_Toc114145787"/>
      <w:bookmarkStart w:id="2953" w:name="_Toc114146079"/>
      <w:bookmarkStart w:id="2954" w:name="_Modified_LJF_processes"/>
      <w:bookmarkStart w:id="2955" w:name="_Toc104558517"/>
      <w:bookmarkStart w:id="2956" w:name="_Toc110586375"/>
      <w:bookmarkStart w:id="2957" w:name="_Toc110586817"/>
      <w:bookmarkStart w:id="2958" w:name="_Toc110587271"/>
      <w:bookmarkStart w:id="2959" w:name="_Toc110587707"/>
      <w:bookmarkStart w:id="2960" w:name="_Toc110588149"/>
      <w:bookmarkStart w:id="2961" w:name="_Toc110589122"/>
      <w:bookmarkStart w:id="2962" w:name="_Toc110589559"/>
      <w:bookmarkStart w:id="2963" w:name="_Toc110595565"/>
      <w:bookmarkStart w:id="2964" w:name="_Toc110595970"/>
      <w:bookmarkStart w:id="2965" w:name="_Toc110601176"/>
      <w:bookmarkStart w:id="2966" w:name="_Toc110607643"/>
      <w:bookmarkStart w:id="2967" w:name="_Toc110613607"/>
      <w:bookmarkStart w:id="2968" w:name="_Toc112409182"/>
      <w:bookmarkStart w:id="2969" w:name="_Toc112409944"/>
      <w:bookmarkStart w:id="2970" w:name="_Toc114140874"/>
      <w:bookmarkStart w:id="2971" w:name="_Toc114145454"/>
      <w:bookmarkStart w:id="2972" w:name="_Toc114145788"/>
      <w:bookmarkStart w:id="2973" w:name="_Toc114146080"/>
      <w:bookmarkStart w:id="2974" w:name="_Toc104558518"/>
      <w:bookmarkStart w:id="2975" w:name="_Toc110586376"/>
      <w:bookmarkStart w:id="2976" w:name="_Toc110586818"/>
      <w:bookmarkStart w:id="2977" w:name="_Toc110587272"/>
      <w:bookmarkStart w:id="2978" w:name="_Toc110587708"/>
      <w:bookmarkStart w:id="2979" w:name="_Toc110588150"/>
      <w:bookmarkStart w:id="2980" w:name="_Toc110589123"/>
      <w:bookmarkStart w:id="2981" w:name="_Toc110589560"/>
      <w:bookmarkStart w:id="2982" w:name="_Toc110595566"/>
      <w:bookmarkStart w:id="2983" w:name="_Toc110595971"/>
      <w:bookmarkStart w:id="2984" w:name="_Toc110601177"/>
      <w:bookmarkStart w:id="2985" w:name="_Toc110607644"/>
      <w:bookmarkStart w:id="2986" w:name="_Toc110613608"/>
      <w:bookmarkStart w:id="2987" w:name="_Toc112409183"/>
      <w:bookmarkStart w:id="2988" w:name="_Toc112409945"/>
      <w:bookmarkStart w:id="2989" w:name="_Toc114140875"/>
      <w:bookmarkStart w:id="2990" w:name="_Toc114145455"/>
      <w:bookmarkStart w:id="2991" w:name="_Toc114145789"/>
      <w:bookmarkStart w:id="2992" w:name="_Toc114146081"/>
      <w:bookmarkStart w:id="2993" w:name="_Toc104558519"/>
      <w:bookmarkStart w:id="2994" w:name="_Toc110586377"/>
      <w:bookmarkStart w:id="2995" w:name="_Toc110586819"/>
      <w:bookmarkStart w:id="2996" w:name="_Toc110587273"/>
      <w:bookmarkStart w:id="2997" w:name="_Toc110587709"/>
      <w:bookmarkStart w:id="2998" w:name="_Toc110588151"/>
      <w:bookmarkStart w:id="2999" w:name="_Toc110589124"/>
      <w:bookmarkStart w:id="3000" w:name="_Toc110589561"/>
      <w:bookmarkStart w:id="3001" w:name="_Toc110595567"/>
      <w:bookmarkStart w:id="3002" w:name="_Toc110595972"/>
      <w:bookmarkStart w:id="3003" w:name="_Toc110601178"/>
      <w:bookmarkStart w:id="3004" w:name="_Toc110607645"/>
      <w:bookmarkStart w:id="3005" w:name="_Toc110613609"/>
      <w:bookmarkStart w:id="3006" w:name="_Toc112409184"/>
      <w:bookmarkStart w:id="3007" w:name="_Toc112409946"/>
      <w:bookmarkStart w:id="3008" w:name="_Toc114140876"/>
      <w:bookmarkStart w:id="3009" w:name="_Toc114145456"/>
      <w:bookmarkStart w:id="3010" w:name="_Toc114145790"/>
      <w:bookmarkStart w:id="3011" w:name="_Toc114146082"/>
      <w:bookmarkStart w:id="3012" w:name="_Toc104558520"/>
      <w:bookmarkStart w:id="3013" w:name="_Toc110586378"/>
      <w:bookmarkStart w:id="3014" w:name="_Toc110586820"/>
      <w:bookmarkStart w:id="3015" w:name="_Toc110587274"/>
      <w:bookmarkStart w:id="3016" w:name="_Toc110587710"/>
      <w:bookmarkStart w:id="3017" w:name="_Toc110588152"/>
      <w:bookmarkStart w:id="3018" w:name="_Toc110589125"/>
      <w:bookmarkStart w:id="3019" w:name="_Toc110589562"/>
      <w:bookmarkStart w:id="3020" w:name="_Toc110595568"/>
      <w:bookmarkStart w:id="3021" w:name="_Toc110595973"/>
      <w:bookmarkStart w:id="3022" w:name="_Toc110601179"/>
      <w:bookmarkStart w:id="3023" w:name="_Toc110607646"/>
      <w:bookmarkStart w:id="3024" w:name="_Toc110613610"/>
      <w:bookmarkStart w:id="3025" w:name="_Toc112409185"/>
      <w:bookmarkStart w:id="3026" w:name="_Toc112409947"/>
      <w:bookmarkStart w:id="3027" w:name="_Toc114140877"/>
      <w:bookmarkStart w:id="3028" w:name="_Toc114145457"/>
      <w:bookmarkStart w:id="3029" w:name="_Toc114145791"/>
      <w:bookmarkStart w:id="3030" w:name="_Toc114146083"/>
      <w:bookmarkStart w:id="3031" w:name="_Toc104558521"/>
      <w:bookmarkStart w:id="3032" w:name="_Toc110586379"/>
      <w:bookmarkStart w:id="3033" w:name="_Toc110586821"/>
      <w:bookmarkStart w:id="3034" w:name="_Toc110587275"/>
      <w:bookmarkStart w:id="3035" w:name="_Toc110587711"/>
      <w:bookmarkStart w:id="3036" w:name="_Toc110588153"/>
      <w:bookmarkStart w:id="3037" w:name="_Toc110589126"/>
      <w:bookmarkStart w:id="3038" w:name="_Toc110589563"/>
      <w:bookmarkStart w:id="3039" w:name="_Toc110595569"/>
      <w:bookmarkStart w:id="3040" w:name="_Toc110595974"/>
      <w:bookmarkStart w:id="3041" w:name="_Toc110601180"/>
      <w:bookmarkStart w:id="3042" w:name="_Toc110607647"/>
      <w:bookmarkStart w:id="3043" w:name="_Toc110613611"/>
      <w:bookmarkStart w:id="3044" w:name="_Toc112409186"/>
      <w:bookmarkStart w:id="3045" w:name="_Toc112409948"/>
      <w:bookmarkStart w:id="3046" w:name="_Toc114140878"/>
      <w:bookmarkStart w:id="3047" w:name="_Toc114145458"/>
      <w:bookmarkStart w:id="3048" w:name="_Toc114145792"/>
      <w:bookmarkStart w:id="3049" w:name="_Toc114146084"/>
      <w:bookmarkStart w:id="3050" w:name="_Toc104558522"/>
      <w:bookmarkStart w:id="3051" w:name="_Toc110586380"/>
      <w:bookmarkStart w:id="3052" w:name="_Toc110586822"/>
      <w:bookmarkStart w:id="3053" w:name="_Toc110587276"/>
      <w:bookmarkStart w:id="3054" w:name="_Toc110587712"/>
      <w:bookmarkStart w:id="3055" w:name="_Toc110588154"/>
      <w:bookmarkStart w:id="3056" w:name="_Toc110589127"/>
      <w:bookmarkStart w:id="3057" w:name="_Toc110589564"/>
      <w:bookmarkStart w:id="3058" w:name="_Toc110595570"/>
      <w:bookmarkStart w:id="3059" w:name="_Toc110595975"/>
      <w:bookmarkStart w:id="3060" w:name="_Toc110601181"/>
      <w:bookmarkStart w:id="3061" w:name="_Toc110607648"/>
      <w:bookmarkStart w:id="3062" w:name="_Toc110613612"/>
      <w:bookmarkStart w:id="3063" w:name="_Toc112409187"/>
      <w:bookmarkStart w:id="3064" w:name="_Toc112409949"/>
      <w:bookmarkStart w:id="3065" w:name="_Toc114140879"/>
      <w:bookmarkStart w:id="3066" w:name="_Toc114145459"/>
      <w:bookmarkStart w:id="3067" w:name="_Toc114145793"/>
      <w:bookmarkStart w:id="3068" w:name="_Toc114146085"/>
      <w:bookmarkStart w:id="3069" w:name="_Toc104558523"/>
      <w:bookmarkStart w:id="3070" w:name="_Toc110586381"/>
      <w:bookmarkStart w:id="3071" w:name="_Toc110586823"/>
      <w:bookmarkStart w:id="3072" w:name="_Toc110587277"/>
      <w:bookmarkStart w:id="3073" w:name="_Toc110587713"/>
      <w:bookmarkStart w:id="3074" w:name="_Toc110588155"/>
      <w:bookmarkStart w:id="3075" w:name="_Toc110589128"/>
      <w:bookmarkStart w:id="3076" w:name="_Toc110589565"/>
      <w:bookmarkStart w:id="3077" w:name="_Toc110595571"/>
      <w:bookmarkStart w:id="3078" w:name="_Toc110595976"/>
      <w:bookmarkStart w:id="3079" w:name="_Toc110601182"/>
      <w:bookmarkStart w:id="3080" w:name="_Toc110607649"/>
      <w:bookmarkStart w:id="3081" w:name="_Toc110613613"/>
      <w:bookmarkStart w:id="3082" w:name="_Toc112409188"/>
      <w:bookmarkStart w:id="3083" w:name="_Toc112409950"/>
      <w:bookmarkStart w:id="3084" w:name="_Toc114140880"/>
      <w:bookmarkStart w:id="3085" w:name="_Toc114145460"/>
      <w:bookmarkStart w:id="3086" w:name="_Toc114145794"/>
      <w:bookmarkStart w:id="3087" w:name="_Toc114146086"/>
      <w:bookmarkStart w:id="3088" w:name="_Toc104558524"/>
      <w:bookmarkStart w:id="3089" w:name="_Toc110586382"/>
      <w:bookmarkStart w:id="3090" w:name="_Toc110586824"/>
      <w:bookmarkStart w:id="3091" w:name="_Toc110587278"/>
      <w:bookmarkStart w:id="3092" w:name="_Toc110587714"/>
      <w:bookmarkStart w:id="3093" w:name="_Toc110588156"/>
      <w:bookmarkStart w:id="3094" w:name="_Toc110589129"/>
      <w:bookmarkStart w:id="3095" w:name="_Toc110589566"/>
      <w:bookmarkStart w:id="3096" w:name="_Toc110595572"/>
      <w:bookmarkStart w:id="3097" w:name="_Toc110595977"/>
      <w:bookmarkStart w:id="3098" w:name="_Toc110601183"/>
      <w:bookmarkStart w:id="3099" w:name="_Toc110607650"/>
      <w:bookmarkStart w:id="3100" w:name="_Toc110613614"/>
      <w:bookmarkStart w:id="3101" w:name="_Toc112409189"/>
      <w:bookmarkStart w:id="3102" w:name="_Toc112409951"/>
      <w:bookmarkStart w:id="3103" w:name="_Toc114140881"/>
      <w:bookmarkStart w:id="3104" w:name="_Toc114145461"/>
      <w:bookmarkStart w:id="3105" w:name="_Toc114145795"/>
      <w:bookmarkStart w:id="3106" w:name="_Toc114146087"/>
      <w:bookmarkStart w:id="3107" w:name="_Toc104558525"/>
      <w:bookmarkStart w:id="3108" w:name="_Toc110586383"/>
      <w:bookmarkStart w:id="3109" w:name="_Toc110586825"/>
      <w:bookmarkStart w:id="3110" w:name="_Toc110587279"/>
      <w:bookmarkStart w:id="3111" w:name="_Toc110587715"/>
      <w:bookmarkStart w:id="3112" w:name="_Toc110588157"/>
      <w:bookmarkStart w:id="3113" w:name="_Toc110589130"/>
      <w:bookmarkStart w:id="3114" w:name="_Toc110589567"/>
      <w:bookmarkStart w:id="3115" w:name="_Toc110595573"/>
      <w:bookmarkStart w:id="3116" w:name="_Toc110595978"/>
      <w:bookmarkStart w:id="3117" w:name="_Toc110601184"/>
      <w:bookmarkStart w:id="3118" w:name="_Toc110607651"/>
      <w:bookmarkStart w:id="3119" w:name="_Toc110613615"/>
      <w:bookmarkStart w:id="3120" w:name="_Toc112409190"/>
      <w:bookmarkStart w:id="3121" w:name="_Toc112409952"/>
      <w:bookmarkStart w:id="3122" w:name="_Toc114140882"/>
      <w:bookmarkStart w:id="3123" w:name="_Toc114145462"/>
      <w:bookmarkStart w:id="3124" w:name="_Toc114145796"/>
      <w:bookmarkStart w:id="3125" w:name="_Toc114146088"/>
      <w:bookmarkStart w:id="3126" w:name="_Toc104558526"/>
      <w:bookmarkStart w:id="3127" w:name="_Toc110586384"/>
      <w:bookmarkStart w:id="3128" w:name="_Toc110586826"/>
      <w:bookmarkStart w:id="3129" w:name="_Toc110587280"/>
      <w:bookmarkStart w:id="3130" w:name="_Toc110587716"/>
      <w:bookmarkStart w:id="3131" w:name="_Toc110588158"/>
      <w:bookmarkStart w:id="3132" w:name="_Toc110589131"/>
      <w:bookmarkStart w:id="3133" w:name="_Toc110589568"/>
      <w:bookmarkStart w:id="3134" w:name="_Toc110595574"/>
      <w:bookmarkStart w:id="3135" w:name="_Toc110595979"/>
      <w:bookmarkStart w:id="3136" w:name="_Toc110601185"/>
      <w:bookmarkStart w:id="3137" w:name="_Toc110607652"/>
      <w:bookmarkStart w:id="3138" w:name="_Toc110613616"/>
      <w:bookmarkStart w:id="3139" w:name="_Toc112409191"/>
      <w:bookmarkStart w:id="3140" w:name="_Toc112409953"/>
      <w:bookmarkStart w:id="3141" w:name="_Toc114140883"/>
      <w:bookmarkStart w:id="3142" w:name="_Toc114145463"/>
      <w:bookmarkStart w:id="3143" w:name="_Toc114145797"/>
      <w:bookmarkStart w:id="3144" w:name="_Toc114146089"/>
      <w:bookmarkStart w:id="3145" w:name="_Toc104558527"/>
      <w:bookmarkStart w:id="3146" w:name="_Toc110586385"/>
      <w:bookmarkStart w:id="3147" w:name="_Toc110586827"/>
      <w:bookmarkStart w:id="3148" w:name="_Toc110587281"/>
      <w:bookmarkStart w:id="3149" w:name="_Toc110587717"/>
      <w:bookmarkStart w:id="3150" w:name="_Toc110588159"/>
      <w:bookmarkStart w:id="3151" w:name="_Toc110589132"/>
      <w:bookmarkStart w:id="3152" w:name="_Toc110589569"/>
      <w:bookmarkStart w:id="3153" w:name="_Toc110595575"/>
      <w:bookmarkStart w:id="3154" w:name="_Toc110595980"/>
      <w:bookmarkStart w:id="3155" w:name="_Toc110601186"/>
      <w:bookmarkStart w:id="3156" w:name="_Toc110607653"/>
      <w:bookmarkStart w:id="3157" w:name="_Toc110613617"/>
      <w:bookmarkStart w:id="3158" w:name="_Toc112409192"/>
      <w:bookmarkStart w:id="3159" w:name="_Toc112409954"/>
      <w:bookmarkStart w:id="3160" w:name="_Toc114140884"/>
      <w:bookmarkStart w:id="3161" w:name="_Toc114145464"/>
      <w:bookmarkStart w:id="3162" w:name="_Toc114145798"/>
      <w:bookmarkStart w:id="3163" w:name="_Toc114146090"/>
      <w:bookmarkStart w:id="3164" w:name="_Toc104558528"/>
      <w:bookmarkStart w:id="3165" w:name="_Toc110586386"/>
      <w:bookmarkStart w:id="3166" w:name="_Toc110586828"/>
      <w:bookmarkStart w:id="3167" w:name="_Toc110587282"/>
      <w:bookmarkStart w:id="3168" w:name="_Toc110587718"/>
      <w:bookmarkStart w:id="3169" w:name="_Toc110588160"/>
      <w:bookmarkStart w:id="3170" w:name="_Toc110589133"/>
      <w:bookmarkStart w:id="3171" w:name="_Toc110589570"/>
      <w:bookmarkStart w:id="3172" w:name="_Toc110595576"/>
      <w:bookmarkStart w:id="3173" w:name="_Toc110595981"/>
      <w:bookmarkStart w:id="3174" w:name="_Toc110601187"/>
      <w:bookmarkStart w:id="3175" w:name="_Toc110607654"/>
      <w:bookmarkStart w:id="3176" w:name="_Toc110613618"/>
      <w:bookmarkStart w:id="3177" w:name="_Toc112409193"/>
      <w:bookmarkStart w:id="3178" w:name="_Toc112409955"/>
      <w:bookmarkStart w:id="3179" w:name="_Toc114140885"/>
      <w:bookmarkStart w:id="3180" w:name="_Toc114145465"/>
      <w:bookmarkStart w:id="3181" w:name="_Toc114145799"/>
      <w:bookmarkStart w:id="3182" w:name="_Toc114146091"/>
      <w:bookmarkStart w:id="3183" w:name="_Toc104558529"/>
      <w:bookmarkStart w:id="3184" w:name="_Toc110586387"/>
      <w:bookmarkStart w:id="3185" w:name="_Toc110586829"/>
      <w:bookmarkStart w:id="3186" w:name="_Toc110587283"/>
      <w:bookmarkStart w:id="3187" w:name="_Toc110587719"/>
      <w:bookmarkStart w:id="3188" w:name="_Toc110588161"/>
      <w:bookmarkStart w:id="3189" w:name="_Toc110589134"/>
      <w:bookmarkStart w:id="3190" w:name="_Toc110589571"/>
      <w:bookmarkStart w:id="3191" w:name="_Toc110595577"/>
      <w:bookmarkStart w:id="3192" w:name="_Toc110595982"/>
      <w:bookmarkStart w:id="3193" w:name="_Toc110601188"/>
      <w:bookmarkStart w:id="3194" w:name="_Toc110607655"/>
      <w:bookmarkStart w:id="3195" w:name="_Toc110613619"/>
      <w:bookmarkStart w:id="3196" w:name="_Toc112409194"/>
      <w:bookmarkStart w:id="3197" w:name="_Toc112409956"/>
      <w:bookmarkStart w:id="3198" w:name="_Toc114140886"/>
      <w:bookmarkStart w:id="3199" w:name="_Toc114145466"/>
      <w:bookmarkStart w:id="3200" w:name="_Toc114145800"/>
      <w:bookmarkStart w:id="3201" w:name="_Toc114146092"/>
      <w:bookmarkStart w:id="3202" w:name="_Toc104558530"/>
      <w:bookmarkStart w:id="3203" w:name="_Toc110586388"/>
      <w:bookmarkStart w:id="3204" w:name="_Toc110586830"/>
      <w:bookmarkStart w:id="3205" w:name="_Toc110587284"/>
      <w:bookmarkStart w:id="3206" w:name="_Toc110587720"/>
      <w:bookmarkStart w:id="3207" w:name="_Toc110588162"/>
      <w:bookmarkStart w:id="3208" w:name="_Toc110589135"/>
      <w:bookmarkStart w:id="3209" w:name="_Toc110589572"/>
      <w:bookmarkStart w:id="3210" w:name="_Toc110595578"/>
      <w:bookmarkStart w:id="3211" w:name="_Toc110595983"/>
      <w:bookmarkStart w:id="3212" w:name="_Toc110601189"/>
      <w:bookmarkStart w:id="3213" w:name="_Toc110607656"/>
      <w:bookmarkStart w:id="3214" w:name="_Toc110613620"/>
      <w:bookmarkStart w:id="3215" w:name="_Toc112409195"/>
      <w:bookmarkStart w:id="3216" w:name="_Toc112409957"/>
      <w:bookmarkStart w:id="3217" w:name="_Toc114140887"/>
      <w:bookmarkStart w:id="3218" w:name="_Toc114145467"/>
      <w:bookmarkStart w:id="3219" w:name="_Toc114145801"/>
      <w:bookmarkStart w:id="3220" w:name="_Toc114146093"/>
      <w:bookmarkStart w:id="3221" w:name="_Toc104558531"/>
      <w:bookmarkStart w:id="3222" w:name="_Toc110586389"/>
      <w:bookmarkStart w:id="3223" w:name="_Toc110586831"/>
      <w:bookmarkStart w:id="3224" w:name="_Toc110587285"/>
      <w:bookmarkStart w:id="3225" w:name="_Toc110587721"/>
      <w:bookmarkStart w:id="3226" w:name="_Toc110588163"/>
      <w:bookmarkStart w:id="3227" w:name="_Toc110589136"/>
      <w:bookmarkStart w:id="3228" w:name="_Toc110589573"/>
      <w:bookmarkStart w:id="3229" w:name="_Toc110595579"/>
      <w:bookmarkStart w:id="3230" w:name="_Toc110595984"/>
      <w:bookmarkStart w:id="3231" w:name="_Toc110601190"/>
      <w:bookmarkStart w:id="3232" w:name="_Toc110607657"/>
      <w:bookmarkStart w:id="3233" w:name="_Toc110613621"/>
      <w:bookmarkStart w:id="3234" w:name="_Toc112409196"/>
      <w:bookmarkStart w:id="3235" w:name="_Toc112409958"/>
      <w:bookmarkStart w:id="3236" w:name="_Toc114140888"/>
      <w:bookmarkStart w:id="3237" w:name="_Toc114145468"/>
      <w:bookmarkStart w:id="3238" w:name="_Toc114145802"/>
      <w:bookmarkStart w:id="3239" w:name="_Toc114146094"/>
      <w:bookmarkStart w:id="3240" w:name="_Toc104558532"/>
      <w:bookmarkStart w:id="3241" w:name="_Toc110586390"/>
      <w:bookmarkStart w:id="3242" w:name="_Toc110586832"/>
      <w:bookmarkStart w:id="3243" w:name="_Toc110587286"/>
      <w:bookmarkStart w:id="3244" w:name="_Toc110587722"/>
      <w:bookmarkStart w:id="3245" w:name="_Toc110588164"/>
      <w:bookmarkStart w:id="3246" w:name="_Toc110589137"/>
      <w:bookmarkStart w:id="3247" w:name="_Toc110589574"/>
      <w:bookmarkStart w:id="3248" w:name="_Toc110595580"/>
      <w:bookmarkStart w:id="3249" w:name="_Toc110595985"/>
      <w:bookmarkStart w:id="3250" w:name="_Toc110601191"/>
      <w:bookmarkStart w:id="3251" w:name="_Toc110607658"/>
      <w:bookmarkStart w:id="3252" w:name="_Toc110613622"/>
      <w:bookmarkStart w:id="3253" w:name="_Toc112409197"/>
      <w:bookmarkStart w:id="3254" w:name="_Toc112409959"/>
      <w:bookmarkStart w:id="3255" w:name="_Toc114140889"/>
      <w:bookmarkStart w:id="3256" w:name="_Toc114145469"/>
      <w:bookmarkStart w:id="3257" w:name="_Toc114145803"/>
      <w:bookmarkStart w:id="3258" w:name="_Toc114146095"/>
      <w:bookmarkStart w:id="3259" w:name="_Toc104558533"/>
      <w:bookmarkStart w:id="3260" w:name="_Toc110586391"/>
      <w:bookmarkStart w:id="3261" w:name="_Toc110586833"/>
      <w:bookmarkStart w:id="3262" w:name="_Toc110587287"/>
      <w:bookmarkStart w:id="3263" w:name="_Toc110587723"/>
      <w:bookmarkStart w:id="3264" w:name="_Toc110588165"/>
      <w:bookmarkStart w:id="3265" w:name="_Toc110589138"/>
      <w:bookmarkStart w:id="3266" w:name="_Toc110589575"/>
      <w:bookmarkStart w:id="3267" w:name="_Toc110595581"/>
      <w:bookmarkStart w:id="3268" w:name="_Toc110595986"/>
      <w:bookmarkStart w:id="3269" w:name="_Toc110601192"/>
      <w:bookmarkStart w:id="3270" w:name="_Toc110607659"/>
      <w:bookmarkStart w:id="3271" w:name="_Toc110613623"/>
      <w:bookmarkStart w:id="3272" w:name="_Toc112409198"/>
      <w:bookmarkStart w:id="3273" w:name="_Toc112409960"/>
      <w:bookmarkStart w:id="3274" w:name="_Toc114140890"/>
      <w:bookmarkStart w:id="3275" w:name="_Toc114145470"/>
      <w:bookmarkStart w:id="3276" w:name="_Toc114145804"/>
      <w:bookmarkStart w:id="3277" w:name="_Toc114146096"/>
      <w:bookmarkStart w:id="3278" w:name="_Toc104558534"/>
      <w:bookmarkStart w:id="3279" w:name="_Toc110586392"/>
      <w:bookmarkStart w:id="3280" w:name="_Toc110586834"/>
      <w:bookmarkStart w:id="3281" w:name="_Toc110587288"/>
      <w:bookmarkStart w:id="3282" w:name="_Toc110587724"/>
      <w:bookmarkStart w:id="3283" w:name="_Toc110588166"/>
      <w:bookmarkStart w:id="3284" w:name="_Toc110589139"/>
      <w:bookmarkStart w:id="3285" w:name="_Toc110589576"/>
      <w:bookmarkStart w:id="3286" w:name="_Toc110595582"/>
      <w:bookmarkStart w:id="3287" w:name="_Toc110595987"/>
      <w:bookmarkStart w:id="3288" w:name="_Toc110601193"/>
      <w:bookmarkStart w:id="3289" w:name="_Toc110607660"/>
      <w:bookmarkStart w:id="3290" w:name="_Toc110613624"/>
      <w:bookmarkStart w:id="3291" w:name="_Toc112409199"/>
      <w:bookmarkStart w:id="3292" w:name="_Toc112409961"/>
      <w:bookmarkStart w:id="3293" w:name="_Toc114140891"/>
      <w:bookmarkStart w:id="3294" w:name="_Toc114145471"/>
      <w:bookmarkStart w:id="3295" w:name="_Toc114145805"/>
      <w:bookmarkStart w:id="3296" w:name="_Toc114146097"/>
      <w:bookmarkStart w:id="3297" w:name="_Toc104558535"/>
      <w:bookmarkStart w:id="3298" w:name="_Toc110586393"/>
      <w:bookmarkStart w:id="3299" w:name="_Toc110586835"/>
      <w:bookmarkStart w:id="3300" w:name="_Toc110587289"/>
      <w:bookmarkStart w:id="3301" w:name="_Toc110587725"/>
      <w:bookmarkStart w:id="3302" w:name="_Toc110588167"/>
      <w:bookmarkStart w:id="3303" w:name="_Toc110589140"/>
      <w:bookmarkStart w:id="3304" w:name="_Toc110589577"/>
      <w:bookmarkStart w:id="3305" w:name="_Toc110595583"/>
      <w:bookmarkStart w:id="3306" w:name="_Toc110595988"/>
      <w:bookmarkStart w:id="3307" w:name="_Toc110601194"/>
      <w:bookmarkStart w:id="3308" w:name="_Toc110607661"/>
      <w:bookmarkStart w:id="3309" w:name="_Toc110613625"/>
      <w:bookmarkStart w:id="3310" w:name="_Toc112409200"/>
      <w:bookmarkStart w:id="3311" w:name="_Toc112409962"/>
      <w:bookmarkStart w:id="3312" w:name="_Toc114140892"/>
      <w:bookmarkStart w:id="3313" w:name="_Toc114145472"/>
      <w:bookmarkStart w:id="3314" w:name="_Toc114145806"/>
      <w:bookmarkStart w:id="3315" w:name="_Toc114146098"/>
      <w:bookmarkStart w:id="3316" w:name="_Local_Jobs_First"/>
      <w:bookmarkStart w:id="3317" w:name="_Toc104558536"/>
      <w:bookmarkStart w:id="3318" w:name="_Toc110586394"/>
      <w:bookmarkStart w:id="3319" w:name="_Toc110586836"/>
      <w:bookmarkStart w:id="3320" w:name="_Toc110587290"/>
      <w:bookmarkStart w:id="3321" w:name="_Toc110587726"/>
      <w:bookmarkStart w:id="3322" w:name="_Toc110588168"/>
      <w:bookmarkStart w:id="3323" w:name="_Toc110589141"/>
      <w:bookmarkStart w:id="3324" w:name="_Toc110589578"/>
      <w:bookmarkStart w:id="3325" w:name="_Toc110595584"/>
      <w:bookmarkStart w:id="3326" w:name="_Toc110595989"/>
      <w:bookmarkStart w:id="3327" w:name="_Toc110601195"/>
      <w:bookmarkStart w:id="3328" w:name="_Toc110607662"/>
      <w:bookmarkStart w:id="3329" w:name="_Toc110613626"/>
      <w:bookmarkStart w:id="3330" w:name="_Toc112409201"/>
      <w:bookmarkStart w:id="3331" w:name="_Toc112409963"/>
      <w:bookmarkStart w:id="3332" w:name="_Toc114140893"/>
      <w:bookmarkStart w:id="3333" w:name="_Toc114145473"/>
      <w:bookmarkStart w:id="3334" w:name="_Toc114145807"/>
      <w:bookmarkStart w:id="3335" w:name="_Toc114146099"/>
      <w:bookmarkStart w:id="3336" w:name="_Toc104558537"/>
      <w:bookmarkStart w:id="3337" w:name="_Toc110586395"/>
      <w:bookmarkStart w:id="3338" w:name="_Toc110586837"/>
      <w:bookmarkStart w:id="3339" w:name="_Toc110587291"/>
      <w:bookmarkStart w:id="3340" w:name="_Toc110587727"/>
      <w:bookmarkStart w:id="3341" w:name="_Toc110588169"/>
      <w:bookmarkStart w:id="3342" w:name="_Toc110589142"/>
      <w:bookmarkStart w:id="3343" w:name="_Toc110589579"/>
      <w:bookmarkStart w:id="3344" w:name="_Toc110595585"/>
      <w:bookmarkStart w:id="3345" w:name="_Toc110595990"/>
      <w:bookmarkStart w:id="3346" w:name="_Toc110601196"/>
      <w:bookmarkStart w:id="3347" w:name="_Toc110607663"/>
      <w:bookmarkStart w:id="3348" w:name="_Toc110613627"/>
      <w:bookmarkStart w:id="3349" w:name="_Toc112409202"/>
      <w:bookmarkStart w:id="3350" w:name="_Toc112409964"/>
      <w:bookmarkStart w:id="3351" w:name="_Toc114140894"/>
      <w:bookmarkStart w:id="3352" w:name="_Toc114145474"/>
      <w:bookmarkStart w:id="3353" w:name="_Toc114145808"/>
      <w:bookmarkStart w:id="3354" w:name="_Toc114146100"/>
      <w:bookmarkStart w:id="3355" w:name="_Toc104558538"/>
      <w:bookmarkStart w:id="3356" w:name="_Toc110586396"/>
      <w:bookmarkStart w:id="3357" w:name="_Toc110586838"/>
      <w:bookmarkStart w:id="3358" w:name="_Toc110587292"/>
      <w:bookmarkStart w:id="3359" w:name="_Toc110587728"/>
      <w:bookmarkStart w:id="3360" w:name="_Toc110588170"/>
      <w:bookmarkStart w:id="3361" w:name="_Toc110589143"/>
      <w:bookmarkStart w:id="3362" w:name="_Toc110589580"/>
      <w:bookmarkStart w:id="3363" w:name="_Toc110595586"/>
      <w:bookmarkStart w:id="3364" w:name="_Toc110595991"/>
      <w:bookmarkStart w:id="3365" w:name="_Toc110601197"/>
      <w:bookmarkStart w:id="3366" w:name="_Toc110607664"/>
      <w:bookmarkStart w:id="3367" w:name="_Toc110613628"/>
      <w:bookmarkStart w:id="3368" w:name="_Toc112409203"/>
      <w:bookmarkStart w:id="3369" w:name="_Toc112409965"/>
      <w:bookmarkStart w:id="3370" w:name="_Toc114140895"/>
      <w:bookmarkStart w:id="3371" w:name="_Toc114145475"/>
      <w:bookmarkStart w:id="3372" w:name="_Toc114145809"/>
      <w:bookmarkStart w:id="3373" w:name="_Toc114146101"/>
      <w:bookmarkStart w:id="3374" w:name="_Toc104558539"/>
      <w:bookmarkStart w:id="3375" w:name="_Toc110586397"/>
      <w:bookmarkStart w:id="3376" w:name="_Toc110586839"/>
      <w:bookmarkStart w:id="3377" w:name="_Toc110587293"/>
      <w:bookmarkStart w:id="3378" w:name="_Toc110587729"/>
      <w:bookmarkStart w:id="3379" w:name="_Toc110588171"/>
      <w:bookmarkStart w:id="3380" w:name="_Toc110589144"/>
      <w:bookmarkStart w:id="3381" w:name="_Toc110589581"/>
      <w:bookmarkStart w:id="3382" w:name="_Toc110595587"/>
      <w:bookmarkStart w:id="3383" w:name="_Toc110595992"/>
      <w:bookmarkStart w:id="3384" w:name="_Toc110601198"/>
      <w:bookmarkStart w:id="3385" w:name="_Toc110607665"/>
      <w:bookmarkStart w:id="3386" w:name="_Toc110613629"/>
      <w:bookmarkStart w:id="3387" w:name="_Toc112409204"/>
      <w:bookmarkStart w:id="3388" w:name="_Toc112409966"/>
      <w:bookmarkStart w:id="3389" w:name="_Toc114140896"/>
      <w:bookmarkStart w:id="3390" w:name="_Toc114145476"/>
      <w:bookmarkStart w:id="3391" w:name="_Toc114145810"/>
      <w:bookmarkStart w:id="3392" w:name="_Toc114146102"/>
      <w:bookmarkStart w:id="3393" w:name="_Toc104558540"/>
      <w:bookmarkStart w:id="3394" w:name="_Toc110586398"/>
      <w:bookmarkStart w:id="3395" w:name="_Toc110586840"/>
      <w:bookmarkStart w:id="3396" w:name="_Toc110587294"/>
      <w:bookmarkStart w:id="3397" w:name="_Toc110587730"/>
      <w:bookmarkStart w:id="3398" w:name="_Toc110588172"/>
      <w:bookmarkStart w:id="3399" w:name="_Toc110589145"/>
      <w:bookmarkStart w:id="3400" w:name="_Toc110589582"/>
      <w:bookmarkStart w:id="3401" w:name="_Toc110595588"/>
      <w:bookmarkStart w:id="3402" w:name="_Toc110595993"/>
      <w:bookmarkStart w:id="3403" w:name="_Toc110601199"/>
      <w:bookmarkStart w:id="3404" w:name="_Toc110607666"/>
      <w:bookmarkStart w:id="3405" w:name="_Toc110613630"/>
      <w:bookmarkStart w:id="3406" w:name="_Toc112409205"/>
      <w:bookmarkStart w:id="3407" w:name="_Toc112409967"/>
      <w:bookmarkStart w:id="3408" w:name="_Toc114140897"/>
      <w:bookmarkStart w:id="3409" w:name="_Toc114145477"/>
      <w:bookmarkStart w:id="3410" w:name="_Toc114145811"/>
      <w:bookmarkStart w:id="3411" w:name="_Toc114146103"/>
      <w:bookmarkStart w:id="3412" w:name="_Toc104558541"/>
      <w:bookmarkStart w:id="3413" w:name="_Toc110586399"/>
      <w:bookmarkStart w:id="3414" w:name="_Toc110586841"/>
      <w:bookmarkStart w:id="3415" w:name="_Toc110587295"/>
      <w:bookmarkStart w:id="3416" w:name="_Toc110587731"/>
      <w:bookmarkStart w:id="3417" w:name="_Toc110588173"/>
      <w:bookmarkStart w:id="3418" w:name="_Toc110589146"/>
      <w:bookmarkStart w:id="3419" w:name="_Toc110589583"/>
      <w:bookmarkStart w:id="3420" w:name="_Toc110595589"/>
      <w:bookmarkStart w:id="3421" w:name="_Toc110595994"/>
      <w:bookmarkStart w:id="3422" w:name="_Toc110601200"/>
      <w:bookmarkStart w:id="3423" w:name="_Toc110607667"/>
      <w:bookmarkStart w:id="3424" w:name="_Toc110613631"/>
      <w:bookmarkStart w:id="3425" w:name="_Toc112409206"/>
      <w:bookmarkStart w:id="3426" w:name="_Toc112409968"/>
      <w:bookmarkStart w:id="3427" w:name="_Toc114140898"/>
      <w:bookmarkStart w:id="3428" w:name="_Toc114145478"/>
      <w:bookmarkStart w:id="3429" w:name="_Toc114145812"/>
      <w:bookmarkStart w:id="3430" w:name="_Toc114146104"/>
      <w:bookmarkStart w:id="3431" w:name="_Toc104558542"/>
      <w:bookmarkStart w:id="3432" w:name="_Toc110586400"/>
      <w:bookmarkStart w:id="3433" w:name="_Toc110586842"/>
      <w:bookmarkStart w:id="3434" w:name="_Toc110587296"/>
      <w:bookmarkStart w:id="3435" w:name="_Toc110587732"/>
      <w:bookmarkStart w:id="3436" w:name="_Toc110588174"/>
      <w:bookmarkStart w:id="3437" w:name="_Toc110589147"/>
      <w:bookmarkStart w:id="3438" w:name="_Toc110589584"/>
      <w:bookmarkStart w:id="3439" w:name="_Toc110595590"/>
      <w:bookmarkStart w:id="3440" w:name="_Toc110595995"/>
      <w:bookmarkStart w:id="3441" w:name="_Toc110601201"/>
      <w:bookmarkStart w:id="3442" w:name="_Toc110607668"/>
      <w:bookmarkStart w:id="3443" w:name="_Toc110613632"/>
      <w:bookmarkStart w:id="3444" w:name="_Toc112409207"/>
      <w:bookmarkStart w:id="3445" w:name="_Toc112409969"/>
      <w:bookmarkStart w:id="3446" w:name="_Toc114140899"/>
      <w:bookmarkStart w:id="3447" w:name="_Toc114145479"/>
      <w:bookmarkStart w:id="3448" w:name="_Toc114145813"/>
      <w:bookmarkStart w:id="3449" w:name="_Toc114146105"/>
      <w:bookmarkStart w:id="3450" w:name="_Toc104558543"/>
      <w:bookmarkStart w:id="3451" w:name="_Toc110586401"/>
      <w:bookmarkStart w:id="3452" w:name="_Toc110586843"/>
      <w:bookmarkStart w:id="3453" w:name="_Toc110587297"/>
      <w:bookmarkStart w:id="3454" w:name="_Toc110587733"/>
      <w:bookmarkStart w:id="3455" w:name="_Toc110588175"/>
      <w:bookmarkStart w:id="3456" w:name="_Toc110589148"/>
      <w:bookmarkStart w:id="3457" w:name="_Toc110589585"/>
      <w:bookmarkStart w:id="3458" w:name="_Toc110595591"/>
      <w:bookmarkStart w:id="3459" w:name="_Toc110595996"/>
      <w:bookmarkStart w:id="3460" w:name="_Toc110601202"/>
      <w:bookmarkStart w:id="3461" w:name="_Toc110607669"/>
      <w:bookmarkStart w:id="3462" w:name="_Toc110613633"/>
      <w:bookmarkStart w:id="3463" w:name="_Toc112409208"/>
      <w:bookmarkStart w:id="3464" w:name="_Toc112409970"/>
      <w:bookmarkStart w:id="3465" w:name="_Toc114140900"/>
      <w:bookmarkStart w:id="3466" w:name="_Toc114145480"/>
      <w:bookmarkStart w:id="3467" w:name="_Toc114145814"/>
      <w:bookmarkStart w:id="3468" w:name="_Toc114146106"/>
      <w:bookmarkStart w:id="3469" w:name="_Toc104558544"/>
      <w:bookmarkStart w:id="3470" w:name="_Toc110586402"/>
      <w:bookmarkStart w:id="3471" w:name="_Toc110586844"/>
      <w:bookmarkStart w:id="3472" w:name="_Toc110587298"/>
      <w:bookmarkStart w:id="3473" w:name="_Toc110587734"/>
      <w:bookmarkStart w:id="3474" w:name="_Toc110588176"/>
      <w:bookmarkStart w:id="3475" w:name="_Toc110589149"/>
      <w:bookmarkStart w:id="3476" w:name="_Toc110589586"/>
      <w:bookmarkStart w:id="3477" w:name="_Toc110595592"/>
      <w:bookmarkStart w:id="3478" w:name="_Toc110595997"/>
      <w:bookmarkStart w:id="3479" w:name="_Toc110601203"/>
      <w:bookmarkStart w:id="3480" w:name="_Toc110607670"/>
      <w:bookmarkStart w:id="3481" w:name="_Toc110613634"/>
      <w:bookmarkStart w:id="3482" w:name="_Toc112409209"/>
      <w:bookmarkStart w:id="3483" w:name="_Toc112409971"/>
      <w:bookmarkStart w:id="3484" w:name="_Toc114140901"/>
      <w:bookmarkStart w:id="3485" w:name="_Toc114145481"/>
      <w:bookmarkStart w:id="3486" w:name="_Toc114145815"/>
      <w:bookmarkStart w:id="3487" w:name="_Toc114146107"/>
      <w:bookmarkStart w:id="3488" w:name="_Toc104558545"/>
      <w:bookmarkStart w:id="3489" w:name="_Toc110586403"/>
      <w:bookmarkStart w:id="3490" w:name="_Toc110586845"/>
      <w:bookmarkStart w:id="3491" w:name="_Toc110587299"/>
      <w:bookmarkStart w:id="3492" w:name="_Toc110587735"/>
      <w:bookmarkStart w:id="3493" w:name="_Toc110588177"/>
      <w:bookmarkStart w:id="3494" w:name="_Toc110589150"/>
      <w:bookmarkStart w:id="3495" w:name="_Toc110589587"/>
      <w:bookmarkStart w:id="3496" w:name="_Toc110595593"/>
      <w:bookmarkStart w:id="3497" w:name="_Toc110595998"/>
      <w:bookmarkStart w:id="3498" w:name="_Toc110601204"/>
      <w:bookmarkStart w:id="3499" w:name="_Toc110607671"/>
      <w:bookmarkStart w:id="3500" w:name="_Toc110613635"/>
      <w:bookmarkStart w:id="3501" w:name="_Toc112409210"/>
      <w:bookmarkStart w:id="3502" w:name="_Toc112409972"/>
      <w:bookmarkStart w:id="3503" w:name="_Toc114140902"/>
      <w:bookmarkStart w:id="3504" w:name="_Toc114145482"/>
      <w:bookmarkStart w:id="3505" w:name="_Toc114145816"/>
      <w:bookmarkStart w:id="3506" w:name="_Toc114146108"/>
      <w:bookmarkStart w:id="3507" w:name="_Toc104558546"/>
      <w:bookmarkStart w:id="3508" w:name="_Toc110586404"/>
      <w:bookmarkStart w:id="3509" w:name="_Toc110586846"/>
      <w:bookmarkStart w:id="3510" w:name="_Toc110587300"/>
      <w:bookmarkStart w:id="3511" w:name="_Toc110587736"/>
      <w:bookmarkStart w:id="3512" w:name="_Toc110588178"/>
      <w:bookmarkStart w:id="3513" w:name="_Toc110589151"/>
      <w:bookmarkStart w:id="3514" w:name="_Toc110589588"/>
      <w:bookmarkStart w:id="3515" w:name="_Toc110595594"/>
      <w:bookmarkStart w:id="3516" w:name="_Toc110595999"/>
      <w:bookmarkStart w:id="3517" w:name="_Toc110601205"/>
      <w:bookmarkStart w:id="3518" w:name="_Toc110607672"/>
      <w:bookmarkStart w:id="3519" w:name="_Toc110613636"/>
      <w:bookmarkStart w:id="3520" w:name="_Toc112409211"/>
      <w:bookmarkStart w:id="3521" w:name="_Toc112409973"/>
      <w:bookmarkStart w:id="3522" w:name="_Toc114140903"/>
      <w:bookmarkStart w:id="3523" w:name="_Toc114145483"/>
      <w:bookmarkStart w:id="3524" w:name="_Toc114145817"/>
      <w:bookmarkStart w:id="3525" w:name="_Toc114146109"/>
      <w:bookmarkStart w:id="3526" w:name="_Toc104558547"/>
      <w:bookmarkStart w:id="3527" w:name="_Toc110586405"/>
      <w:bookmarkStart w:id="3528" w:name="_Toc110586847"/>
      <w:bookmarkStart w:id="3529" w:name="_Toc110587301"/>
      <w:bookmarkStart w:id="3530" w:name="_Toc110587737"/>
      <w:bookmarkStart w:id="3531" w:name="_Toc110588179"/>
      <w:bookmarkStart w:id="3532" w:name="_Toc110589152"/>
      <w:bookmarkStart w:id="3533" w:name="_Toc110589589"/>
      <w:bookmarkStart w:id="3534" w:name="_Toc110595595"/>
      <w:bookmarkStart w:id="3535" w:name="_Toc110596000"/>
      <w:bookmarkStart w:id="3536" w:name="_Toc110601206"/>
      <w:bookmarkStart w:id="3537" w:name="_Toc110607673"/>
      <w:bookmarkStart w:id="3538" w:name="_Toc110613637"/>
      <w:bookmarkStart w:id="3539" w:name="_Toc112409212"/>
      <w:bookmarkStart w:id="3540" w:name="_Toc112409974"/>
      <w:bookmarkStart w:id="3541" w:name="_Toc114140904"/>
      <w:bookmarkStart w:id="3542" w:name="_Toc114145484"/>
      <w:bookmarkStart w:id="3543" w:name="_Toc114145818"/>
      <w:bookmarkStart w:id="3544" w:name="_Toc114146110"/>
      <w:bookmarkStart w:id="3545" w:name="_Toc104558548"/>
      <w:bookmarkStart w:id="3546" w:name="_Toc110586406"/>
      <w:bookmarkStart w:id="3547" w:name="_Toc110586848"/>
      <w:bookmarkStart w:id="3548" w:name="_Toc110587302"/>
      <w:bookmarkStart w:id="3549" w:name="_Toc110587738"/>
      <w:bookmarkStart w:id="3550" w:name="_Toc110588180"/>
      <w:bookmarkStart w:id="3551" w:name="_Toc110589153"/>
      <w:bookmarkStart w:id="3552" w:name="_Toc110589590"/>
      <w:bookmarkStart w:id="3553" w:name="_Toc110595596"/>
      <w:bookmarkStart w:id="3554" w:name="_Toc110596001"/>
      <w:bookmarkStart w:id="3555" w:name="_Toc110601207"/>
      <w:bookmarkStart w:id="3556" w:name="_Toc110607674"/>
      <w:bookmarkStart w:id="3557" w:name="_Toc110613638"/>
      <w:bookmarkStart w:id="3558" w:name="_Toc112409213"/>
      <w:bookmarkStart w:id="3559" w:name="_Toc112409975"/>
      <w:bookmarkStart w:id="3560" w:name="_Toc114140905"/>
      <w:bookmarkStart w:id="3561" w:name="_Toc114145485"/>
      <w:bookmarkStart w:id="3562" w:name="_Toc114145819"/>
      <w:bookmarkStart w:id="3563" w:name="_Toc114146111"/>
      <w:bookmarkStart w:id="3564" w:name="_Toc104558549"/>
      <w:bookmarkStart w:id="3565" w:name="_Toc110586407"/>
      <w:bookmarkStart w:id="3566" w:name="_Toc110586849"/>
      <w:bookmarkStart w:id="3567" w:name="_Toc110587303"/>
      <w:bookmarkStart w:id="3568" w:name="_Toc110587739"/>
      <w:bookmarkStart w:id="3569" w:name="_Toc110588181"/>
      <w:bookmarkStart w:id="3570" w:name="_Toc110589154"/>
      <w:bookmarkStart w:id="3571" w:name="_Toc110589591"/>
      <w:bookmarkStart w:id="3572" w:name="_Toc110595597"/>
      <w:bookmarkStart w:id="3573" w:name="_Toc110596002"/>
      <w:bookmarkStart w:id="3574" w:name="_Toc110601208"/>
      <w:bookmarkStart w:id="3575" w:name="_Toc110607675"/>
      <w:bookmarkStart w:id="3576" w:name="_Toc110613639"/>
      <w:bookmarkStart w:id="3577" w:name="_Toc112409214"/>
      <w:bookmarkStart w:id="3578" w:name="_Toc112409976"/>
      <w:bookmarkStart w:id="3579" w:name="_Toc114140906"/>
      <w:bookmarkStart w:id="3580" w:name="_Toc114145486"/>
      <w:bookmarkStart w:id="3581" w:name="_Toc114145820"/>
      <w:bookmarkStart w:id="3582" w:name="_Toc114146112"/>
      <w:bookmarkStart w:id="3583" w:name="_Toc104558550"/>
      <w:bookmarkStart w:id="3584" w:name="_Toc110586408"/>
      <w:bookmarkStart w:id="3585" w:name="_Toc110586850"/>
      <w:bookmarkStart w:id="3586" w:name="_Toc110587304"/>
      <w:bookmarkStart w:id="3587" w:name="_Toc110587740"/>
      <w:bookmarkStart w:id="3588" w:name="_Toc110588182"/>
      <w:bookmarkStart w:id="3589" w:name="_Toc110589155"/>
      <w:bookmarkStart w:id="3590" w:name="_Toc110589592"/>
      <w:bookmarkStart w:id="3591" w:name="_Toc110595598"/>
      <w:bookmarkStart w:id="3592" w:name="_Toc110596003"/>
      <w:bookmarkStart w:id="3593" w:name="_Toc110601209"/>
      <w:bookmarkStart w:id="3594" w:name="_Toc110607676"/>
      <w:bookmarkStart w:id="3595" w:name="_Toc110613640"/>
      <w:bookmarkStart w:id="3596" w:name="_Toc112409215"/>
      <w:bookmarkStart w:id="3597" w:name="_Toc112409977"/>
      <w:bookmarkStart w:id="3598" w:name="_Toc114140907"/>
      <w:bookmarkStart w:id="3599" w:name="_Toc114145487"/>
      <w:bookmarkStart w:id="3600" w:name="_Toc114145821"/>
      <w:bookmarkStart w:id="3601" w:name="_Toc114146113"/>
      <w:bookmarkStart w:id="3602" w:name="_Toc104558551"/>
      <w:bookmarkStart w:id="3603" w:name="_Toc110586409"/>
      <w:bookmarkStart w:id="3604" w:name="_Toc110586851"/>
      <w:bookmarkStart w:id="3605" w:name="_Toc110587305"/>
      <w:bookmarkStart w:id="3606" w:name="_Toc110587741"/>
      <w:bookmarkStart w:id="3607" w:name="_Toc110588183"/>
      <w:bookmarkStart w:id="3608" w:name="_Toc110589156"/>
      <w:bookmarkStart w:id="3609" w:name="_Toc110589593"/>
      <w:bookmarkStart w:id="3610" w:name="_Toc110595599"/>
      <w:bookmarkStart w:id="3611" w:name="_Toc110596004"/>
      <w:bookmarkStart w:id="3612" w:name="_Toc110601210"/>
      <w:bookmarkStart w:id="3613" w:name="_Toc110607677"/>
      <w:bookmarkStart w:id="3614" w:name="_Toc110613641"/>
      <w:bookmarkStart w:id="3615" w:name="_Toc112409216"/>
      <w:bookmarkStart w:id="3616" w:name="_Toc112409978"/>
      <w:bookmarkStart w:id="3617" w:name="_Toc114140908"/>
      <w:bookmarkStart w:id="3618" w:name="_Toc114145488"/>
      <w:bookmarkStart w:id="3619" w:name="_Toc114145822"/>
      <w:bookmarkStart w:id="3620" w:name="_Toc114146114"/>
      <w:bookmarkStart w:id="3621" w:name="_Toc104558552"/>
      <w:bookmarkStart w:id="3622" w:name="_Toc110586410"/>
      <w:bookmarkStart w:id="3623" w:name="_Toc110586852"/>
      <w:bookmarkStart w:id="3624" w:name="_Toc110587306"/>
      <w:bookmarkStart w:id="3625" w:name="_Toc110587742"/>
      <w:bookmarkStart w:id="3626" w:name="_Toc110588184"/>
      <w:bookmarkStart w:id="3627" w:name="_Toc110589157"/>
      <w:bookmarkStart w:id="3628" w:name="_Toc110589594"/>
      <w:bookmarkStart w:id="3629" w:name="_Toc110595600"/>
      <w:bookmarkStart w:id="3630" w:name="_Toc110596005"/>
      <w:bookmarkStart w:id="3631" w:name="_Toc110601211"/>
      <w:bookmarkStart w:id="3632" w:name="_Toc110607678"/>
      <w:bookmarkStart w:id="3633" w:name="_Toc110613642"/>
      <w:bookmarkStart w:id="3634" w:name="_Toc112409217"/>
      <w:bookmarkStart w:id="3635" w:name="_Toc112409979"/>
      <w:bookmarkStart w:id="3636" w:name="_Toc114140909"/>
      <w:bookmarkStart w:id="3637" w:name="_Toc114145489"/>
      <w:bookmarkStart w:id="3638" w:name="_Toc114145823"/>
      <w:bookmarkStart w:id="3639" w:name="_Toc114146115"/>
      <w:bookmarkStart w:id="3640" w:name="_Toc104558553"/>
      <w:bookmarkStart w:id="3641" w:name="_Toc110586411"/>
      <w:bookmarkStart w:id="3642" w:name="_Toc110586853"/>
      <w:bookmarkStart w:id="3643" w:name="_Toc110587307"/>
      <w:bookmarkStart w:id="3644" w:name="_Toc110587743"/>
      <w:bookmarkStart w:id="3645" w:name="_Toc110588185"/>
      <w:bookmarkStart w:id="3646" w:name="_Toc110589158"/>
      <w:bookmarkStart w:id="3647" w:name="_Toc110589595"/>
      <w:bookmarkStart w:id="3648" w:name="_Toc110595601"/>
      <w:bookmarkStart w:id="3649" w:name="_Toc110596006"/>
      <w:bookmarkStart w:id="3650" w:name="_Toc110601212"/>
      <w:bookmarkStart w:id="3651" w:name="_Toc110607679"/>
      <w:bookmarkStart w:id="3652" w:name="_Toc110613643"/>
      <w:bookmarkStart w:id="3653" w:name="_Toc112409218"/>
      <w:bookmarkStart w:id="3654" w:name="_Toc112409980"/>
      <w:bookmarkStart w:id="3655" w:name="_Toc114140910"/>
      <w:bookmarkStart w:id="3656" w:name="_Toc114145490"/>
      <w:bookmarkStart w:id="3657" w:name="_Toc114145824"/>
      <w:bookmarkStart w:id="3658" w:name="_Toc114146116"/>
      <w:bookmarkStart w:id="3659" w:name="_Toc104558554"/>
      <w:bookmarkStart w:id="3660" w:name="_Toc110586412"/>
      <w:bookmarkStart w:id="3661" w:name="_Toc110586854"/>
      <w:bookmarkStart w:id="3662" w:name="_Toc110587308"/>
      <w:bookmarkStart w:id="3663" w:name="_Toc110587744"/>
      <w:bookmarkStart w:id="3664" w:name="_Toc110588186"/>
      <w:bookmarkStart w:id="3665" w:name="_Toc110589159"/>
      <w:bookmarkStart w:id="3666" w:name="_Toc110589596"/>
      <w:bookmarkStart w:id="3667" w:name="_Toc110595602"/>
      <w:bookmarkStart w:id="3668" w:name="_Toc110596007"/>
      <w:bookmarkStart w:id="3669" w:name="_Toc110601213"/>
      <w:bookmarkStart w:id="3670" w:name="_Toc110607680"/>
      <w:bookmarkStart w:id="3671" w:name="_Toc110613644"/>
      <w:bookmarkStart w:id="3672" w:name="_Toc112409219"/>
      <w:bookmarkStart w:id="3673" w:name="_Toc112409981"/>
      <w:bookmarkStart w:id="3674" w:name="_Toc114140911"/>
      <w:bookmarkStart w:id="3675" w:name="_Toc114145491"/>
      <w:bookmarkStart w:id="3676" w:name="_Toc114145825"/>
      <w:bookmarkStart w:id="3677" w:name="_Toc114146117"/>
      <w:bookmarkStart w:id="3678" w:name="_Toc104558555"/>
      <w:bookmarkStart w:id="3679" w:name="_Toc110586413"/>
      <w:bookmarkStart w:id="3680" w:name="_Toc110586855"/>
      <w:bookmarkStart w:id="3681" w:name="_Toc110587309"/>
      <w:bookmarkStart w:id="3682" w:name="_Toc110587745"/>
      <w:bookmarkStart w:id="3683" w:name="_Toc110588187"/>
      <w:bookmarkStart w:id="3684" w:name="_Toc110589160"/>
      <w:bookmarkStart w:id="3685" w:name="_Toc110589597"/>
      <w:bookmarkStart w:id="3686" w:name="_Toc110595603"/>
      <w:bookmarkStart w:id="3687" w:name="_Toc110596008"/>
      <w:bookmarkStart w:id="3688" w:name="_Toc110601214"/>
      <w:bookmarkStart w:id="3689" w:name="_Toc110607681"/>
      <w:bookmarkStart w:id="3690" w:name="_Toc110613645"/>
      <w:bookmarkStart w:id="3691" w:name="_Toc112409220"/>
      <w:bookmarkStart w:id="3692" w:name="_Toc112409982"/>
      <w:bookmarkStart w:id="3693" w:name="_Toc114140912"/>
      <w:bookmarkStart w:id="3694" w:name="_Toc114145492"/>
      <w:bookmarkStart w:id="3695" w:name="_Toc114145826"/>
      <w:bookmarkStart w:id="3696" w:name="_Toc114146118"/>
      <w:bookmarkStart w:id="3697" w:name="_Toc104558556"/>
      <w:bookmarkStart w:id="3698" w:name="_Toc110586414"/>
      <w:bookmarkStart w:id="3699" w:name="_Toc110586856"/>
      <w:bookmarkStart w:id="3700" w:name="_Toc110587310"/>
      <w:bookmarkStart w:id="3701" w:name="_Toc110587746"/>
      <w:bookmarkStart w:id="3702" w:name="_Toc110588188"/>
      <w:bookmarkStart w:id="3703" w:name="_Toc110589161"/>
      <w:bookmarkStart w:id="3704" w:name="_Toc110589598"/>
      <w:bookmarkStart w:id="3705" w:name="_Toc110595604"/>
      <w:bookmarkStart w:id="3706" w:name="_Toc110596009"/>
      <w:bookmarkStart w:id="3707" w:name="_Toc110601215"/>
      <w:bookmarkStart w:id="3708" w:name="_Toc110607682"/>
      <w:bookmarkStart w:id="3709" w:name="_Toc110613646"/>
      <w:bookmarkStart w:id="3710" w:name="_Toc112409221"/>
      <w:bookmarkStart w:id="3711" w:name="_Toc112409983"/>
      <w:bookmarkStart w:id="3712" w:name="_Toc114140913"/>
      <w:bookmarkStart w:id="3713" w:name="_Toc114145493"/>
      <w:bookmarkStart w:id="3714" w:name="_Toc114145827"/>
      <w:bookmarkStart w:id="3715" w:name="_Toc114146119"/>
      <w:bookmarkStart w:id="3716" w:name="_Toc104558557"/>
      <w:bookmarkStart w:id="3717" w:name="_Toc110586415"/>
      <w:bookmarkStart w:id="3718" w:name="_Toc110586857"/>
      <w:bookmarkStart w:id="3719" w:name="_Toc110587311"/>
      <w:bookmarkStart w:id="3720" w:name="_Toc110587747"/>
      <w:bookmarkStart w:id="3721" w:name="_Toc110588189"/>
      <w:bookmarkStart w:id="3722" w:name="_Toc110589162"/>
      <w:bookmarkStart w:id="3723" w:name="_Toc110589599"/>
      <w:bookmarkStart w:id="3724" w:name="_Toc110595605"/>
      <w:bookmarkStart w:id="3725" w:name="_Toc110596010"/>
      <w:bookmarkStart w:id="3726" w:name="_Toc110601216"/>
      <w:bookmarkStart w:id="3727" w:name="_Toc110607683"/>
      <w:bookmarkStart w:id="3728" w:name="_Toc110613647"/>
      <w:bookmarkStart w:id="3729" w:name="_Toc112409222"/>
      <w:bookmarkStart w:id="3730" w:name="_Toc112409984"/>
      <w:bookmarkStart w:id="3731" w:name="_Toc114140914"/>
      <w:bookmarkStart w:id="3732" w:name="_Toc114145494"/>
      <w:bookmarkStart w:id="3733" w:name="_Toc114145828"/>
      <w:bookmarkStart w:id="3734" w:name="_Toc114146120"/>
      <w:bookmarkStart w:id="3735" w:name="_Toc104558558"/>
      <w:bookmarkStart w:id="3736" w:name="_Toc110586416"/>
      <w:bookmarkStart w:id="3737" w:name="_Toc110586858"/>
      <w:bookmarkStart w:id="3738" w:name="_Toc110587312"/>
      <w:bookmarkStart w:id="3739" w:name="_Toc110587748"/>
      <w:bookmarkStart w:id="3740" w:name="_Toc110588190"/>
      <w:bookmarkStart w:id="3741" w:name="_Toc110589163"/>
      <w:bookmarkStart w:id="3742" w:name="_Toc110589600"/>
      <w:bookmarkStart w:id="3743" w:name="_Toc110595606"/>
      <w:bookmarkStart w:id="3744" w:name="_Toc110596011"/>
      <w:bookmarkStart w:id="3745" w:name="_Toc110601217"/>
      <w:bookmarkStart w:id="3746" w:name="_Toc110607684"/>
      <w:bookmarkStart w:id="3747" w:name="_Toc110613648"/>
      <w:bookmarkStart w:id="3748" w:name="_Toc112409223"/>
      <w:bookmarkStart w:id="3749" w:name="_Toc112409985"/>
      <w:bookmarkStart w:id="3750" w:name="_Toc114140915"/>
      <w:bookmarkStart w:id="3751" w:name="_Toc114145495"/>
      <w:bookmarkStart w:id="3752" w:name="_Toc114145829"/>
      <w:bookmarkStart w:id="3753" w:name="_Toc114146121"/>
      <w:bookmarkStart w:id="3754" w:name="_Toc104558559"/>
      <w:bookmarkStart w:id="3755" w:name="_Toc110586417"/>
      <w:bookmarkStart w:id="3756" w:name="_Toc110586859"/>
      <w:bookmarkStart w:id="3757" w:name="_Toc110587313"/>
      <w:bookmarkStart w:id="3758" w:name="_Toc110587749"/>
      <w:bookmarkStart w:id="3759" w:name="_Toc110588191"/>
      <w:bookmarkStart w:id="3760" w:name="_Toc110589164"/>
      <w:bookmarkStart w:id="3761" w:name="_Toc110589601"/>
      <w:bookmarkStart w:id="3762" w:name="_Toc110595607"/>
      <w:bookmarkStart w:id="3763" w:name="_Toc110596012"/>
      <w:bookmarkStart w:id="3764" w:name="_Toc110601218"/>
      <w:bookmarkStart w:id="3765" w:name="_Toc110607685"/>
      <w:bookmarkStart w:id="3766" w:name="_Toc110613649"/>
      <w:bookmarkStart w:id="3767" w:name="_Toc112409224"/>
      <w:bookmarkStart w:id="3768" w:name="_Toc112409986"/>
      <w:bookmarkStart w:id="3769" w:name="_Toc114140916"/>
      <w:bookmarkStart w:id="3770" w:name="_Toc114145496"/>
      <w:bookmarkStart w:id="3771" w:name="_Toc114145830"/>
      <w:bookmarkStart w:id="3772" w:name="_Toc114146122"/>
      <w:bookmarkStart w:id="3773" w:name="_Toc104558560"/>
      <w:bookmarkStart w:id="3774" w:name="_Toc110586418"/>
      <w:bookmarkStart w:id="3775" w:name="_Toc110586860"/>
      <w:bookmarkStart w:id="3776" w:name="_Toc110587314"/>
      <w:bookmarkStart w:id="3777" w:name="_Toc110587750"/>
      <w:bookmarkStart w:id="3778" w:name="_Toc110588192"/>
      <w:bookmarkStart w:id="3779" w:name="_Toc110589165"/>
      <w:bookmarkStart w:id="3780" w:name="_Toc110589602"/>
      <w:bookmarkStart w:id="3781" w:name="_Toc110595608"/>
      <w:bookmarkStart w:id="3782" w:name="_Toc110596013"/>
      <w:bookmarkStart w:id="3783" w:name="_Toc110601219"/>
      <w:bookmarkStart w:id="3784" w:name="_Toc110607686"/>
      <w:bookmarkStart w:id="3785" w:name="_Toc110613650"/>
      <w:bookmarkStart w:id="3786" w:name="_Toc112409225"/>
      <w:bookmarkStart w:id="3787" w:name="_Toc112409987"/>
      <w:bookmarkStart w:id="3788" w:name="_Toc114140917"/>
      <w:bookmarkStart w:id="3789" w:name="_Toc114145497"/>
      <w:bookmarkStart w:id="3790" w:name="_Toc114145831"/>
      <w:bookmarkStart w:id="3791" w:name="_Toc114146123"/>
      <w:bookmarkStart w:id="3792" w:name="_Toc104558561"/>
      <w:bookmarkStart w:id="3793" w:name="_Toc110586419"/>
      <w:bookmarkStart w:id="3794" w:name="_Toc110586861"/>
      <w:bookmarkStart w:id="3795" w:name="_Toc110587315"/>
      <w:bookmarkStart w:id="3796" w:name="_Toc110587751"/>
      <w:bookmarkStart w:id="3797" w:name="_Toc110588193"/>
      <w:bookmarkStart w:id="3798" w:name="_Toc110589166"/>
      <w:bookmarkStart w:id="3799" w:name="_Toc110589603"/>
      <w:bookmarkStart w:id="3800" w:name="_Toc110595609"/>
      <w:bookmarkStart w:id="3801" w:name="_Toc110596014"/>
      <w:bookmarkStart w:id="3802" w:name="_Toc110601220"/>
      <w:bookmarkStart w:id="3803" w:name="_Toc110607687"/>
      <w:bookmarkStart w:id="3804" w:name="_Toc110613651"/>
      <w:bookmarkStart w:id="3805" w:name="_Toc112409226"/>
      <w:bookmarkStart w:id="3806" w:name="_Toc112409988"/>
      <w:bookmarkStart w:id="3807" w:name="_Toc114140918"/>
      <w:bookmarkStart w:id="3808" w:name="_Toc114145498"/>
      <w:bookmarkStart w:id="3809" w:name="_Toc114145832"/>
      <w:bookmarkStart w:id="3810" w:name="_Toc114146124"/>
      <w:bookmarkStart w:id="3811" w:name="_Toc104558562"/>
      <w:bookmarkStart w:id="3812" w:name="_Toc110586420"/>
      <w:bookmarkStart w:id="3813" w:name="_Toc110586862"/>
      <w:bookmarkStart w:id="3814" w:name="_Toc110587316"/>
      <w:bookmarkStart w:id="3815" w:name="_Toc110587752"/>
      <w:bookmarkStart w:id="3816" w:name="_Toc110588194"/>
      <w:bookmarkStart w:id="3817" w:name="_Toc110589167"/>
      <w:bookmarkStart w:id="3818" w:name="_Toc110589604"/>
      <w:bookmarkStart w:id="3819" w:name="_Toc110595610"/>
      <w:bookmarkStart w:id="3820" w:name="_Toc110596015"/>
      <w:bookmarkStart w:id="3821" w:name="_Toc110601221"/>
      <w:bookmarkStart w:id="3822" w:name="_Toc110607688"/>
      <w:bookmarkStart w:id="3823" w:name="_Toc110613652"/>
      <w:bookmarkStart w:id="3824" w:name="_Toc112409227"/>
      <w:bookmarkStart w:id="3825" w:name="_Toc112409989"/>
      <w:bookmarkStart w:id="3826" w:name="_Toc114140919"/>
      <w:bookmarkStart w:id="3827" w:name="_Toc114145499"/>
      <w:bookmarkStart w:id="3828" w:name="_Toc114145833"/>
      <w:bookmarkStart w:id="3829" w:name="_Toc114146125"/>
      <w:bookmarkStart w:id="3830" w:name="_Toc104558563"/>
      <w:bookmarkStart w:id="3831" w:name="_Toc110586421"/>
      <w:bookmarkStart w:id="3832" w:name="_Toc110586863"/>
      <w:bookmarkStart w:id="3833" w:name="_Toc110587317"/>
      <w:bookmarkStart w:id="3834" w:name="_Toc110587753"/>
      <w:bookmarkStart w:id="3835" w:name="_Toc110588195"/>
      <w:bookmarkStart w:id="3836" w:name="_Toc110589168"/>
      <w:bookmarkStart w:id="3837" w:name="_Toc110589605"/>
      <w:bookmarkStart w:id="3838" w:name="_Toc110595611"/>
      <w:bookmarkStart w:id="3839" w:name="_Toc110596016"/>
      <w:bookmarkStart w:id="3840" w:name="_Toc110601222"/>
      <w:bookmarkStart w:id="3841" w:name="_Toc110607689"/>
      <w:bookmarkStart w:id="3842" w:name="_Toc110613653"/>
      <w:bookmarkStart w:id="3843" w:name="_Toc112409228"/>
      <w:bookmarkStart w:id="3844" w:name="_Toc112409990"/>
      <w:bookmarkStart w:id="3845" w:name="_Toc114140920"/>
      <w:bookmarkStart w:id="3846" w:name="_Toc114145500"/>
      <w:bookmarkStart w:id="3847" w:name="_Toc114145834"/>
      <w:bookmarkStart w:id="3848" w:name="_Toc114146126"/>
      <w:bookmarkStart w:id="3849" w:name="_Toc104558564"/>
      <w:bookmarkStart w:id="3850" w:name="_Toc110586422"/>
      <w:bookmarkStart w:id="3851" w:name="_Toc110586864"/>
      <w:bookmarkStart w:id="3852" w:name="_Toc110587318"/>
      <w:bookmarkStart w:id="3853" w:name="_Toc110587754"/>
      <w:bookmarkStart w:id="3854" w:name="_Toc110588196"/>
      <w:bookmarkStart w:id="3855" w:name="_Toc110589169"/>
      <w:bookmarkStart w:id="3856" w:name="_Toc110589606"/>
      <w:bookmarkStart w:id="3857" w:name="_Toc110595612"/>
      <w:bookmarkStart w:id="3858" w:name="_Toc110596017"/>
      <w:bookmarkStart w:id="3859" w:name="_Toc110601223"/>
      <w:bookmarkStart w:id="3860" w:name="_Toc110607690"/>
      <w:bookmarkStart w:id="3861" w:name="_Toc110613654"/>
      <w:bookmarkStart w:id="3862" w:name="_Toc112409229"/>
      <w:bookmarkStart w:id="3863" w:name="_Toc112409991"/>
      <w:bookmarkStart w:id="3864" w:name="_Toc114140921"/>
      <w:bookmarkStart w:id="3865" w:name="_Toc114145501"/>
      <w:bookmarkStart w:id="3866" w:name="_Toc114145835"/>
      <w:bookmarkStart w:id="3867" w:name="_Toc114146127"/>
      <w:bookmarkStart w:id="3868" w:name="_Toc104558565"/>
      <w:bookmarkStart w:id="3869" w:name="_Toc110586423"/>
      <w:bookmarkStart w:id="3870" w:name="_Toc110586865"/>
      <w:bookmarkStart w:id="3871" w:name="_Toc110587319"/>
      <w:bookmarkStart w:id="3872" w:name="_Toc110587755"/>
      <w:bookmarkStart w:id="3873" w:name="_Toc110588197"/>
      <w:bookmarkStart w:id="3874" w:name="_Toc110589170"/>
      <w:bookmarkStart w:id="3875" w:name="_Toc110589607"/>
      <w:bookmarkStart w:id="3876" w:name="_Toc110595613"/>
      <w:bookmarkStart w:id="3877" w:name="_Toc110596018"/>
      <w:bookmarkStart w:id="3878" w:name="_Toc110601224"/>
      <w:bookmarkStart w:id="3879" w:name="_Toc110607691"/>
      <w:bookmarkStart w:id="3880" w:name="_Toc110613655"/>
      <w:bookmarkStart w:id="3881" w:name="_Toc112409230"/>
      <w:bookmarkStart w:id="3882" w:name="_Toc112409992"/>
      <w:bookmarkStart w:id="3883" w:name="_Toc114140922"/>
      <w:bookmarkStart w:id="3884" w:name="_Toc114145502"/>
      <w:bookmarkStart w:id="3885" w:name="_Toc114145836"/>
      <w:bookmarkStart w:id="3886" w:name="_Toc114146128"/>
      <w:bookmarkStart w:id="3887" w:name="_Toc104558566"/>
      <w:bookmarkStart w:id="3888" w:name="_Toc110586424"/>
      <w:bookmarkStart w:id="3889" w:name="_Toc110586866"/>
      <w:bookmarkStart w:id="3890" w:name="_Toc110587320"/>
      <w:bookmarkStart w:id="3891" w:name="_Toc110587756"/>
      <w:bookmarkStart w:id="3892" w:name="_Toc110588198"/>
      <w:bookmarkStart w:id="3893" w:name="_Toc110589171"/>
      <w:bookmarkStart w:id="3894" w:name="_Toc110589608"/>
      <w:bookmarkStart w:id="3895" w:name="_Toc110595614"/>
      <w:bookmarkStart w:id="3896" w:name="_Toc110596019"/>
      <w:bookmarkStart w:id="3897" w:name="_Toc110601225"/>
      <w:bookmarkStart w:id="3898" w:name="_Toc110607692"/>
      <w:bookmarkStart w:id="3899" w:name="_Toc110613656"/>
      <w:bookmarkStart w:id="3900" w:name="_Toc112409231"/>
      <w:bookmarkStart w:id="3901" w:name="_Toc112409993"/>
      <w:bookmarkStart w:id="3902" w:name="_Toc114140923"/>
      <w:bookmarkStart w:id="3903" w:name="_Toc114145503"/>
      <w:bookmarkStart w:id="3904" w:name="_Toc114145837"/>
      <w:bookmarkStart w:id="3905" w:name="_Toc114146129"/>
      <w:bookmarkStart w:id="3906" w:name="_Toc104558567"/>
      <w:bookmarkStart w:id="3907" w:name="_Toc110586425"/>
      <w:bookmarkStart w:id="3908" w:name="_Toc110586867"/>
      <w:bookmarkStart w:id="3909" w:name="_Toc110587321"/>
      <w:bookmarkStart w:id="3910" w:name="_Toc110587757"/>
      <w:bookmarkStart w:id="3911" w:name="_Toc110588199"/>
      <w:bookmarkStart w:id="3912" w:name="_Toc110589172"/>
      <w:bookmarkStart w:id="3913" w:name="_Toc110589609"/>
      <w:bookmarkStart w:id="3914" w:name="_Toc110595615"/>
      <w:bookmarkStart w:id="3915" w:name="_Toc110596020"/>
      <w:bookmarkStart w:id="3916" w:name="_Toc110601226"/>
      <w:bookmarkStart w:id="3917" w:name="_Toc110607693"/>
      <w:bookmarkStart w:id="3918" w:name="_Toc110613657"/>
      <w:bookmarkStart w:id="3919" w:name="_Toc112409232"/>
      <w:bookmarkStart w:id="3920" w:name="_Toc112409994"/>
      <w:bookmarkStart w:id="3921" w:name="_Toc114140924"/>
      <w:bookmarkStart w:id="3922" w:name="_Toc114145504"/>
      <w:bookmarkStart w:id="3923" w:name="_Toc114145838"/>
      <w:bookmarkStart w:id="3924" w:name="_Toc114146130"/>
      <w:bookmarkStart w:id="3925" w:name="_Toc104558568"/>
      <w:bookmarkStart w:id="3926" w:name="_Toc110586426"/>
      <w:bookmarkStart w:id="3927" w:name="_Toc110586868"/>
      <w:bookmarkStart w:id="3928" w:name="_Toc110587322"/>
      <w:bookmarkStart w:id="3929" w:name="_Toc110587758"/>
      <w:bookmarkStart w:id="3930" w:name="_Toc110588200"/>
      <w:bookmarkStart w:id="3931" w:name="_Toc110589173"/>
      <w:bookmarkStart w:id="3932" w:name="_Toc110589610"/>
      <w:bookmarkStart w:id="3933" w:name="_Toc110595616"/>
      <w:bookmarkStart w:id="3934" w:name="_Toc110596021"/>
      <w:bookmarkStart w:id="3935" w:name="_Toc110601227"/>
      <w:bookmarkStart w:id="3936" w:name="_Toc110607694"/>
      <w:bookmarkStart w:id="3937" w:name="_Toc110613658"/>
      <w:bookmarkStart w:id="3938" w:name="_Toc112409233"/>
      <w:bookmarkStart w:id="3939" w:name="_Toc112409995"/>
      <w:bookmarkStart w:id="3940" w:name="_Toc114140925"/>
      <w:bookmarkStart w:id="3941" w:name="_Toc114145505"/>
      <w:bookmarkStart w:id="3942" w:name="_Toc114145839"/>
      <w:bookmarkStart w:id="3943" w:name="_Toc114146131"/>
      <w:bookmarkStart w:id="3944" w:name="_Toc104558569"/>
      <w:bookmarkStart w:id="3945" w:name="_Toc110586427"/>
      <w:bookmarkStart w:id="3946" w:name="_Toc110586869"/>
      <w:bookmarkStart w:id="3947" w:name="_Toc110587323"/>
      <w:bookmarkStart w:id="3948" w:name="_Toc110587759"/>
      <w:bookmarkStart w:id="3949" w:name="_Toc110588201"/>
      <w:bookmarkStart w:id="3950" w:name="_Toc110589174"/>
      <w:bookmarkStart w:id="3951" w:name="_Toc110589611"/>
      <w:bookmarkStart w:id="3952" w:name="_Toc110595617"/>
      <w:bookmarkStart w:id="3953" w:name="_Toc110596022"/>
      <w:bookmarkStart w:id="3954" w:name="_Toc110601228"/>
      <w:bookmarkStart w:id="3955" w:name="_Toc110607695"/>
      <w:bookmarkStart w:id="3956" w:name="_Toc110613659"/>
      <w:bookmarkStart w:id="3957" w:name="_Toc112409234"/>
      <w:bookmarkStart w:id="3958" w:name="_Toc112409996"/>
      <w:bookmarkStart w:id="3959" w:name="_Toc114140926"/>
      <w:bookmarkStart w:id="3960" w:name="_Toc114145506"/>
      <w:bookmarkStart w:id="3961" w:name="_Toc114145840"/>
      <w:bookmarkStart w:id="3962" w:name="_Toc114146132"/>
      <w:bookmarkStart w:id="3963" w:name="_Toc104558570"/>
      <w:bookmarkStart w:id="3964" w:name="_Toc110586428"/>
      <w:bookmarkStart w:id="3965" w:name="_Toc110586870"/>
      <w:bookmarkStart w:id="3966" w:name="_Toc110587324"/>
      <w:bookmarkStart w:id="3967" w:name="_Toc110587760"/>
      <w:bookmarkStart w:id="3968" w:name="_Toc110588202"/>
      <w:bookmarkStart w:id="3969" w:name="_Toc110589175"/>
      <w:bookmarkStart w:id="3970" w:name="_Toc110589612"/>
      <w:bookmarkStart w:id="3971" w:name="_Toc110595618"/>
      <w:bookmarkStart w:id="3972" w:name="_Toc110596023"/>
      <w:bookmarkStart w:id="3973" w:name="_Toc110601229"/>
      <w:bookmarkStart w:id="3974" w:name="_Toc110607696"/>
      <w:bookmarkStart w:id="3975" w:name="_Toc110613660"/>
      <w:bookmarkStart w:id="3976" w:name="_Toc112409235"/>
      <w:bookmarkStart w:id="3977" w:name="_Toc112409997"/>
      <w:bookmarkStart w:id="3978" w:name="_Toc114140927"/>
      <w:bookmarkStart w:id="3979" w:name="_Toc114145507"/>
      <w:bookmarkStart w:id="3980" w:name="_Toc114145841"/>
      <w:bookmarkStart w:id="3981" w:name="_Toc114146133"/>
      <w:bookmarkStart w:id="3982" w:name="_Toc104558571"/>
      <w:bookmarkStart w:id="3983" w:name="_Toc110586429"/>
      <w:bookmarkStart w:id="3984" w:name="_Toc110586871"/>
      <w:bookmarkStart w:id="3985" w:name="_Toc110587325"/>
      <w:bookmarkStart w:id="3986" w:name="_Toc110587761"/>
      <w:bookmarkStart w:id="3987" w:name="_Toc110588203"/>
      <w:bookmarkStart w:id="3988" w:name="_Toc110589176"/>
      <w:bookmarkStart w:id="3989" w:name="_Toc110589613"/>
      <w:bookmarkStart w:id="3990" w:name="_Toc110595619"/>
      <w:bookmarkStart w:id="3991" w:name="_Toc110596024"/>
      <w:bookmarkStart w:id="3992" w:name="_Toc110601230"/>
      <w:bookmarkStart w:id="3993" w:name="_Toc110607697"/>
      <w:bookmarkStart w:id="3994" w:name="_Toc110613661"/>
      <w:bookmarkStart w:id="3995" w:name="_Toc112409236"/>
      <w:bookmarkStart w:id="3996" w:name="_Toc112409998"/>
      <w:bookmarkStart w:id="3997" w:name="_Toc114140928"/>
      <w:bookmarkStart w:id="3998" w:name="_Toc114145508"/>
      <w:bookmarkStart w:id="3999" w:name="_Toc114145842"/>
      <w:bookmarkStart w:id="4000" w:name="_Toc114146134"/>
      <w:bookmarkStart w:id="4001" w:name="_Toc104558572"/>
      <w:bookmarkStart w:id="4002" w:name="_Toc110586430"/>
      <w:bookmarkStart w:id="4003" w:name="_Toc110586872"/>
      <w:bookmarkStart w:id="4004" w:name="_Toc110587326"/>
      <w:bookmarkStart w:id="4005" w:name="_Toc110587762"/>
      <w:bookmarkStart w:id="4006" w:name="_Toc110588204"/>
      <w:bookmarkStart w:id="4007" w:name="_Toc110589177"/>
      <w:bookmarkStart w:id="4008" w:name="_Toc110589614"/>
      <w:bookmarkStart w:id="4009" w:name="_Toc110595620"/>
      <w:bookmarkStart w:id="4010" w:name="_Toc110596025"/>
      <w:bookmarkStart w:id="4011" w:name="_Toc110601231"/>
      <w:bookmarkStart w:id="4012" w:name="_Toc110607698"/>
      <w:bookmarkStart w:id="4013" w:name="_Toc110613662"/>
      <w:bookmarkStart w:id="4014" w:name="_Toc112409237"/>
      <w:bookmarkStart w:id="4015" w:name="_Toc112409999"/>
      <w:bookmarkStart w:id="4016" w:name="_Toc114140929"/>
      <w:bookmarkStart w:id="4017" w:name="_Toc114145509"/>
      <w:bookmarkStart w:id="4018" w:name="_Toc114145843"/>
      <w:bookmarkStart w:id="4019" w:name="_Toc114146135"/>
      <w:bookmarkStart w:id="4020" w:name="_Toc104558573"/>
      <w:bookmarkStart w:id="4021" w:name="_Toc110586431"/>
      <w:bookmarkStart w:id="4022" w:name="_Toc110586873"/>
      <w:bookmarkStart w:id="4023" w:name="_Toc110587327"/>
      <w:bookmarkStart w:id="4024" w:name="_Toc110587763"/>
      <w:bookmarkStart w:id="4025" w:name="_Toc110588205"/>
      <w:bookmarkStart w:id="4026" w:name="_Toc110589178"/>
      <w:bookmarkStart w:id="4027" w:name="_Toc110589615"/>
      <w:bookmarkStart w:id="4028" w:name="_Toc110595621"/>
      <w:bookmarkStart w:id="4029" w:name="_Toc110596026"/>
      <w:bookmarkStart w:id="4030" w:name="_Toc110601232"/>
      <w:bookmarkStart w:id="4031" w:name="_Toc110607699"/>
      <w:bookmarkStart w:id="4032" w:name="_Toc110613663"/>
      <w:bookmarkStart w:id="4033" w:name="_Toc112409238"/>
      <w:bookmarkStart w:id="4034" w:name="_Toc112410000"/>
      <w:bookmarkStart w:id="4035" w:name="_Toc114140930"/>
      <w:bookmarkStart w:id="4036" w:name="_Toc114145510"/>
      <w:bookmarkStart w:id="4037" w:name="_Toc114145844"/>
      <w:bookmarkStart w:id="4038" w:name="_Toc114146136"/>
      <w:bookmarkStart w:id="4039" w:name="_Toc104558574"/>
      <w:bookmarkStart w:id="4040" w:name="_Toc110586432"/>
      <w:bookmarkStart w:id="4041" w:name="_Toc110586874"/>
      <w:bookmarkStart w:id="4042" w:name="_Toc110587328"/>
      <w:bookmarkStart w:id="4043" w:name="_Toc110587764"/>
      <w:bookmarkStart w:id="4044" w:name="_Toc110588206"/>
      <w:bookmarkStart w:id="4045" w:name="_Toc110589179"/>
      <w:bookmarkStart w:id="4046" w:name="_Toc110589616"/>
      <w:bookmarkStart w:id="4047" w:name="_Toc110595622"/>
      <w:bookmarkStart w:id="4048" w:name="_Toc110596027"/>
      <w:bookmarkStart w:id="4049" w:name="_Toc110601233"/>
      <w:bookmarkStart w:id="4050" w:name="_Toc110607700"/>
      <w:bookmarkStart w:id="4051" w:name="_Toc110613664"/>
      <w:bookmarkStart w:id="4052" w:name="_Toc112409239"/>
      <w:bookmarkStart w:id="4053" w:name="_Toc112410001"/>
      <w:bookmarkStart w:id="4054" w:name="_Toc114140931"/>
      <w:bookmarkStart w:id="4055" w:name="_Toc114145511"/>
      <w:bookmarkStart w:id="4056" w:name="_Toc114145845"/>
      <w:bookmarkStart w:id="4057" w:name="_Toc114146137"/>
      <w:bookmarkStart w:id="4058" w:name="_Toc104558575"/>
      <w:bookmarkStart w:id="4059" w:name="_Toc110586433"/>
      <w:bookmarkStart w:id="4060" w:name="_Toc110586875"/>
      <w:bookmarkStart w:id="4061" w:name="_Toc110587329"/>
      <w:bookmarkStart w:id="4062" w:name="_Toc110587765"/>
      <w:bookmarkStart w:id="4063" w:name="_Toc110588207"/>
      <w:bookmarkStart w:id="4064" w:name="_Toc110589180"/>
      <w:bookmarkStart w:id="4065" w:name="_Toc110589617"/>
      <w:bookmarkStart w:id="4066" w:name="_Toc110595623"/>
      <w:bookmarkStart w:id="4067" w:name="_Toc110596028"/>
      <w:bookmarkStart w:id="4068" w:name="_Toc110601234"/>
      <w:bookmarkStart w:id="4069" w:name="_Toc110607701"/>
      <w:bookmarkStart w:id="4070" w:name="_Toc110613665"/>
      <w:bookmarkStart w:id="4071" w:name="_Toc112409240"/>
      <w:bookmarkStart w:id="4072" w:name="_Toc112410002"/>
      <w:bookmarkStart w:id="4073" w:name="_Toc114140932"/>
      <w:bookmarkStart w:id="4074" w:name="_Toc114145512"/>
      <w:bookmarkStart w:id="4075" w:name="_Toc114145846"/>
      <w:bookmarkStart w:id="4076" w:name="_Toc114146138"/>
      <w:bookmarkStart w:id="4077" w:name="_Toc104558576"/>
      <w:bookmarkStart w:id="4078" w:name="_Toc110586434"/>
      <w:bookmarkStart w:id="4079" w:name="_Toc110586876"/>
      <w:bookmarkStart w:id="4080" w:name="_Toc110587330"/>
      <w:bookmarkStart w:id="4081" w:name="_Toc110587766"/>
      <w:bookmarkStart w:id="4082" w:name="_Toc110588208"/>
      <w:bookmarkStart w:id="4083" w:name="_Toc110589181"/>
      <w:bookmarkStart w:id="4084" w:name="_Toc110589618"/>
      <w:bookmarkStart w:id="4085" w:name="_Toc110595624"/>
      <w:bookmarkStart w:id="4086" w:name="_Toc110596029"/>
      <w:bookmarkStart w:id="4087" w:name="_Toc110601235"/>
      <w:bookmarkStart w:id="4088" w:name="_Toc110607702"/>
      <w:bookmarkStart w:id="4089" w:name="_Toc110613666"/>
      <w:bookmarkStart w:id="4090" w:name="_Toc112409241"/>
      <w:bookmarkStart w:id="4091" w:name="_Toc112410003"/>
      <w:bookmarkStart w:id="4092" w:name="_Toc114140933"/>
      <w:bookmarkStart w:id="4093" w:name="_Toc114145513"/>
      <w:bookmarkStart w:id="4094" w:name="_Toc114145847"/>
      <w:bookmarkStart w:id="4095" w:name="_Toc114146139"/>
      <w:bookmarkStart w:id="4096" w:name="_Toc104558577"/>
      <w:bookmarkStart w:id="4097" w:name="_Toc110586435"/>
      <w:bookmarkStart w:id="4098" w:name="_Toc110586877"/>
      <w:bookmarkStart w:id="4099" w:name="_Toc110587331"/>
      <w:bookmarkStart w:id="4100" w:name="_Toc110587767"/>
      <w:bookmarkStart w:id="4101" w:name="_Toc110588209"/>
      <w:bookmarkStart w:id="4102" w:name="_Toc110589182"/>
      <w:bookmarkStart w:id="4103" w:name="_Toc110589619"/>
      <w:bookmarkStart w:id="4104" w:name="_Toc110595625"/>
      <w:bookmarkStart w:id="4105" w:name="_Toc110596030"/>
      <w:bookmarkStart w:id="4106" w:name="_Toc110601236"/>
      <w:bookmarkStart w:id="4107" w:name="_Toc110607703"/>
      <w:bookmarkStart w:id="4108" w:name="_Toc110613667"/>
      <w:bookmarkStart w:id="4109" w:name="_Toc112409242"/>
      <w:bookmarkStart w:id="4110" w:name="_Toc112410004"/>
      <w:bookmarkStart w:id="4111" w:name="_Toc114140934"/>
      <w:bookmarkStart w:id="4112" w:name="_Toc114145514"/>
      <w:bookmarkStart w:id="4113" w:name="_Toc114145848"/>
      <w:bookmarkStart w:id="4114" w:name="_Toc114146140"/>
      <w:bookmarkStart w:id="4115" w:name="_Toc104558578"/>
      <w:bookmarkStart w:id="4116" w:name="_Toc110586436"/>
      <w:bookmarkStart w:id="4117" w:name="_Toc110586878"/>
      <w:bookmarkStart w:id="4118" w:name="_Toc110587332"/>
      <w:bookmarkStart w:id="4119" w:name="_Toc110587768"/>
      <w:bookmarkStart w:id="4120" w:name="_Toc110588210"/>
      <w:bookmarkStart w:id="4121" w:name="_Toc110589183"/>
      <w:bookmarkStart w:id="4122" w:name="_Toc110589620"/>
      <w:bookmarkStart w:id="4123" w:name="_Toc110595626"/>
      <w:bookmarkStart w:id="4124" w:name="_Toc110596031"/>
      <w:bookmarkStart w:id="4125" w:name="_Toc110601237"/>
      <w:bookmarkStart w:id="4126" w:name="_Toc110607704"/>
      <w:bookmarkStart w:id="4127" w:name="_Toc110613668"/>
      <w:bookmarkStart w:id="4128" w:name="_Toc112409243"/>
      <w:bookmarkStart w:id="4129" w:name="_Toc112410005"/>
      <w:bookmarkStart w:id="4130" w:name="_Toc114140935"/>
      <w:bookmarkStart w:id="4131" w:name="_Toc114145515"/>
      <w:bookmarkStart w:id="4132" w:name="_Toc114145849"/>
      <w:bookmarkStart w:id="4133" w:name="_Toc114146141"/>
      <w:bookmarkStart w:id="4134" w:name="_Toc104558579"/>
      <w:bookmarkStart w:id="4135" w:name="_Toc110586437"/>
      <w:bookmarkStart w:id="4136" w:name="_Toc110586879"/>
      <w:bookmarkStart w:id="4137" w:name="_Toc110587333"/>
      <w:bookmarkStart w:id="4138" w:name="_Toc110587769"/>
      <w:bookmarkStart w:id="4139" w:name="_Toc110588211"/>
      <w:bookmarkStart w:id="4140" w:name="_Toc110589184"/>
      <w:bookmarkStart w:id="4141" w:name="_Toc110589621"/>
      <w:bookmarkStart w:id="4142" w:name="_Toc110595627"/>
      <w:bookmarkStart w:id="4143" w:name="_Toc110596032"/>
      <w:bookmarkStart w:id="4144" w:name="_Toc110601238"/>
      <w:bookmarkStart w:id="4145" w:name="_Toc110607705"/>
      <w:bookmarkStart w:id="4146" w:name="_Toc110613669"/>
      <w:bookmarkStart w:id="4147" w:name="_Toc112409244"/>
      <w:bookmarkStart w:id="4148" w:name="_Toc112410006"/>
      <w:bookmarkStart w:id="4149" w:name="_Toc114140936"/>
      <w:bookmarkStart w:id="4150" w:name="_Toc114145516"/>
      <w:bookmarkStart w:id="4151" w:name="_Toc114145850"/>
      <w:bookmarkStart w:id="4152" w:name="_Toc114146142"/>
      <w:bookmarkStart w:id="4153" w:name="_Toc103590647"/>
      <w:bookmarkStart w:id="4154" w:name="_Toc104558580"/>
      <w:bookmarkStart w:id="4155" w:name="_Toc110586438"/>
      <w:bookmarkStart w:id="4156" w:name="_Toc110586880"/>
      <w:bookmarkStart w:id="4157" w:name="_Toc110587334"/>
      <w:bookmarkStart w:id="4158" w:name="_Toc110587770"/>
      <w:bookmarkStart w:id="4159" w:name="_Toc110588212"/>
      <w:bookmarkStart w:id="4160" w:name="_Toc110589185"/>
      <w:bookmarkStart w:id="4161" w:name="_Toc110589622"/>
      <w:bookmarkStart w:id="4162" w:name="_Toc110595628"/>
      <w:bookmarkStart w:id="4163" w:name="_Toc110596033"/>
      <w:bookmarkStart w:id="4164" w:name="_Toc110601239"/>
      <w:bookmarkStart w:id="4165" w:name="_Toc110607706"/>
      <w:bookmarkStart w:id="4166" w:name="_Toc110613670"/>
      <w:bookmarkStart w:id="4167" w:name="_Toc112409245"/>
      <w:bookmarkStart w:id="4168" w:name="_Toc112410007"/>
      <w:bookmarkStart w:id="4169" w:name="_Toc114140937"/>
      <w:bookmarkStart w:id="4170" w:name="_Toc114145517"/>
      <w:bookmarkStart w:id="4171" w:name="_Toc114145851"/>
      <w:bookmarkStart w:id="4172" w:name="_Toc114146143"/>
      <w:bookmarkStart w:id="4173" w:name="_Toc103590648"/>
      <w:bookmarkStart w:id="4174" w:name="_Toc104558581"/>
      <w:bookmarkStart w:id="4175" w:name="_Toc110586439"/>
      <w:bookmarkStart w:id="4176" w:name="_Toc110586881"/>
      <w:bookmarkStart w:id="4177" w:name="_Toc110587335"/>
      <w:bookmarkStart w:id="4178" w:name="_Toc110587771"/>
      <w:bookmarkStart w:id="4179" w:name="_Toc110588213"/>
      <w:bookmarkStart w:id="4180" w:name="_Toc110589186"/>
      <w:bookmarkStart w:id="4181" w:name="_Toc110589623"/>
      <w:bookmarkStart w:id="4182" w:name="_Toc110595629"/>
      <w:bookmarkStart w:id="4183" w:name="_Toc110596034"/>
      <w:bookmarkStart w:id="4184" w:name="_Toc110601240"/>
      <w:bookmarkStart w:id="4185" w:name="_Toc110607707"/>
      <w:bookmarkStart w:id="4186" w:name="_Toc110613671"/>
      <w:bookmarkStart w:id="4187" w:name="_Toc112409246"/>
      <w:bookmarkStart w:id="4188" w:name="_Toc112410008"/>
      <w:bookmarkStart w:id="4189" w:name="_Toc114140938"/>
      <w:bookmarkStart w:id="4190" w:name="_Toc114145518"/>
      <w:bookmarkStart w:id="4191" w:name="_Toc114145852"/>
      <w:bookmarkStart w:id="4192" w:name="_Toc114146144"/>
      <w:bookmarkStart w:id="4193" w:name="_How_to_apply_1"/>
      <w:bookmarkStart w:id="4194" w:name="_Toc110607719"/>
      <w:bookmarkStart w:id="4195" w:name="_Toc110613683"/>
      <w:bookmarkStart w:id="4196" w:name="_Toc112409258"/>
      <w:bookmarkStart w:id="4197" w:name="_Toc112410020"/>
      <w:bookmarkStart w:id="4198" w:name="_Toc114140950"/>
      <w:bookmarkStart w:id="4199" w:name="_Toc114145530"/>
      <w:bookmarkStart w:id="4200" w:name="_Toc114145864"/>
      <w:bookmarkStart w:id="4201" w:name="_Toc114146156"/>
      <w:bookmarkStart w:id="4202" w:name="_Toc110607720"/>
      <w:bookmarkStart w:id="4203" w:name="_Toc110613684"/>
      <w:bookmarkStart w:id="4204" w:name="_Toc112409259"/>
      <w:bookmarkStart w:id="4205" w:name="_Toc112410021"/>
      <w:bookmarkStart w:id="4206" w:name="_Toc114140951"/>
      <w:bookmarkStart w:id="4207" w:name="_Toc114145531"/>
      <w:bookmarkStart w:id="4208" w:name="_Toc114145865"/>
      <w:bookmarkStart w:id="4209" w:name="_Toc114146157"/>
      <w:bookmarkStart w:id="4210" w:name="_How_to_apply_2"/>
      <w:bookmarkStart w:id="4211" w:name="_Toc114140952"/>
      <w:bookmarkStart w:id="4212" w:name="_Toc114145532"/>
      <w:bookmarkStart w:id="4213" w:name="_Toc114145866"/>
      <w:bookmarkStart w:id="4214" w:name="_Toc114146158"/>
      <w:bookmarkStart w:id="4215" w:name="_Toc114140953"/>
      <w:bookmarkStart w:id="4216" w:name="_Toc114145533"/>
      <w:bookmarkStart w:id="4217" w:name="_Toc114145867"/>
      <w:bookmarkStart w:id="4218" w:name="_Toc114146159"/>
      <w:bookmarkStart w:id="4219" w:name="_Toc114140954"/>
      <w:bookmarkStart w:id="4220" w:name="_Toc114145534"/>
      <w:bookmarkStart w:id="4221" w:name="_Toc114145868"/>
      <w:bookmarkStart w:id="4222" w:name="_Toc114146160"/>
      <w:bookmarkStart w:id="4223" w:name="_Toc114140955"/>
      <w:bookmarkStart w:id="4224" w:name="_Toc114145535"/>
      <w:bookmarkStart w:id="4225" w:name="_Toc114145869"/>
      <w:bookmarkStart w:id="4226" w:name="_Toc114146161"/>
      <w:bookmarkStart w:id="4227" w:name="_Toc114140956"/>
      <w:bookmarkStart w:id="4228" w:name="_Toc114145536"/>
      <w:bookmarkStart w:id="4229" w:name="_Toc114145870"/>
      <w:bookmarkStart w:id="4230" w:name="_Toc114146162"/>
      <w:bookmarkStart w:id="4231" w:name="_Toc114140957"/>
      <w:bookmarkStart w:id="4232" w:name="_Toc114145537"/>
      <w:bookmarkStart w:id="4233" w:name="_Toc114145871"/>
      <w:bookmarkStart w:id="4234" w:name="_Toc114146163"/>
      <w:bookmarkStart w:id="4235" w:name="_Toc110586894"/>
      <w:bookmarkStart w:id="4236" w:name="_Toc207868004"/>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r w:rsidRPr="00042ADB">
        <w:rPr>
          <w:sz w:val="24"/>
          <w:szCs w:val="24"/>
        </w:rPr>
        <w:t>Step 1 - Review L</w:t>
      </w:r>
      <w:r>
        <w:rPr>
          <w:sz w:val="24"/>
          <w:szCs w:val="24"/>
        </w:rPr>
        <w:t xml:space="preserve">ocal </w:t>
      </w:r>
      <w:r w:rsidRPr="00042ADB">
        <w:rPr>
          <w:sz w:val="24"/>
          <w:szCs w:val="24"/>
        </w:rPr>
        <w:t>J</w:t>
      </w:r>
      <w:r>
        <w:rPr>
          <w:sz w:val="24"/>
          <w:szCs w:val="24"/>
        </w:rPr>
        <w:t xml:space="preserve">obs </w:t>
      </w:r>
      <w:r w:rsidRPr="00042ADB">
        <w:rPr>
          <w:sz w:val="24"/>
          <w:szCs w:val="24"/>
        </w:rPr>
        <w:t>F</w:t>
      </w:r>
      <w:r>
        <w:rPr>
          <w:sz w:val="24"/>
          <w:szCs w:val="24"/>
        </w:rPr>
        <w:t>irst</w:t>
      </w:r>
      <w:r w:rsidRPr="00042ADB">
        <w:rPr>
          <w:sz w:val="24"/>
          <w:szCs w:val="24"/>
        </w:rPr>
        <w:t xml:space="preserve"> Requirements in grant documents issued by agency</w:t>
      </w:r>
      <w:bookmarkEnd w:id="4235"/>
      <w:bookmarkEnd w:id="4236"/>
    </w:p>
    <w:p w14:paraId="1DD7A4AF" w14:textId="460725DC" w:rsidR="008D792C" w:rsidRPr="00042ADB" w:rsidRDefault="008D792C" w:rsidP="001D7FC1">
      <w:pPr>
        <w:spacing w:before="0"/>
        <w:jc w:val="both"/>
        <w:rPr>
          <w:rFonts w:cstheme="minorHAnsi"/>
          <w:szCs w:val="18"/>
        </w:rPr>
      </w:pPr>
      <w:r w:rsidRPr="00042ADB">
        <w:rPr>
          <w:rFonts w:cstheme="minorHAnsi"/>
          <w:szCs w:val="18"/>
        </w:rPr>
        <w:t xml:space="preserve">The grant documents including guidelines and proposed contracts will notify grant applicants of the </w:t>
      </w:r>
      <w:r>
        <w:rPr>
          <w:rFonts w:cstheme="minorHAnsi"/>
          <w:szCs w:val="18"/>
        </w:rPr>
        <w:t>LJF</w:t>
      </w:r>
      <w:r w:rsidRPr="00042ADB">
        <w:rPr>
          <w:rFonts w:cstheme="minorHAnsi"/>
          <w:szCs w:val="18"/>
        </w:rPr>
        <w:t xml:space="preserve"> requirements, including:</w:t>
      </w:r>
    </w:p>
    <w:p w14:paraId="74D593DB" w14:textId="5F8CCAAF" w:rsidR="008D792C" w:rsidRPr="00042ADB" w:rsidRDefault="008D792C" w:rsidP="00DD69E1">
      <w:pPr>
        <w:pStyle w:val="ListParagraph"/>
        <w:numPr>
          <w:ilvl w:val="0"/>
          <w:numId w:val="60"/>
        </w:numPr>
        <w:spacing w:before="120" w:after="120"/>
        <w:ind w:left="357" w:hanging="357"/>
        <w:contextualSpacing w:val="0"/>
        <w:jc w:val="both"/>
        <w:rPr>
          <w:rFonts w:ascii="VIC" w:hAnsi="VIC" w:cstheme="minorHAnsi"/>
          <w:sz w:val="18"/>
          <w:szCs w:val="18"/>
          <w:lang w:eastAsia="en-US"/>
        </w:rPr>
      </w:pPr>
      <w:r>
        <w:rPr>
          <w:rFonts w:ascii="VIC" w:hAnsi="VIC" w:cstheme="minorHAnsi"/>
          <w:b/>
          <w:bCs/>
          <w:sz w:val="18"/>
          <w:szCs w:val="18"/>
          <w:lang w:eastAsia="en-US"/>
        </w:rPr>
        <w:t>i</w:t>
      </w:r>
      <w:r w:rsidRPr="00042ADB">
        <w:rPr>
          <w:rFonts w:ascii="VIC" w:hAnsi="VIC" w:cstheme="minorHAnsi"/>
          <w:b/>
          <w:bCs/>
          <w:sz w:val="18"/>
          <w:szCs w:val="18"/>
          <w:lang w:eastAsia="en-US"/>
        </w:rPr>
        <w:t xml:space="preserve">f the project must apply </w:t>
      </w:r>
      <w:r>
        <w:rPr>
          <w:rFonts w:ascii="VIC" w:hAnsi="VIC" w:cstheme="minorHAnsi"/>
          <w:b/>
          <w:bCs/>
          <w:sz w:val="18"/>
          <w:szCs w:val="18"/>
          <w:lang w:eastAsia="en-US"/>
        </w:rPr>
        <w:t>LJF</w:t>
      </w:r>
      <w:r w:rsidRPr="00042ADB">
        <w:rPr>
          <w:rFonts w:ascii="VIC" w:hAnsi="VIC" w:cstheme="minorHAnsi"/>
          <w:sz w:val="18"/>
          <w:szCs w:val="18"/>
          <w:lang w:eastAsia="en-US"/>
        </w:rPr>
        <w:t>, and</w:t>
      </w:r>
    </w:p>
    <w:p w14:paraId="409620EF" w14:textId="40EC0E85" w:rsidR="008D792C" w:rsidRPr="00042ADB" w:rsidRDefault="008D792C" w:rsidP="00DD69E1">
      <w:pPr>
        <w:pStyle w:val="ListParagraph"/>
        <w:numPr>
          <w:ilvl w:val="0"/>
          <w:numId w:val="60"/>
        </w:numPr>
        <w:spacing w:before="120" w:after="120"/>
        <w:ind w:left="357" w:hanging="357"/>
        <w:contextualSpacing w:val="0"/>
        <w:jc w:val="both"/>
        <w:rPr>
          <w:rFonts w:ascii="VIC" w:hAnsi="VIC" w:cstheme="minorHAnsi"/>
          <w:sz w:val="18"/>
          <w:szCs w:val="18"/>
          <w:lang w:eastAsia="en-US"/>
        </w:rPr>
      </w:pPr>
      <w:r>
        <w:rPr>
          <w:rFonts w:ascii="VIC" w:hAnsi="VIC" w:cs="Arial"/>
          <w:b/>
          <w:bCs/>
          <w:sz w:val="18"/>
          <w:szCs w:val="20"/>
          <w:lang w:eastAsia="en-US"/>
        </w:rPr>
        <w:t>the r</w:t>
      </w:r>
      <w:r w:rsidRPr="00042ADB">
        <w:rPr>
          <w:rFonts w:ascii="VIC" w:hAnsi="VIC" w:cs="Arial"/>
          <w:b/>
          <w:bCs/>
          <w:sz w:val="18"/>
          <w:szCs w:val="20"/>
          <w:lang w:eastAsia="en-US"/>
        </w:rPr>
        <w:t>equirement to consult with the ICN</w:t>
      </w:r>
      <w:r w:rsidRPr="00042ADB">
        <w:rPr>
          <w:rFonts w:ascii="VIC" w:hAnsi="VIC" w:cs="Arial"/>
          <w:sz w:val="18"/>
          <w:szCs w:val="20"/>
          <w:lang w:eastAsia="en-US"/>
        </w:rPr>
        <w:t xml:space="preserve"> </w:t>
      </w:r>
      <w:r w:rsidRPr="00042ADB">
        <w:rPr>
          <w:rFonts w:ascii="VIC" w:hAnsi="VIC" w:cstheme="minorHAnsi"/>
          <w:sz w:val="18"/>
          <w:szCs w:val="18"/>
          <w:lang w:eastAsia="en-US"/>
        </w:rPr>
        <w:t>regarding opportunities for local businesses, particularly for contestable items.</w:t>
      </w:r>
    </w:p>
    <w:p w14:paraId="552FE3C2" w14:textId="4BF9B0A0" w:rsidR="008D792C" w:rsidRPr="00042ADB" w:rsidRDefault="008D792C" w:rsidP="00DD69E1">
      <w:pPr>
        <w:pStyle w:val="Heading2"/>
        <w:ind w:left="578" w:hanging="578"/>
        <w:jc w:val="both"/>
        <w:rPr>
          <w:sz w:val="24"/>
          <w:szCs w:val="24"/>
        </w:rPr>
      </w:pPr>
      <w:bookmarkStart w:id="4237" w:name="_Toc104558595"/>
      <w:bookmarkStart w:id="4238" w:name="_Toc110586453"/>
      <w:bookmarkStart w:id="4239" w:name="_Toc110586895"/>
      <w:bookmarkStart w:id="4240" w:name="_Toc110587349"/>
      <w:bookmarkStart w:id="4241" w:name="_Toc110587785"/>
      <w:bookmarkStart w:id="4242" w:name="_Toc110588227"/>
      <w:bookmarkStart w:id="4243" w:name="_Toc110589200"/>
      <w:bookmarkStart w:id="4244" w:name="_Toc110589637"/>
      <w:bookmarkStart w:id="4245" w:name="_Toc110595643"/>
      <w:bookmarkStart w:id="4246" w:name="_Toc110596048"/>
      <w:bookmarkStart w:id="4247" w:name="_Toc110601254"/>
      <w:bookmarkStart w:id="4248" w:name="_Toc110607723"/>
      <w:bookmarkStart w:id="4249" w:name="_Toc110613687"/>
      <w:bookmarkStart w:id="4250" w:name="_Toc112409262"/>
      <w:bookmarkStart w:id="4251" w:name="_Toc112410024"/>
      <w:bookmarkStart w:id="4252" w:name="_Toc114140959"/>
      <w:bookmarkStart w:id="4253" w:name="_Toc114145539"/>
      <w:bookmarkStart w:id="4254" w:name="_Toc114145873"/>
      <w:bookmarkStart w:id="4255" w:name="_Toc114146165"/>
      <w:bookmarkStart w:id="4256" w:name="_Toc104558596"/>
      <w:bookmarkStart w:id="4257" w:name="_Toc110586454"/>
      <w:bookmarkStart w:id="4258" w:name="_Toc110586896"/>
      <w:bookmarkStart w:id="4259" w:name="_Toc110587350"/>
      <w:bookmarkStart w:id="4260" w:name="_Toc110587786"/>
      <w:bookmarkStart w:id="4261" w:name="_Toc110588228"/>
      <w:bookmarkStart w:id="4262" w:name="_Toc110589201"/>
      <w:bookmarkStart w:id="4263" w:name="_Toc110589638"/>
      <w:bookmarkStart w:id="4264" w:name="_Toc110595644"/>
      <w:bookmarkStart w:id="4265" w:name="_Toc110596049"/>
      <w:bookmarkStart w:id="4266" w:name="_Toc110601255"/>
      <w:bookmarkStart w:id="4267" w:name="_Toc110607724"/>
      <w:bookmarkStart w:id="4268" w:name="_Toc110613688"/>
      <w:bookmarkStart w:id="4269" w:name="_Toc112409263"/>
      <w:bookmarkStart w:id="4270" w:name="_Toc112410025"/>
      <w:bookmarkStart w:id="4271" w:name="_Toc114140960"/>
      <w:bookmarkStart w:id="4272" w:name="_Toc114145540"/>
      <w:bookmarkStart w:id="4273" w:name="_Toc114145874"/>
      <w:bookmarkStart w:id="4274" w:name="_Toc114146166"/>
      <w:bookmarkStart w:id="4275" w:name="_Toc104558597"/>
      <w:bookmarkStart w:id="4276" w:name="_Toc110586455"/>
      <w:bookmarkStart w:id="4277" w:name="_Toc110586897"/>
      <w:bookmarkStart w:id="4278" w:name="_Toc110587351"/>
      <w:bookmarkStart w:id="4279" w:name="_Toc110587787"/>
      <w:bookmarkStart w:id="4280" w:name="_Toc110588229"/>
      <w:bookmarkStart w:id="4281" w:name="_Toc110589202"/>
      <w:bookmarkStart w:id="4282" w:name="_Toc110589639"/>
      <w:bookmarkStart w:id="4283" w:name="_Toc110595645"/>
      <w:bookmarkStart w:id="4284" w:name="_Toc110596050"/>
      <w:bookmarkStart w:id="4285" w:name="_Toc110601256"/>
      <w:bookmarkStart w:id="4286" w:name="_Toc110607725"/>
      <w:bookmarkStart w:id="4287" w:name="_Toc110613689"/>
      <w:bookmarkStart w:id="4288" w:name="_Toc112409264"/>
      <w:bookmarkStart w:id="4289" w:name="_Toc112410026"/>
      <w:bookmarkStart w:id="4290" w:name="_Toc114140961"/>
      <w:bookmarkStart w:id="4291" w:name="_Toc114145541"/>
      <w:bookmarkStart w:id="4292" w:name="_Toc114145875"/>
      <w:bookmarkStart w:id="4293" w:name="_Toc114146167"/>
      <w:bookmarkStart w:id="4294" w:name="_Toc110586898"/>
      <w:bookmarkStart w:id="4295" w:name="_Toc207868005"/>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r w:rsidRPr="00042ADB">
        <w:rPr>
          <w:sz w:val="24"/>
          <w:szCs w:val="24"/>
        </w:rPr>
        <w:t>Step 2 - Submit I</w:t>
      </w:r>
      <w:r>
        <w:rPr>
          <w:sz w:val="24"/>
          <w:szCs w:val="24"/>
        </w:rPr>
        <w:t>nteraction Reference Number (I</w:t>
      </w:r>
      <w:r w:rsidRPr="00042ADB">
        <w:rPr>
          <w:sz w:val="24"/>
          <w:szCs w:val="24"/>
        </w:rPr>
        <w:t>RN</w:t>
      </w:r>
      <w:r>
        <w:rPr>
          <w:sz w:val="24"/>
          <w:szCs w:val="24"/>
        </w:rPr>
        <w:t>)</w:t>
      </w:r>
      <w:r w:rsidRPr="00042ADB">
        <w:rPr>
          <w:sz w:val="24"/>
          <w:szCs w:val="24"/>
        </w:rPr>
        <w:t xml:space="preserve"> form to </w:t>
      </w:r>
      <w:r w:rsidR="009B5D4D">
        <w:rPr>
          <w:sz w:val="24"/>
          <w:szCs w:val="24"/>
        </w:rPr>
        <w:t xml:space="preserve">the </w:t>
      </w:r>
      <w:r w:rsidRPr="00042ADB">
        <w:rPr>
          <w:sz w:val="24"/>
          <w:szCs w:val="24"/>
        </w:rPr>
        <w:t>ICN when grant is awarded</w:t>
      </w:r>
      <w:bookmarkEnd w:id="4294"/>
      <w:bookmarkEnd w:id="4295"/>
    </w:p>
    <w:p w14:paraId="4E8B9514" w14:textId="365ACF93" w:rsidR="008D792C" w:rsidRPr="00042ADB" w:rsidRDefault="008D792C" w:rsidP="00DD69E1">
      <w:pPr>
        <w:spacing w:before="0"/>
        <w:jc w:val="both"/>
        <w:rPr>
          <w:rFonts w:cstheme="minorHAnsi"/>
          <w:szCs w:val="18"/>
          <w:lang w:val="en-US"/>
        </w:rPr>
      </w:pPr>
      <w:r w:rsidRPr="00042ADB">
        <w:rPr>
          <w:rFonts w:cstheme="minorHAnsi"/>
          <w:szCs w:val="18"/>
          <w:lang w:val="en-US"/>
        </w:rPr>
        <w:t xml:space="preserve">The agency contract manager will advise the grant recipient that they must submit an IRN form through the </w:t>
      </w:r>
      <w:hyperlink r:id="rId32" w:history="1">
        <w:r w:rsidRPr="00042ADB">
          <w:rPr>
            <w:rStyle w:val="Hyperlink"/>
            <w:rFonts w:cstheme="minorHAnsi"/>
            <w:szCs w:val="18"/>
            <w:lang w:val="en-US"/>
          </w:rPr>
          <w:t>VMC</w:t>
        </w:r>
      </w:hyperlink>
      <w:r w:rsidRPr="00042ADB">
        <w:rPr>
          <w:rFonts w:cstheme="minorHAnsi"/>
          <w:szCs w:val="18"/>
          <w:lang w:val="en-US"/>
        </w:rPr>
        <w:t xml:space="preserve">. </w:t>
      </w:r>
      <w:r>
        <w:rPr>
          <w:rFonts w:cstheme="minorHAnsi"/>
          <w:szCs w:val="18"/>
          <w:lang w:val="en-US"/>
        </w:rPr>
        <w:t>VMC</w:t>
      </w:r>
      <w:r w:rsidRPr="00042ADB">
        <w:rPr>
          <w:rFonts w:cstheme="minorHAnsi"/>
          <w:szCs w:val="18"/>
          <w:lang w:val="en-US"/>
        </w:rPr>
        <w:t xml:space="preserve"> registration should occur as soon as the grant recipient and agency reasonably expect the grant arrangement to proceed.</w:t>
      </w:r>
    </w:p>
    <w:p w14:paraId="5BE2F502" w14:textId="6D446D1E" w:rsidR="008D792C" w:rsidRPr="00E56415" w:rsidRDefault="008D792C" w:rsidP="00DD69E1">
      <w:pPr>
        <w:spacing w:before="0"/>
        <w:jc w:val="both"/>
      </w:pPr>
      <w:r w:rsidRPr="00042ADB">
        <w:rPr>
          <w:rFonts w:cstheme="minorHAnsi"/>
          <w:szCs w:val="18"/>
          <w:lang w:val="en-US"/>
        </w:rPr>
        <w:t>The IRN form requires grant recipients and design contractors to give an indication on the nature of the grant activities to be undertaken or project being designed, and the likely goods and services to be required</w:t>
      </w:r>
      <w:r w:rsidRPr="00E56415">
        <w:t xml:space="preserve">. The agency may provide information about the </w:t>
      </w:r>
      <w:r w:rsidRPr="00E56415">
        <w:rPr>
          <w:rFonts w:cs="Arial"/>
        </w:rPr>
        <w:t>details and scope of the proposed activity</w:t>
      </w:r>
      <w:r w:rsidRPr="00E56415">
        <w:t xml:space="preserve"> to help the grant recipient to complete the IRN form.</w:t>
      </w:r>
    </w:p>
    <w:p w14:paraId="2CDE3847" w14:textId="296AE3D4" w:rsidR="008D792C" w:rsidRPr="00527F94" w:rsidRDefault="008D792C" w:rsidP="00DD69E1">
      <w:pPr>
        <w:spacing w:before="0"/>
        <w:jc w:val="both"/>
      </w:pPr>
      <w:r w:rsidRPr="00604E48">
        <w:t>In some instances, such as for grants provided to local governments where the recipient is contracting out the works, it may be more appropriate for the lead contractor to complete the IRN process</w:t>
      </w:r>
      <w:r>
        <w:t xml:space="preserve"> on the grant recipient’s behalf</w:t>
      </w:r>
      <w:r w:rsidRPr="00604E48">
        <w:t>.</w:t>
      </w:r>
      <w:r w:rsidRPr="00155F1D">
        <w:t xml:space="preserve"> </w:t>
      </w:r>
      <w:r>
        <w:t>Prior discussion</w:t>
      </w:r>
      <w:r w:rsidRPr="00155F1D">
        <w:t xml:space="preserve"> with </w:t>
      </w:r>
      <w:r w:rsidR="008D3E91">
        <w:t xml:space="preserve">the </w:t>
      </w:r>
      <w:r w:rsidRPr="00155F1D">
        <w:t>ICN in these cases is recommended.</w:t>
      </w:r>
    </w:p>
    <w:p w14:paraId="6421BA82" w14:textId="4EBB2247" w:rsidR="008D792C" w:rsidRPr="00042ADB" w:rsidRDefault="008D792C" w:rsidP="00DD69E1">
      <w:pPr>
        <w:pStyle w:val="Heading2"/>
        <w:ind w:left="578" w:hanging="578"/>
        <w:jc w:val="both"/>
        <w:rPr>
          <w:sz w:val="24"/>
          <w:szCs w:val="24"/>
        </w:rPr>
      </w:pPr>
      <w:bookmarkStart w:id="4296" w:name="_Toc110586899"/>
      <w:bookmarkStart w:id="4297" w:name="_Toc207868006"/>
      <w:r w:rsidRPr="00042ADB">
        <w:rPr>
          <w:sz w:val="24"/>
          <w:szCs w:val="24"/>
        </w:rPr>
        <w:t xml:space="preserve">Step 3 - </w:t>
      </w:r>
      <w:r w:rsidR="005227CC">
        <w:rPr>
          <w:sz w:val="24"/>
          <w:szCs w:val="24"/>
        </w:rPr>
        <w:t>Provide information</w:t>
      </w:r>
      <w:r w:rsidR="004921BD">
        <w:rPr>
          <w:sz w:val="24"/>
          <w:szCs w:val="24"/>
        </w:rPr>
        <w:t xml:space="preserve"> </w:t>
      </w:r>
      <w:r w:rsidR="005227CC">
        <w:rPr>
          <w:sz w:val="24"/>
          <w:szCs w:val="24"/>
        </w:rPr>
        <w:t>to</w:t>
      </w:r>
      <w:r w:rsidRPr="00042ADB">
        <w:rPr>
          <w:sz w:val="24"/>
          <w:szCs w:val="24"/>
        </w:rPr>
        <w:t xml:space="preserve"> the ICN on opportunities for local industry</w:t>
      </w:r>
      <w:bookmarkEnd w:id="4296"/>
      <w:bookmarkEnd w:id="4297"/>
    </w:p>
    <w:p w14:paraId="0D6A26A7" w14:textId="7C1EEFE8" w:rsidR="008D792C" w:rsidRPr="00042ADB" w:rsidRDefault="008D792C" w:rsidP="00DD69E1">
      <w:pPr>
        <w:spacing w:before="0"/>
        <w:jc w:val="both"/>
      </w:pPr>
      <w:r w:rsidRPr="00042ADB">
        <w:t xml:space="preserve">Once the IRN form is submitted, the ICN will review the information and </w:t>
      </w:r>
      <w:r w:rsidR="004921BD">
        <w:t>may</w:t>
      </w:r>
      <w:r w:rsidR="004921BD" w:rsidRPr="00042ADB">
        <w:t xml:space="preserve"> </w:t>
      </w:r>
      <w:r w:rsidRPr="00042ADB">
        <w:t>contact the grant recipient to discuss opportunities for local industry.</w:t>
      </w:r>
    </w:p>
    <w:p w14:paraId="4D5981BD" w14:textId="2C3A79CC" w:rsidR="008D792C" w:rsidRPr="00042ADB" w:rsidRDefault="008D792C" w:rsidP="00DD69E1">
      <w:pPr>
        <w:spacing w:before="0"/>
        <w:jc w:val="both"/>
      </w:pPr>
      <w:r w:rsidRPr="00042ADB">
        <w:t xml:space="preserve">The grant recipient </w:t>
      </w:r>
      <w:r w:rsidR="00DB1C72">
        <w:t>may need to</w:t>
      </w:r>
      <w:r w:rsidR="00DB1C72" w:rsidRPr="00042ADB">
        <w:t xml:space="preserve"> </w:t>
      </w:r>
      <w:r w:rsidR="00C139A6">
        <w:t>provide information to</w:t>
      </w:r>
      <w:r w:rsidRPr="00042ADB">
        <w:t xml:space="preserve"> the ICN </w:t>
      </w:r>
      <w:r w:rsidR="00C139A6">
        <w:t>on</w:t>
      </w:r>
      <w:r w:rsidRPr="00042ADB">
        <w:t xml:space="preserve"> how the project will provide opportunities for SMEs, including consideration of contestable items </w:t>
      </w:r>
      <w:r>
        <w:t>where there are competitive international and local suppliers</w:t>
      </w:r>
      <w:r w:rsidRPr="00042ADB">
        <w:t>. This may involve the ICN contributing to or reviewing draft designs or participating in project meetings.</w:t>
      </w:r>
    </w:p>
    <w:p w14:paraId="7DD31D5A" w14:textId="5A5F4333" w:rsidR="008D792C" w:rsidRPr="00042ADB" w:rsidRDefault="008D792C" w:rsidP="00DD69E1">
      <w:pPr>
        <w:spacing w:before="0"/>
        <w:jc w:val="both"/>
      </w:pPr>
    </w:p>
    <w:p w14:paraId="693A50B4" w14:textId="4CB897D9" w:rsidR="008D792C" w:rsidRPr="00042ADB" w:rsidRDefault="008D792C" w:rsidP="00DD69E1">
      <w:pPr>
        <w:spacing w:before="0"/>
        <w:jc w:val="both"/>
      </w:pPr>
      <w:r w:rsidRPr="00042ADB">
        <w:t xml:space="preserve">If the ICN is satisfied with the </w:t>
      </w:r>
      <w:r w:rsidR="001E0EEE">
        <w:t>information provided</w:t>
      </w:r>
      <w:r w:rsidR="00A80DAA">
        <w:t>,</w:t>
      </w:r>
      <w:r w:rsidR="001E0EEE" w:rsidRPr="00042ADB">
        <w:t xml:space="preserve"> </w:t>
      </w:r>
      <w:r w:rsidRPr="00042ADB">
        <w:t xml:space="preserve">it will issue the grant recipient with an IRN and a </w:t>
      </w:r>
      <w:r>
        <w:t>R</w:t>
      </w:r>
      <w:r w:rsidRPr="00042ADB">
        <w:t xml:space="preserve">eference </w:t>
      </w:r>
      <w:r>
        <w:t>L</w:t>
      </w:r>
      <w:r w:rsidRPr="00042ADB">
        <w:t xml:space="preserve">etter noting any agreements made between the ICN and the grant recipient </w:t>
      </w:r>
      <w:r w:rsidR="004225A1">
        <w:t>if applicable</w:t>
      </w:r>
      <w:r w:rsidRPr="00042ADB">
        <w:t>.</w:t>
      </w:r>
    </w:p>
    <w:p w14:paraId="7D36EADE" w14:textId="0BA5BD83" w:rsidR="008D792C" w:rsidRPr="00042ADB" w:rsidRDefault="008D792C" w:rsidP="00DD69E1">
      <w:pPr>
        <w:pStyle w:val="Heading2"/>
        <w:ind w:left="578" w:hanging="578"/>
        <w:jc w:val="both"/>
        <w:rPr>
          <w:sz w:val="24"/>
          <w:szCs w:val="24"/>
        </w:rPr>
      </w:pPr>
      <w:bookmarkStart w:id="4298" w:name="_Toc110586900"/>
      <w:bookmarkStart w:id="4299" w:name="_Toc207868007"/>
      <w:r w:rsidRPr="00042ADB">
        <w:rPr>
          <w:sz w:val="24"/>
          <w:szCs w:val="24"/>
        </w:rPr>
        <w:t xml:space="preserve">Step 4 - Provide IRN and </w:t>
      </w:r>
      <w:r>
        <w:rPr>
          <w:sz w:val="24"/>
          <w:szCs w:val="24"/>
        </w:rPr>
        <w:t>R</w:t>
      </w:r>
      <w:r w:rsidRPr="00042ADB">
        <w:rPr>
          <w:sz w:val="24"/>
          <w:szCs w:val="24"/>
        </w:rPr>
        <w:t xml:space="preserve">eference </w:t>
      </w:r>
      <w:r>
        <w:rPr>
          <w:sz w:val="24"/>
          <w:szCs w:val="24"/>
        </w:rPr>
        <w:t>L</w:t>
      </w:r>
      <w:r w:rsidRPr="00042ADB">
        <w:rPr>
          <w:sz w:val="24"/>
          <w:szCs w:val="24"/>
        </w:rPr>
        <w:t>etter to agency contract manager</w:t>
      </w:r>
      <w:bookmarkEnd w:id="4298"/>
      <w:bookmarkEnd w:id="4299"/>
      <w:r w:rsidRPr="00042ADB">
        <w:rPr>
          <w:sz w:val="24"/>
          <w:szCs w:val="24"/>
        </w:rPr>
        <w:t xml:space="preserve"> </w:t>
      </w:r>
    </w:p>
    <w:p w14:paraId="4BC2B60C" w14:textId="5CB03A30" w:rsidR="008D792C" w:rsidRPr="00042ADB" w:rsidRDefault="008D792C" w:rsidP="00DD69E1">
      <w:pPr>
        <w:spacing w:before="0"/>
        <w:jc w:val="both"/>
      </w:pPr>
      <w:r w:rsidRPr="00042ADB">
        <w:t xml:space="preserve">The grant recipient will submit its IRN to the agency contract manager to demonstrate they have consulted with the ICN, and the ICN is satisfied local industry will be considered in the project. The grant recipient must provide the IRN to the agency within 20 business days of the grant agreement being executed. </w:t>
      </w:r>
    </w:p>
    <w:p w14:paraId="07CEB870" w14:textId="06C010CB" w:rsidR="008D792C" w:rsidRPr="00042ADB" w:rsidRDefault="008D792C" w:rsidP="00DD69E1">
      <w:pPr>
        <w:spacing w:before="0"/>
        <w:jc w:val="both"/>
      </w:pPr>
      <w:r w:rsidRPr="00042ADB">
        <w:t xml:space="preserve">The grant recipient must also inform the agency contract manager of any opportunities for local business agreed with </w:t>
      </w:r>
      <w:r w:rsidR="009B5D4D">
        <w:t xml:space="preserve">the </w:t>
      </w:r>
      <w:r w:rsidRPr="00042ADB">
        <w:t xml:space="preserve">ICN and may do this by providing a copy of the </w:t>
      </w:r>
      <w:r>
        <w:t>R</w:t>
      </w:r>
      <w:r w:rsidRPr="00042ADB">
        <w:t xml:space="preserve">eference </w:t>
      </w:r>
      <w:r>
        <w:t>L</w:t>
      </w:r>
      <w:r w:rsidRPr="00042ADB">
        <w:t>etter.</w:t>
      </w:r>
    </w:p>
    <w:p w14:paraId="5DE44F15" w14:textId="378213B8" w:rsidR="008D792C" w:rsidRPr="001D5EC0" w:rsidRDefault="008D792C" w:rsidP="00DD69E1">
      <w:pPr>
        <w:spacing w:before="0"/>
        <w:jc w:val="both"/>
      </w:pPr>
      <w:r w:rsidRPr="00042ADB">
        <w:t>The IRN and any agreements reached regarding LJF will form a condition precedent to payment of funds under the agreement.</w:t>
      </w:r>
    </w:p>
    <w:p w14:paraId="1ABAB8C4" w14:textId="77777777" w:rsidR="008D792C" w:rsidRPr="00042ADB" w:rsidRDefault="008D792C" w:rsidP="00DD69E1">
      <w:pPr>
        <w:pStyle w:val="Heading2"/>
        <w:ind w:left="578" w:hanging="578"/>
        <w:jc w:val="both"/>
        <w:rPr>
          <w:sz w:val="24"/>
          <w:szCs w:val="24"/>
        </w:rPr>
      </w:pPr>
      <w:bookmarkStart w:id="4300" w:name="_Toc207868008"/>
      <w:r w:rsidRPr="00042ADB">
        <w:rPr>
          <w:sz w:val="24"/>
          <w:szCs w:val="24"/>
        </w:rPr>
        <w:t>Step 5 – Monitor compliance with Local Jobs First commitments</w:t>
      </w:r>
      <w:bookmarkEnd w:id="4300"/>
    </w:p>
    <w:p w14:paraId="084EEC68" w14:textId="3B00880A" w:rsidR="008D792C" w:rsidRDefault="008D792C" w:rsidP="00DD69E1">
      <w:pPr>
        <w:jc w:val="both"/>
      </w:pPr>
      <w:r>
        <w:t>The grant recipient must monitor and maintain records demonstrating its compliance with any LJF commitments. Where required by the grant agreement, this information must also be submitted to the agency. The a</w:t>
      </w:r>
      <w:r w:rsidRPr="009A4991">
        <w:t xml:space="preserve">gency or </w:t>
      </w:r>
      <w:r w:rsidR="00267811">
        <w:t>DJSIR</w:t>
      </w:r>
      <w:r w:rsidR="00267811" w:rsidRPr="009A4991">
        <w:t xml:space="preserve"> </w:t>
      </w:r>
      <w:r w:rsidRPr="009A4991">
        <w:t>may consult with</w:t>
      </w:r>
      <w:r w:rsidR="00AC35E1">
        <w:t xml:space="preserve"> the</w:t>
      </w:r>
      <w:r w:rsidRPr="009A4991">
        <w:t xml:space="preserve"> ICN </w:t>
      </w:r>
      <w:r>
        <w:t>about</w:t>
      </w:r>
      <w:r w:rsidRPr="009A4991">
        <w:t xml:space="preserve"> the </w:t>
      </w:r>
      <w:r>
        <w:t>grant recipient’s</w:t>
      </w:r>
      <w:r w:rsidRPr="009A4991">
        <w:t xml:space="preserve"> compliance with any </w:t>
      </w:r>
      <w:r>
        <w:t>LJF</w:t>
      </w:r>
      <w:r w:rsidRPr="009A4991">
        <w:t xml:space="preserve"> </w:t>
      </w:r>
      <w:r>
        <w:t>c</w:t>
      </w:r>
      <w:r w:rsidRPr="009A4991">
        <w:t>ommitments.</w:t>
      </w:r>
    </w:p>
    <w:p w14:paraId="63612D9F" w14:textId="7198C15C" w:rsidR="008D792C" w:rsidRPr="008D792C" w:rsidRDefault="008D792C" w:rsidP="00DD69E1">
      <w:pPr>
        <w:jc w:val="both"/>
      </w:pPr>
      <w:r w:rsidRPr="00441BE2">
        <w:rPr>
          <w:rFonts w:cs="Arial"/>
        </w:rPr>
        <w:t xml:space="preserve">Any local content outcomes achieved through consultation with the ICN will be noted and reported to the agency and </w:t>
      </w:r>
      <w:r w:rsidR="00267811">
        <w:rPr>
          <w:rFonts w:cs="Arial"/>
        </w:rPr>
        <w:t>DJSIR</w:t>
      </w:r>
      <w:r w:rsidR="00267811" w:rsidRPr="00441BE2">
        <w:rPr>
          <w:rFonts w:cs="Arial"/>
        </w:rPr>
        <w:t xml:space="preserve"> </w:t>
      </w:r>
      <w:r w:rsidRPr="00441BE2">
        <w:rPr>
          <w:rFonts w:cs="Arial"/>
        </w:rPr>
        <w:t>by the ICN.</w:t>
      </w:r>
    </w:p>
    <w:p w14:paraId="6D7D1F7D" w14:textId="019DF2C9" w:rsidR="00A35247" w:rsidRDefault="00BC0D9D" w:rsidP="00DD69E1">
      <w:pPr>
        <w:pStyle w:val="Heading1"/>
        <w:ind w:left="431" w:hanging="431"/>
      </w:pPr>
      <w:bookmarkStart w:id="4301" w:name="_Toc207868009"/>
      <w:r>
        <w:t>How to apply Local Jobs First to p</w:t>
      </w:r>
      <w:r w:rsidR="00A35247">
        <w:t>anel</w:t>
      </w:r>
      <w:r w:rsidR="00BF49E1">
        <w:t>s</w:t>
      </w:r>
      <w:bookmarkEnd w:id="1580"/>
      <w:bookmarkEnd w:id="4301"/>
    </w:p>
    <w:p w14:paraId="742DE2E3" w14:textId="0C3EEB20" w:rsidR="00A35247" w:rsidRDefault="00A35247" w:rsidP="00DD69E1">
      <w:pPr>
        <w:spacing w:before="0"/>
        <w:jc w:val="both"/>
      </w:pPr>
      <w:r>
        <w:t xml:space="preserve">Panel contracts entail an agency appointing a panel of suppliers, from which individual suppliers are then selected to provide </w:t>
      </w:r>
      <w:proofErr w:type="gramStart"/>
      <w:r>
        <w:t>particular goods</w:t>
      </w:r>
      <w:proofErr w:type="gramEnd"/>
      <w:r>
        <w:t xml:space="preserve"> or services over the life of the contract. </w:t>
      </w:r>
      <w:r w:rsidRPr="00C73259">
        <w:t xml:space="preserve">Examples include State Purchase Contracts (SPCs) and </w:t>
      </w:r>
      <w:r>
        <w:t>S</w:t>
      </w:r>
      <w:r w:rsidRPr="00C73259">
        <w:t xml:space="preserve">ole </w:t>
      </w:r>
      <w:r>
        <w:t>E</w:t>
      </w:r>
      <w:r w:rsidRPr="00C73259">
        <w:t xml:space="preserve">ntity </w:t>
      </w:r>
      <w:r>
        <w:t>P</w:t>
      </w:r>
      <w:r w:rsidRPr="00C73259">
        <w:t xml:space="preserve">urchase </w:t>
      </w:r>
      <w:r>
        <w:t>C</w:t>
      </w:r>
      <w:r w:rsidRPr="00C73259">
        <w:t>ontracts</w:t>
      </w:r>
      <w:r>
        <w:t xml:space="preserve"> (SEPCs)</w:t>
      </w:r>
      <w:r w:rsidRPr="00C73259">
        <w:t>.</w:t>
      </w:r>
    </w:p>
    <w:p w14:paraId="1F660EA3" w14:textId="77777777" w:rsidR="00A35247" w:rsidRPr="00042ADB" w:rsidRDefault="00A35247" w:rsidP="00DD69E1">
      <w:pPr>
        <w:pStyle w:val="Heading2"/>
        <w:ind w:left="578" w:hanging="578"/>
        <w:jc w:val="both"/>
        <w:rPr>
          <w:sz w:val="24"/>
          <w:szCs w:val="24"/>
        </w:rPr>
      </w:pPr>
      <w:bookmarkStart w:id="4302" w:name="_Toc110586902"/>
      <w:bookmarkStart w:id="4303" w:name="_Toc207868010"/>
      <w:r w:rsidRPr="00042ADB">
        <w:rPr>
          <w:sz w:val="24"/>
          <w:szCs w:val="24"/>
        </w:rPr>
        <w:t>Joining a panel</w:t>
      </w:r>
      <w:bookmarkEnd w:id="4302"/>
      <w:bookmarkEnd w:id="4303"/>
    </w:p>
    <w:p w14:paraId="155FCE08" w14:textId="2377C1BE" w:rsidR="005002DB" w:rsidRDefault="00A35247" w:rsidP="00DD69E1">
      <w:pPr>
        <w:spacing w:before="0"/>
        <w:jc w:val="both"/>
        <w:rPr>
          <w:szCs w:val="18"/>
        </w:rPr>
      </w:pPr>
      <w:r>
        <w:rPr>
          <w:szCs w:val="18"/>
        </w:rPr>
        <w:t>LJF requirements for suppliers joining a panel will be outlined in the market approach information provided by the agency establishing or renewing the panel.</w:t>
      </w:r>
      <w:r w:rsidR="00770D72">
        <w:rPr>
          <w:szCs w:val="18"/>
        </w:rPr>
        <w:t xml:space="preserve"> </w:t>
      </w:r>
      <w:r>
        <w:rPr>
          <w:szCs w:val="18"/>
        </w:rPr>
        <w:t xml:space="preserve">Typically, LJF requirements for suppliers </w:t>
      </w:r>
      <w:r w:rsidR="00CD1DDC">
        <w:rPr>
          <w:szCs w:val="18"/>
        </w:rPr>
        <w:t xml:space="preserve">joining a panel </w:t>
      </w:r>
      <w:r>
        <w:rPr>
          <w:szCs w:val="18"/>
        </w:rPr>
        <w:t xml:space="preserve">will </w:t>
      </w:r>
      <w:r w:rsidR="008D3D1A">
        <w:rPr>
          <w:szCs w:val="18"/>
        </w:rPr>
        <w:t xml:space="preserve">only </w:t>
      </w:r>
      <w:r>
        <w:rPr>
          <w:szCs w:val="18"/>
        </w:rPr>
        <w:t xml:space="preserve">commence at the point when an agency purchases from a supplier through </w:t>
      </w:r>
      <w:r w:rsidR="00770D72">
        <w:rPr>
          <w:szCs w:val="18"/>
        </w:rPr>
        <w:t>the</w:t>
      </w:r>
      <w:r>
        <w:rPr>
          <w:szCs w:val="18"/>
        </w:rPr>
        <w:t xml:space="preserve"> panel.</w:t>
      </w:r>
    </w:p>
    <w:p w14:paraId="6B623B67" w14:textId="44505CC2" w:rsidR="00A35247" w:rsidRDefault="005002DB" w:rsidP="00DD69E1">
      <w:pPr>
        <w:spacing w:before="0"/>
        <w:jc w:val="both"/>
        <w:rPr>
          <w:szCs w:val="18"/>
        </w:rPr>
      </w:pPr>
      <w:r>
        <w:rPr>
          <w:szCs w:val="18"/>
        </w:rPr>
        <w:t>I</w:t>
      </w:r>
      <w:r w:rsidR="00A35247" w:rsidRPr="000850A3">
        <w:rPr>
          <w:szCs w:val="18"/>
        </w:rPr>
        <w:t xml:space="preserve">n some </w:t>
      </w:r>
      <w:r w:rsidR="00A35247" w:rsidRPr="00C06371">
        <w:rPr>
          <w:szCs w:val="18"/>
        </w:rPr>
        <w:t>cases,</w:t>
      </w:r>
      <w:r w:rsidR="00A35247" w:rsidRPr="000850A3">
        <w:rPr>
          <w:szCs w:val="18"/>
        </w:rPr>
        <w:t xml:space="preserve"> </w:t>
      </w:r>
      <w:r w:rsidR="00A35247" w:rsidRPr="00C06371">
        <w:rPr>
          <w:szCs w:val="18"/>
        </w:rPr>
        <w:t>the agency</w:t>
      </w:r>
      <w:r w:rsidR="00A35247" w:rsidRPr="000850A3">
        <w:rPr>
          <w:szCs w:val="18"/>
        </w:rPr>
        <w:t xml:space="preserve"> may advise that </w:t>
      </w:r>
      <w:r w:rsidR="00626657">
        <w:rPr>
          <w:szCs w:val="18"/>
        </w:rPr>
        <w:t xml:space="preserve">the </w:t>
      </w:r>
      <w:r w:rsidR="00A35247" w:rsidRPr="000850A3">
        <w:rPr>
          <w:szCs w:val="18"/>
        </w:rPr>
        <w:t>LJF Standard or Strategic Project process</w:t>
      </w:r>
      <w:r w:rsidR="00626657">
        <w:rPr>
          <w:szCs w:val="18"/>
        </w:rPr>
        <w:t xml:space="preserve">, including preparation of an LIDP, will apply during </w:t>
      </w:r>
      <w:r w:rsidR="00626657" w:rsidRPr="000850A3">
        <w:rPr>
          <w:szCs w:val="18"/>
        </w:rPr>
        <w:t>the</w:t>
      </w:r>
      <w:r w:rsidR="00626657">
        <w:rPr>
          <w:szCs w:val="18"/>
        </w:rPr>
        <w:t xml:space="preserve"> panel</w:t>
      </w:r>
      <w:r w:rsidR="00626657" w:rsidRPr="000850A3">
        <w:rPr>
          <w:szCs w:val="18"/>
        </w:rPr>
        <w:t xml:space="preserve"> contract establishment</w:t>
      </w:r>
      <w:r w:rsidR="00A35247" w:rsidRPr="000850A3">
        <w:rPr>
          <w:szCs w:val="18"/>
        </w:rPr>
        <w:t xml:space="preserve">. Note that this can include SPCs or </w:t>
      </w:r>
      <w:r w:rsidR="00A35247">
        <w:rPr>
          <w:szCs w:val="18"/>
        </w:rPr>
        <w:t>SEPCs</w:t>
      </w:r>
      <w:r w:rsidR="00A35247" w:rsidRPr="000850A3">
        <w:rPr>
          <w:szCs w:val="18"/>
        </w:rPr>
        <w:t xml:space="preserve"> where the contract is anticipated to, or may be, awarded to a sole supplier.</w:t>
      </w:r>
    </w:p>
    <w:p w14:paraId="31CDB693" w14:textId="1693F9DB" w:rsidR="00A35247" w:rsidRPr="00042ADB" w:rsidRDefault="00A35247" w:rsidP="00DD69E1">
      <w:pPr>
        <w:pStyle w:val="Heading2"/>
        <w:ind w:left="578" w:hanging="578"/>
        <w:jc w:val="both"/>
        <w:rPr>
          <w:sz w:val="24"/>
          <w:szCs w:val="24"/>
        </w:rPr>
      </w:pPr>
      <w:bookmarkStart w:id="4304" w:name="_Toc114140968"/>
      <w:bookmarkStart w:id="4305" w:name="_Toc114145548"/>
      <w:bookmarkStart w:id="4306" w:name="_Toc114145882"/>
      <w:bookmarkStart w:id="4307" w:name="_Toc114146174"/>
      <w:bookmarkStart w:id="4308" w:name="_Toc114140969"/>
      <w:bookmarkStart w:id="4309" w:name="_Toc114145549"/>
      <w:bookmarkStart w:id="4310" w:name="_Toc114145883"/>
      <w:bookmarkStart w:id="4311" w:name="_Toc114146175"/>
      <w:bookmarkStart w:id="4312" w:name="_Toc110586903"/>
      <w:bookmarkStart w:id="4313" w:name="_Toc207868011"/>
      <w:bookmarkEnd w:id="4304"/>
      <w:bookmarkEnd w:id="4305"/>
      <w:bookmarkEnd w:id="4306"/>
      <w:bookmarkEnd w:id="4307"/>
      <w:bookmarkEnd w:id="4308"/>
      <w:bookmarkEnd w:id="4309"/>
      <w:bookmarkEnd w:id="4310"/>
      <w:bookmarkEnd w:id="4311"/>
      <w:r w:rsidRPr="00042ADB">
        <w:rPr>
          <w:sz w:val="24"/>
          <w:szCs w:val="24"/>
        </w:rPr>
        <w:t>Supplying through a panel</w:t>
      </w:r>
      <w:bookmarkEnd w:id="4312"/>
      <w:bookmarkEnd w:id="4313"/>
    </w:p>
    <w:p w14:paraId="3BE202B0" w14:textId="1092D114" w:rsidR="00A35247" w:rsidRDefault="00A35247" w:rsidP="004477EB">
      <w:pPr>
        <w:spacing w:before="0" w:after="0"/>
        <w:jc w:val="both"/>
      </w:pPr>
      <w:r>
        <w:t>If you are supplying goods, services or construction activ</w:t>
      </w:r>
      <w:r w:rsidR="00724B17">
        <w:t>iti</w:t>
      </w:r>
      <w:r>
        <w:t xml:space="preserve">es through a panel, it </w:t>
      </w:r>
      <w:r w:rsidR="00855595">
        <w:t xml:space="preserve">may be </w:t>
      </w:r>
      <w:r>
        <w:t>subject to LJF</w:t>
      </w:r>
      <w:r w:rsidR="003C174A">
        <w:t xml:space="preserve"> if, in addition to the other criteria for an LJF project</w:t>
      </w:r>
      <w:r>
        <w:t>:</w:t>
      </w:r>
    </w:p>
    <w:p w14:paraId="60D08593" w14:textId="77777777" w:rsidR="00433CAA" w:rsidRDefault="00433CAA" w:rsidP="004477EB">
      <w:pPr>
        <w:spacing w:before="0" w:after="0"/>
        <w:jc w:val="both"/>
      </w:pPr>
    </w:p>
    <w:p w14:paraId="688DF93E" w14:textId="592752D8" w:rsidR="00A35247" w:rsidRDefault="00A35247" w:rsidP="00DD69E1">
      <w:pPr>
        <w:numPr>
          <w:ilvl w:val="0"/>
          <w:numId w:val="51"/>
        </w:numPr>
        <w:spacing w:before="0" w:after="120"/>
        <w:ind w:left="714" w:hanging="357"/>
        <w:contextualSpacing/>
        <w:jc w:val="both"/>
      </w:pPr>
      <w:r>
        <w:t>the total value of a project meets the LJF thresholds, or</w:t>
      </w:r>
    </w:p>
    <w:p w14:paraId="299FC187" w14:textId="77777777" w:rsidR="00A35247" w:rsidRDefault="00A35247" w:rsidP="004477EB">
      <w:pPr>
        <w:numPr>
          <w:ilvl w:val="0"/>
          <w:numId w:val="51"/>
        </w:numPr>
        <w:spacing w:before="0" w:after="120"/>
        <w:ind w:left="714" w:hanging="357"/>
        <w:contextualSpacing/>
        <w:jc w:val="both"/>
      </w:pPr>
      <w:r>
        <w:t>the contract is part of a broader LJF project.</w:t>
      </w:r>
    </w:p>
    <w:p w14:paraId="70D01123" w14:textId="77777777" w:rsidR="00A35247" w:rsidRDefault="00A35247" w:rsidP="004477EB">
      <w:pPr>
        <w:spacing w:before="0" w:after="120"/>
        <w:ind w:left="714"/>
        <w:contextualSpacing/>
        <w:jc w:val="both"/>
      </w:pPr>
    </w:p>
    <w:p w14:paraId="17916082" w14:textId="6B6BB4B8" w:rsidR="004C0931" w:rsidRDefault="00A35247" w:rsidP="004477EB">
      <w:pPr>
        <w:spacing w:before="0" w:after="120"/>
        <w:contextualSpacing/>
        <w:jc w:val="both"/>
        <w:rPr>
          <w:rFonts w:cstheme="minorHAnsi"/>
          <w:szCs w:val="18"/>
        </w:rPr>
      </w:pPr>
      <w:r>
        <w:t xml:space="preserve">The agency is required to apply </w:t>
      </w:r>
      <w:r w:rsidRPr="002C42AE">
        <w:t xml:space="preserve">LJF at the point of purchase from a panel. </w:t>
      </w:r>
      <w:r>
        <w:t>The purchase order template and contract terms and conditions will reflect this requirement.</w:t>
      </w:r>
    </w:p>
    <w:p w14:paraId="4401E259" w14:textId="77777777" w:rsidR="00056E39" w:rsidRDefault="00056E39" w:rsidP="004477EB">
      <w:pPr>
        <w:spacing w:before="0" w:after="120"/>
        <w:contextualSpacing/>
        <w:jc w:val="both"/>
      </w:pPr>
    </w:p>
    <w:p w14:paraId="556441A6" w14:textId="1B3062B1" w:rsidR="00067702" w:rsidRPr="00067702" w:rsidRDefault="00067702" w:rsidP="00DD69E1">
      <w:pPr>
        <w:spacing w:before="0" w:after="120"/>
        <w:contextualSpacing/>
        <w:jc w:val="both"/>
        <w:rPr>
          <w:rFonts w:cstheme="minorHAnsi"/>
          <w:szCs w:val="18"/>
        </w:rPr>
      </w:pPr>
      <w:r w:rsidRPr="00067702">
        <w:rPr>
          <w:rFonts w:cstheme="minorHAnsi"/>
          <w:szCs w:val="18"/>
        </w:rPr>
        <w:t xml:space="preserve">For panels where an LIDP was prepared at contract establishment, the agency accessing the panel </w:t>
      </w:r>
      <w:r>
        <w:rPr>
          <w:rFonts w:cstheme="minorHAnsi"/>
          <w:szCs w:val="18"/>
        </w:rPr>
        <w:t>will</w:t>
      </w:r>
      <w:r w:rsidRPr="00067702">
        <w:rPr>
          <w:rFonts w:cstheme="minorHAnsi"/>
          <w:szCs w:val="18"/>
        </w:rPr>
        <w:t xml:space="preserve"> register the engagement in the VMC and the supplier must report the outcome of each engagement in the VMC.</w:t>
      </w:r>
    </w:p>
    <w:p w14:paraId="02375E0B" w14:textId="77777777" w:rsidR="00067702" w:rsidRPr="00067702" w:rsidRDefault="00067702" w:rsidP="00DD69E1">
      <w:pPr>
        <w:spacing w:before="0" w:after="120"/>
        <w:contextualSpacing/>
        <w:jc w:val="both"/>
        <w:rPr>
          <w:rFonts w:cstheme="minorHAnsi"/>
          <w:szCs w:val="18"/>
        </w:rPr>
      </w:pPr>
    </w:p>
    <w:p w14:paraId="4774EC9F" w14:textId="2331D998" w:rsidR="00067702" w:rsidRDefault="00067702" w:rsidP="00DD69E1">
      <w:pPr>
        <w:spacing w:before="0" w:after="120"/>
        <w:contextualSpacing/>
        <w:jc w:val="both"/>
        <w:rPr>
          <w:rFonts w:cstheme="minorHAnsi"/>
          <w:szCs w:val="18"/>
        </w:rPr>
      </w:pPr>
      <w:r w:rsidRPr="00067702">
        <w:rPr>
          <w:rFonts w:cstheme="minorHAnsi"/>
          <w:szCs w:val="18"/>
        </w:rPr>
        <w:t xml:space="preserve">Where an LIDP was not required at </w:t>
      </w:r>
      <w:r w:rsidR="00B61F44">
        <w:rPr>
          <w:rFonts w:cstheme="minorHAnsi"/>
          <w:szCs w:val="18"/>
        </w:rPr>
        <w:t xml:space="preserve">the </w:t>
      </w:r>
      <w:r w:rsidRPr="00067702">
        <w:rPr>
          <w:rFonts w:cstheme="minorHAnsi"/>
          <w:szCs w:val="18"/>
        </w:rPr>
        <w:t xml:space="preserve">establishment or set up of a panel, </w:t>
      </w:r>
      <w:r w:rsidR="00650E5E">
        <w:rPr>
          <w:rFonts w:cstheme="minorHAnsi"/>
          <w:szCs w:val="18"/>
        </w:rPr>
        <w:t>the agency will register</w:t>
      </w:r>
      <w:r w:rsidR="00F67D8C">
        <w:rPr>
          <w:rFonts w:cstheme="minorHAnsi"/>
          <w:szCs w:val="18"/>
        </w:rPr>
        <w:t xml:space="preserve"> in the VMC</w:t>
      </w:r>
      <w:r w:rsidR="00650E5E">
        <w:rPr>
          <w:rFonts w:cstheme="minorHAnsi"/>
          <w:szCs w:val="18"/>
        </w:rPr>
        <w:t xml:space="preserve"> </w:t>
      </w:r>
      <w:r w:rsidRPr="00067702">
        <w:rPr>
          <w:rFonts w:cstheme="minorHAnsi"/>
          <w:szCs w:val="18"/>
        </w:rPr>
        <w:t>each purchase or engagement from the panel that meets a LJF threshold</w:t>
      </w:r>
      <w:r w:rsidR="00EB3AD1">
        <w:rPr>
          <w:rFonts w:cstheme="minorHAnsi"/>
          <w:szCs w:val="18"/>
        </w:rPr>
        <w:t>.</w:t>
      </w:r>
      <w:r w:rsidRPr="00067702">
        <w:rPr>
          <w:rFonts w:cstheme="minorHAnsi"/>
          <w:szCs w:val="18"/>
        </w:rPr>
        <w:t xml:space="preserve"> </w:t>
      </w:r>
      <w:r w:rsidR="007B6104">
        <w:rPr>
          <w:rFonts w:cstheme="minorHAnsi"/>
          <w:szCs w:val="18"/>
        </w:rPr>
        <w:t>F</w:t>
      </w:r>
      <w:r w:rsidR="004F716A">
        <w:rPr>
          <w:rFonts w:cstheme="minorHAnsi"/>
          <w:szCs w:val="18"/>
        </w:rPr>
        <w:t>or these purchases or engagements, t</w:t>
      </w:r>
      <w:r w:rsidRPr="00067702">
        <w:rPr>
          <w:rFonts w:cstheme="minorHAnsi"/>
          <w:szCs w:val="18"/>
        </w:rPr>
        <w:t>he supplier must submit an LIDP, which must be acknowledge</w:t>
      </w:r>
      <w:r w:rsidR="00EB3AD1">
        <w:rPr>
          <w:rFonts w:cstheme="minorHAnsi"/>
          <w:szCs w:val="18"/>
        </w:rPr>
        <w:t>d</w:t>
      </w:r>
      <w:r w:rsidRPr="00067702">
        <w:rPr>
          <w:rFonts w:cstheme="minorHAnsi"/>
          <w:szCs w:val="18"/>
        </w:rPr>
        <w:t xml:space="preserve"> by </w:t>
      </w:r>
      <w:r w:rsidR="004477EB">
        <w:rPr>
          <w:rFonts w:cstheme="minorHAnsi"/>
          <w:szCs w:val="18"/>
        </w:rPr>
        <w:t xml:space="preserve">the </w:t>
      </w:r>
      <w:r w:rsidRPr="00067702">
        <w:rPr>
          <w:rFonts w:cstheme="minorHAnsi"/>
          <w:szCs w:val="18"/>
        </w:rPr>
        <w:t>ICN</w:t>
      </w:r>
      <w:r w:rsidR="00EB3AD1">
        <w:rPr>
          <w:rFonts w:cstheme="minorHAnsi"/>
          <w:szCs w:val="18"/>
        </w:rPr>
        <w:t>,</w:t>
      </w:r>
      <w:r w:rsidRPr="00067702">
        <w:rPr>
          <w:rFonts w:cstheme="minorHAnsi"/>
          <w:szCs w:val="18"/>
        </w:rPr>
        <w:t xml:space="preserve"> and the supplier must report against the commitments made during delivery in the VMC. Upon completion of the project or engagement</w:t>
      </w:r>
      <w:r w:rsidR="004477EB">
        <w:rPr>
          <w:rFonts w:cstheme="minorHAnsi"/>
          <w:szCs w:val="18"/>
        </w:rPr>
        <w:t>,</w:t>
      </w:r>
      <w:r w:rsidRPr="00067702">
        <w:rPr>
          <w:rFonts w:cstheme="minorHAnsi"/>
          <w:szCs w:val="18"/>
        </w:rPr>
        <w:t xml:space="preserve"> a project completion report is also required.</w:t>
      </w:r>
    </w:p>
    <w:p w14:paraId="68B5449A" w14:textId="77777777" w:rsidR="00687286" w:rsidRPr="0069768B" w:rsidRDefault="00687286" w:rsidP="004477EB">
      <w:pPr>
        <w:spacing w:before="0" w:after="120"/>
        <w:contextualSpacing/>
        <w:jc w:val="both"/>
        <w:rPr>
          <w:rFonts w:cstheme="minorHAnsi"/>
          <w:szCs w:val="18"/>
        </w:rPr>
      </w:pPr>
    </w:p>
    <w:p w14:paraId="17F6FD52" w14:textId="63AF8DEA" w:rsidR="00433CAA" w:rsidRPr="00042ADB" w:rsidRDefault="00687286" w:rsidP="00DD69E1">
      <w:pPr>
        <w:spacing w:before="0" w:after="120"/>
        <w:contextualSpacing/>
        <w:jc w:val="both"/>
      </w:pPr>
      <w:r>
        <w:t>If the total value of a project meets the LJF thresholds</w:t>
      </w:r>
      <w:r w:rsidR="003504C0">
        <w:t xml:space="preserve"> and </w:t>
      </w:r>
      <w:r w:rsidR="00AC6DCC">
        <w:t xml:space="preserve">it is </w:t>
      </w:r>
      <w:r w:rsidR="00F51921">
        <w:t>confirmed</w:t>
      </w:r>
      <w:r w:rsidR="00AC6DCC">
        <w:t xml:space="preserve"> to be a LJF</w:t>
      </w:r>
      <w:r w:rsidR="00F51921">
        <w:t>-</w:t>
      </w:r>
      <w:r w:rsidR="00AC6DCC">
        <w:t>appli</w:t>
      </w:r>
      <w:r w:rsidR="00F51921">
        <w:t>c</w:t>
      </w:r>
      <w:r w:rsidR="00AC6DCC">
        <w:t>able project</w:t>
      </w:r>
      <w:r>
        <w:t xml:space="preserve">, the supplier is required to follow the process outlined at </w:t>
      </w:r>
      <w:hyperlink w:anchor="_How_to_apply_5">
        <w:r w:rsidRPr="5B3E47B9">
          <w:rPr>
            <w:rStyle w:val="Hyperlink"/>
            <w:rFonts w:cstheme="minorBidi"/>
          </w:rPr>
          <w:t>How to apply Local Jobs First to Standard Projects and Strategic Projects</w:t>
        </w:r>
      </w:hyperlink>
      <w:r>
        <w:t>, including completing an LIDP.</w:t>
      </w:r>
      <w:r w:rsidR="00964F18">
        <w:t xml:space="preserve"> </w:t>
      </w:r>
      <w:r w:rsidR="00A973B7">
        <w:t>An example would be</w:t>
      </w:r>
      <w:r w:rsidR="00964F18">
        <w:t xml:space="preserve"> a</w:t>
      </w:r>
      <w:r w:rsidR="00A35247">
        <w:t xml:space="preserve"> supplier providing one-off audit services to a department or agency through the Professional Advisory Service (PAS) SPC, at a value that meets an LJF threshold</w:t>
      </w:r>
      <w:r w:rsidR="00964F18">
        <w:t>.</w:t>
      </w:r>
    </w:p>
    <w:p w14:paraId="79589BB7" w14:textId="77777777" w:rsidR="00A35247" w:rsidRPr="00042ADB" w:rsidRDefault="00A35247" w:rsidP="00DD69E1">
      <w:pPr>
        <w:spacing w:before="0" w:after="120"/>
        <w:contextualSpacing/>
        <w:jc w:val="both"/>
        <w:rPr>
          <w:rFonts w:cstheme="minorHAnsi"/>
          <w:szCs w:val="18"/>
        </w:rPr>
      </w:pPr>
    </w:p>
    <w:p w14:paraId="575AAAAC" w14:textId="50B52369" w:rsidR="00A35247" w:rsidRPr="0069768B" w:rsidRDefault="00CF11E7" w:rsidP="004477EB">
      <w:pPr>
        <w:spacing w:before="0" w:after="120"/>
        <w:contextualSpacing/>
        <w:jc w:val="both"/>
      </w:pPr>
      <w:r w:rsidRPr="0069768B">
        <w:t xml:space="preserve">If </w:t>
      </w:r>
      <w:r w:rsidR="00A35247" w:rsidRPr="00042ADB">
        <w:t>the procurement is part of a larger project where the total project value exceeds a threshold</w:t>
      </w:r>
      <w:r w:rsidRPr="0069768B">
        <w:t>, t</w:t>
      </w:r>
      <w:r w:rsidR="00A35247" w:rsidRPr="00042ADB">
        <w:t>hen each time a purchase by the agency is made off a panel in relation to that project</w:t>
      </w:r>
      <w:r w:rsidR="00A973B7">
        <w:t>,</w:t>
      </w:r>
      <w:r w:rsidR="00D733C7">
        <w:t xml:space="preserve"> the supplier </w:t>
      </w:r>
      <w:r w:rsidR="00D733C7" w:rsidRPr="00441BE2">
        <w:t>is required to</w:t>
      </w:r>
      <w:r w:rsidR="00D733C7">
        <w:t xml:space="preserve"> follow the process outlined at </w:t>
      </w:r>
      <w:hyperlink w:anchor="_How_to_apply_5">
        <w:r w:rsidR="00D733C7" w:rsidRPr="12731626">
          <w:rPr>
            <w:rStyle w:val="Hyperlink"/>
            <w:rFonts w:cstheme="minorBidi"/>
          </w:rPr>
          <w:t>How to apply Local Jobs First to Standard Projects and Strategic Projects</w:t>
        </w:r>
      </w:hyperlink>
      <w:r w:rsidR="00D733C7">
        <w:t>, including</w:t>
      </w:r>
      <w:r w:rsidR="00D733C7" w:rsidRPr="00441BE2">
        <w:t xml:space="preserve"> complet</w:t>
      </w:r>
      <w:r w:rsidR="00D733C7">
        <w:t>ing</w:t>
      </w:r>
      <w:r w:rsidR="00D733C7" w:rsidRPr="00441BE2">
        <w:t xml:space="preserve"> a</w:t>
      </w:r>
      <w:r w:rsidR="00D733C7">
        <w:t>n</w:t>
      </w:r>
      <w:r w:rsidR="00D733C7" w:rsidRPr="00441BE2">
        <w:t xml:space="preserve"> LIDP</w:t>
      </w:r>
      <w:r w:rsidR="00A35247" w:rsidRPr="00042ADB">
        <w:t>.</w:t>
      </w:r>
      <w:r w:rsidRPr="0069768B">
        <w:t xml:space="preserve"> </w:t>
      </w:r>
      <w:r w:rsidR="00A973B7">
        <w:t>An example would be</w:t>
      </w:r>
      <w:r w:rsidR="00794B59" w:rsidRPr="0069768B">
        <w:t xml:space="preserve"> </w:t>
      </w:r>
      <w:r w:rsidR="00A35247" w:rsidRPr="00042ADB">
        <w:t>every instance of legal advice sought from the Legal Services SPC</w:t>
      </w:r>
      <w:r w:rsidR="00433CAA" w:rsidRPr="0069768B">
        <w:t xml:space="preserve"> on a specific LJF-applicable project</w:t>
      </w:r>
      <w:r w:rsidR="00A35247" w:rsidRPr="00042ADB">
        <w:t>, irrespective of the value of the individual purchase order.</w:t>
      </w:r>
    </w:p>
    <w:p w14:paraId="0A74F790" w14:textId="5FD963EF" w:rsidR="0069334E" w:rsidRPr="00403079" w:rsidRDefault="00A806C4" w:rsidP="00DD69E1">
      <w:pPr>
        <w:pStyle w:val="Heading1"/>
        <w:ind w:left="431" w:hanging="431"/>
      </w:pPr>
      <w:bookmarkStart w:id="4314" w:name="_How_to_apply_3"/>
      <w:bookmarkStart w:id="4315" w:name="_Toc110586904"/>
      <w:bookmarkStart w:id="4316" w:name="_Toc207868012"/>
      <w:bookmarkEnd w:id="4314"/>
      <w:r>
        <w:t>How to apply Local Jobs First to m</w:t>
      </w:r>
      <w:r w:rsidR="0069334E" w:rsidRPr="00403079">
        <w:t>arket</w:t>
      </w:r>
      <w:r w:rsidR="00F05A97">
        <w:t>-l</w:t>
      </w:r>
      <w:r w:rsidR="0069334E" w:rsidRPr="00403079">
        <w:t xml:space="preserve">ed </w:t>
      </w:r>
      <w:r w:rsidR="00AF4413">
        <w:t>p</w:t>
      </w:r>
      <w:r w:rsidR="0069334E" w:rsidRPr="00403079">
        <w:t>roposals</w:t>
      </w:r>
      <w:bookmarkEnd w:id="4315"/>
      <w:bookmarkEnd w:id="4316"/>
    </w:p>
    <w:p w14:paraId="444A01E4" w14:textId="51E147E9" w:rsidR="0069334E" w:rsidRPr="000D5F63" w:rsidRDefault="0069334E" w:rsidP="00053700">
      <w:pPr>
        <w:spacing w:before="0"/>
        <w:jc w:val="both"/>
        <w:rPr>
          <w:rFonts w:cs="Arial"/>
          <w:szCs w:val="18"/>
        </w:rPr>
      </w:pPr>
      <w:r w:rsidRPr="007329DA">
        <w:rPr>
          <w:rFonts w:cs="Arial"/>
        </w:rPr>
        <w:t>Market</w:t>
      </w:r>
      <w:r w:rsidR="00F05A97">
        <w:rPr>
          <w:rFonts w:cs="Arial"/>
        </w:rPr>
        <w:t>-</w:t>
      </w:r>
      <w:r w:rsidRPr="007329DA">
        <w:rPr>
          <w:rFonts w:cs="Arial"/>
        </w:rPr>
        <w:t>led proposals</w:t>
      </w:r>
      <w:r>
        <w:t xml:space="preserve">, sometimes known as unsolicited proposals, are usually proposals made by the private sector to government to build infrastructure, provide goods and/or deliver services. These projects originate within the private sector and involve organisations developing a project or service </w:t>
      </w:r>
      <w:r w:rsidRPr="000D5F63">
        <w:rPr>
          <w:szCs w:val="18"/>
        </w:rPr>
        <w:t>specification and then approaching government for approval and support. This support is typically financial but may also include regulatory or other forms of help.</w:t>
      </w:r>
    </w:p>
    <w:p w14:paraId="71D40BFC" w14:textId="77777777" w:rsidR="001D4776" w:rsidRDefault="00E6355C" w:rsidP="00053700">
      <w:pPr>
        <w:jc w:val="both"/>
        <w:rPr>
          <w:szCs w:val="18"/>
        </w:rPr>
      </w:pPr>
      <w:r w:rsidRPr="000D5F63">
        <w:rPr>
          <w:b/>
          <w:bCs/>
          <w:szCs w:val="18"/>
        </w:rPr>
        <w:t xml:space="preserve">Some market-led proposals may be subject to </w:t>
      </w:r>
      <w:r w:rsidR="0069334E" w:rsidRPr="000D5F63">
        <w:rPr>
          <w:b/>
          <w:bCs/>
          <w:szCs w:val="18"/>
        </w:rPr>
        <w:t>LJF.</w:t>
      </w:r>
      <w:r w:rsidR="0069334E" w:rsidRPr="000D5F63">
        <w:rPr>
          <w:szCs w:val="18"/>
        </w:rPr>
        <w:t xml:space="preserve"> </w:t>
      </w:r>
      <w:r w:rsidR="00014BAC" w:rsidRPr="000D5F63">
        <w:rPr>
          <w:szCs w:val="18"/>
        </w:rPr>
        <w:t>If a m</w:t>
      </w:r>
      <w:r w:rsidR="00AF4413" w:rsidRPr="000D5F63">
        <w:rPr>
          <w:szCs w:val="18"/>
        </w:rPr>
        <w:t>arket</w:t>
      </w:r>
      <w:r w:rsidR="00C62AF9" w:rsidRPr="000D5F63">
        <w:rPr>
          <w:szCs w:val="18"/>
        </w:rPr>
        <w:t>-</w:t>
      </w:r>
      <w:r w:rsidR="00AF4413" w:rsidRPr="000D5F63">
        <w:rPr>
          <w:szCs w:val="18"/>
        </w:rPr>
        <w:t>led proposal</w:t>
      </w:r>
      <w:r w:rsidR="00096841" w:rsidRPr="000D5F63">
        <w:rPr>
          <w:szCs w:val="18"/>
        </w:rPr>
        <w:t xml:space="preserve"> is</w:t>
      </w:r>
      <w:r w:rsidR="005671EF" w:rsidRPr="000D5F63">
        <w:rPr>
          <w:szCs w:val="18"/>
        </w:rPr>
        <w:t xml:space="preserve"> LJF-applicable, it will</w:t>
      </w:r>
      <w:r w:rsidR="00AF4413" w:rsidRPr="000D5F63">
        <w:rPr>
          <w:szCs w:val="18"/>
        </w:rPr>
        <w:t xml:space="preserve"> follow a similar process to Strategic Projects, including</w:t>
      </w:r>
      <w:r w:rsidR="00813EC3" w:rsidRPr="000D5F63">
        <w:rPr>
          <w:szCs w:val="18"/>
        </w:rPr>
        <w:t xml:space="preserve"> </w:t>
      </w:r>
      <w:r w:rsidR="00C163F9" w:rsidRPr="000D5F63">
        <w:rPr>
          <w:szCs w:val="18"/>
        </w:rPr>
        <w:t xml:space="preserve">undergoing contestability assessments </w:t>
      </w:r>
      <w:r w:rsidR="00F1737D" w:rsidRPr="000D5F63">
        <w:rPr>
          <w:szCs w:val="18"/>
        </w:rPr>
        <w:t xml:space="preserve">by the ICN </w:t>
      </w:r>
      <w:r w:rsidR="00C163F9" w:rsidRPr="000D5F63">
        <w:rPr>
          <w:szCs w:val="18"/>
        </w:rPr>
        <w:t>and</w:t>
      </w:r>
      <w:r w:rsidR="00F7555E" w:rsidRPr="000D5F63">
        <w:rPr>
          <w:szCs w:val="18"/>
        </w:rPr>
        <w:t xml:space="preserve"> </w:t>
      </w:r>
      <w:r w:rsidR="0018623A" w:rsidRPr="000D5F63">
        <w:rPr>
          <w:szCs w:val="18"/>
        </w:rPr>
        <w:t xml:space="preserve">the setting of requirements </w:t>
      </w:r>
      <w:r w:rsidR="000C649D" w:rsidRPr="000D5F63">
        <w:rPr>
          <w:szCs w:val="18"/>
        </w:rPr>
        <w:t xml:space="preserve">under section 7B by the </w:t>
      </w:r>
      <w:r w:rsidR="00345084">
        <w:rPr>
          <w:szCs w:val="18"/>
        </w:rPr>
        <w:t>M</w:t>
      </w:r>
      <w:r w:rsidR="000C649D" w:rsidRPr="000D5F63">
        <w:rPr>
          <w:szCs w:val="18"/>
        </w:rPr>
        <w:t>inister responsible for LJF</w:t>
      </w:r>
      <w:r w:rsidR="00C447B6">
        <w:rPr>
          <w:szCs w:val="18"/>
        </w:rPr>
        <w:t xml:space="preserve">. </w:t>
      </w:r>
    </w:p>
    <w:p w14:paraId="6637529B" w14:textId="35B4BD6F" w:rsidR="0069334E" w:rsidRPr="000D5F63" w:rsidRDefault="00F1737D" w:rsidP="00053700">
      <w:pPr>
        <w:jc w:val="both"/>
        <w:rPr>
          <w:szCs w:val="18"/>
        </w:rPr>
      </w:pPr>
      <w:r w:rsidRPr="000D5F63">
        <w:rPr>
          <w:szCs w:val="18"/>
        </w:rPr>
        <w:t>P</w:t>
      </w:r>
      <w:r w:rsidR="0069334E" w:rsidRPr="000D5F63">
        <w:rPr>
          <w:szCs w:val="18"/>
        </w:rPr>
        <w:t>roject proponent</w:t>
      </w:r>
      <w:r w:rsidRPr="000D5F63">
        <w:rPr>
          <w:szCs w:val="18"/>
        </w:rPr>
        <w:t>s for LJF-appli</w:t>
      </w:r>
      <w:r w:rsidR="00205B93">
        <w:rPr>
          <w:szCs w:val="18"/>
        </w:rPr>
        <w:t>c</w:t>
      </w:r>
      <w:r w:rsidRPr="000D5F63">
        <w:rPr>
          <w:szCs w:val="18"/>
        </w:rPr>
        <w:t xml:space="preserve">able projects </w:t>
      </w:r>
      <w:r w:rsidR="0069334E" w:rsidRPr="000D5F63">
        <w:rPr>
          <w:szCs w:val="18"/>
        </w:rPr>
        <w:t xml:space="preserve">are responsible for developing an LIDP </w:t>
      </w:r>
      <w:r w:rsidR="00DC2BB6" w:rsidRPr="000D5F63">
        <w:rPr>
          <w:szCs w:val="18"/>
        </w:rPr>
        <w:t xml:space="preserve">using the VMC during the </w:t>
      </w:r>
      <w:r w:rsidR="0069334E" w:rsidRPr="000D5F63">
        <w:rPr>
          <w:szCs w:val="18"/>
        </w:rPr>
        <w:t>proposal</w:t>
      </w:r>
      <w:r w:rsidR="00DC2BB6" w:rsidRPr="000D5F63">
        <w:rPr>
          <w:szCs w:val="18"/>
        </w:rPr>
        <w:t xml:space="preserve"> process</w:t>
      </w:r>
      <w:r w:rsidR="0069334E" w:rsidRPr="000D5F63">
        <w:rPr>
          <w:szCs w:val="18"/>
        </w:rPr>
        <w:t>, with clear commitments to industry development (including local content) and job outcomes. Project proponents must also agree to monitoring and reporting requirements and the terms and conditions that apply</w:t>
      </w:r>
      <w:r w:rsidR="00336D53" w:rsidRPr="000D5F63">
        <w:rPr>
          <w:szCs w:val="18"/>
        </w:rPr>
        <w:t xml:space="preserve"> to Strategic Projects</w:t>
      </w:r>
      <w:r w:rsidR="0069334E" w:rsidRPr="000D5F63">
        <w:rPr>
          <w:szCs w:val="18"/>
        </w:rPr>
        <w:t xml:space="preserve"> under these </w:t>
      </w:r>
      <w:r w:rsidR="00A220D0" w:rsidRPr="000D5F63">
        <w:rPr>
          <w:szCs w:val="18"/>
        </w:rPr>
        <w:t>G</w:t>
      </w:r>
      <w:r w:rsidR="0069334E" w:rsidRPr="000D5F63">
        <w:rPr>
          <w:szCs w:val="18"/>
        </w:rPr>
        <w:t>uidelines.</w:t>
      </w:r>
    </w:p>
    <w:p w14:paraId="7368E8C9" w14:textId="0EC0AAC5" w:rsidR="0069334E" w:rsidRPr="003B2E76" w:rsidRDefault="0069334E" w:rsidP="00053700">
      <w:pPr>
        <w:jc w:val="both"/>
      </w:pPr>
      <w:r>
        <w:t xml:space="preserve">To </w:t>
      </w:r>
      <w:r w:rsidRPr="003B2E76">
        <w:t xml:space="preserve">be considered compliant with LJF at the proposal stage, a </w:t>
      </w:r>
      <w:r w:rsidR="00A220D0">
        <w:t>proponent</w:t>
      </w:r>
      <w:r w:rsidR="00A220D0" w:rsidRPr="003B2E76">
        <w:t xml:space="preserve"> </w:t>
      </w:r>
      <w:r w:rsidRPr="003B2E76">
        <w:t>must:</w:t>
      </w:r>
    </w:p>
    <w:p w14:paraId="1AB7571D" w14:textId="60A63C97" w:rsidR="0069334E" w:rsidRPr="003B2E76" w:rsidRDefault="00C5369B" w:rsidP="00DD69E1">
      <w:pPr>
        <w:numPr>
          <w:ilvl w:val="0"/>
          <w:numId w:val="12"/>
        </w:numPr>
        <w:spacing w:after="120"/>
        <w:ind w:left="357" w:hanging="357"/>
        <w:contextualSpacing/>
        <w:jc w:val="both"/>
        <w:rPr>
          <w:rFonts w:cs="Arial"/>
        </w:rPr>
      </w:pPr>
      <w:r>
        <w:rPr>
          <w:rFonts w:cs="Arial"/>
          <w:b/>
          <w:bCs/>
        </w:rPr>
        <w:t>c</w:t>
      </w:r>
      <w:r w:rsidR="0069334E" w:rsidRPr="5B3E47B9">
        <w:rPr>
          <w:rFonts w:cs="Arial"/>
          <w:b/>
          <w:bCs/>
        </w:rPr>
        <w:t>omplete all sections of the relevant LIDP</w:t>
      </w:r>
      <w:r w:rsidR="0069334E" w:rsidRPr="5B3E47B9">
        <w:rPr>
          <w:rFonts w:cs="Arial"/>
        </w:rPr>
        <w:t xml:space="preserve"> (there </w:t>
      </w:r>
      <w:r w:rsidR="00AB5B27">
        <w:rPr>
          <w:rFonts w:cs="Arial"/>
        </w:rPr>
        <w:t>may be</w:t>
      </w:r>
      <w:r w:rsidR="00AB5B27" w:rsidRPr="5B3E47B9">
        <w:rPr>
          <w:rFonts w:cs="Arial"/>
        </w:rPr>
        <w:t xml:space="preserve"> </w:t>
      </w:r>
      <w:r w:rsidR="0069334E" w:rsidRPr="5B3E47B9">
        <w:rPr>
          <w:rFonts w:cs="Arial"/>
        </w:rPr>
        <w:t>different LIDPs to be completed depending on the scale of the project)</w:t>
      </w:r>
    </w:p>
    <w:p w14:paraId="4598AFDF" w14:textId="646F681C" w:rsidR="00CE5F68" w:rsidRPr="003B2E76" w:rsidRDefault="00C5369B" w:rsidP="00DD69E1">
      <w:pPr>
        <w:numPr>
          <w:ilvl w:val="0"/>
          <w:numId w:val="12"/>
        </w:numPr>
        <w:spacing w:before="0" w:after="0"/>
        <w:ind w:left="357" w:hanging="357"/>
        <w:contextualSpacing/>
        <w:jc w:val="both"/>
        <w:rPr>
          <w:rFonts w:cs="Arial"/>
        </w:rPr>
      </w:pPr>
      <w:r>
        <w:rPr>
          <w:rFonts w:cs="Arial"/>
          <w:b/>
          <w:bCs/>
        </w:rPr>
        <w:t>e</w:t>
      </w:r>
      <w:r w:rsidR="0069334E" w:rsidRPr="003B2E76">
        <w:rPr>
          <w:rFonts w:cs="Arial"/>
          <w:b/>
          <w:bCs/>
        </w:rPr>
        <w:t>ngage with the ICN in developing the LIDP</w:t>
      </w:r>
      <w:r w:rsidR="0069334E" w:rsidRPr="003B2E76">
        <w:rPr>
          <w:rFonts w:cs="Arial"/>
        </w:rPr>
        <w:t xml:space="preserve"> on local content matters and local supply chain engagement</w:t>
      </w:r>
    </w:p>
    <w:p w14:paraId="0522A2E7" w14:textId="20F9F2A9" w:rsidR="0069334E" w:rsidRPr="00DD69E1" w:rsidRDefault="00C5369B" w:rsidP="00DD69E1">
      <w:pPr>
        <w:numPr>
          <w:ilvl w:val="0"/>
          <w:numId w:val="12"/>
        </w:numPr>
        <w:spacing w:before="0" w:after="0"/>
        <w:ind w:left="357" w:hanging="357"/>
        <w:contextualSpacing/>
        <w:jc w:val="both"/>
        <w:rPr>
          <w:rFonts w:ascii="Arial" w:hAnsi="Arial"/>
        </w:rPr>
      </w:pPr>
      <w:r>
        <w:rPr>
          <w:b/>
          <w:bCs/>
          <w:szCs w:val="18"/>
        </w:rPr>
        <w:t>s</w:t>
      </w:r>
      <w:r w:rsidR="0069334E" w:rsidRPr="5B3E47B9">
        <w:rPr>
          <w:b/>
          <w:bCs/>
          <w:szCs w:val="18"/>
        </w:rPr>
        <w:t xml:space="preserve">ign the Statutory Declaration and agree </w:t>
      </w:r>
      <w:r w:rsidR="00A27AD5">
        <w:rPr>
          <w:b/>
          <w:bCs/>
          <w:szCs w:val="18"/>
        </w:rPr>
        <w:t xml:space="preserve">to </w:t>
      </w:r>
      <w:r w:rsidR="0069334E" w:rsidRPr="5B3E47B9">
        <w:rPr>
          <w:b/>
          <w:bCs/>
          <w:szCs w:val="18"/>
        </w:rPr>
        <w:t>all other conditions</w:t>
      </w:r>
      <w:r w:rsidR="0069334E" w:rsidRPr="5B3E47B9">
        <w:rPr>
          <w:szCs w:val="18"/>
        </w:rPr>
        <w:t>, including monitoring, reporting, auditing and compliance requirements.</w:t>
      </w:r>
    </w:p>
    <w:p w14:paraId="712B215B" w14:textId="7FB8F00F" w:rsidR="00277C67" w:rsidRDefault="00277C67" w:rsidP="00DD69E1">
      <w:pPr>
        <w:spacing w:before="240"/>
        <w:jc w:val="both"/>
      </w:pPr>
      <w:r>
        <w:t xml:space="preserve">The </w:t>
      </w:r>
      <w:r w:rsidR="00E06646">
        <w:t>agency</w:t>
      </w:r>
      <w:r>
        <w:t xml:space="preserve"> may request this information from proponents as part of preparation for procurement under stage two of the market-led proposal assessment process, as outlined in the Department of Treasury and Finance </w:t>
      </w:r>
      <w:hyperlink r:id="rId33" w:history="1">
        <w:r w:rsidRPr="002E3067">
          <w:rPr>
            <w:rStyle w:val="Hyperlink"/>
          </w:rPr>
          <w:t>market-led proposals guideline</w:t>
        </w:r>
      </w:hyperlink>
      <w:r>
        <w:t>.</w:t>
      </w:r>
    </w:p>
    <w:p w14:paraId="240FBDDF" w14:textId="7ED0EC6E" w:rsidR="00482DED" w:rsidRPr="00E32725" w:rsidRDefault="00277C67" w:rsidP="00053700">
      <w:pPr>
        <w:jc w:val="both"/>
        <w:rPr>
          <w:rFonts w:asciiTheme="minorHAnsi" w:hAnsiTheme="minorHAnsi"/>
          <w:color w:val="auto"/>
          <w:sz w:val="22"/>
        </w:rPr>
      </w:pPr>
      <w:r>
        <w:t xml:space="preserve">For successful market led proposals, the </w:t>
      </w:r>
      <w:r w:rsidR="00E06646">
        <w:t xml:space="preserve">agency </w:t>
      </w:r>
      <w:r>
        <w:t>will include the final approved LIDP in the contract with the proponent.</w:t>
      </w:r>
    </w:p>
    <w:p w14:paraId="79CA0B9A" w14:textId="3FB9F9E5" w:rsidR="0069334E" w:rsidRDefault="00454287" w:rsidP="00DD69E1">
      <w:pPr>
        <w:pStyle w:val="Heading1"/>
        <w:ind w:left="431" w:hanging="431"/>
        <w:jc w:val="both"/>
      </w:pPr>
      <w:bookmarkStart w:id="4317" w:name="_Toc207868013"/>
      <w:r w:rsidRPr="00042ADB">
        <w:t>Appendices</w:t>
      </w:r>
      <w:bookmarkEnd w:id="4317"/>
    </w:p>
    <w:p w14:paraId="690DAFBC" w14:textId="77777777" w:rsidR="00454287" w:rsidRPr="00042ADB" w:rsidRDefault="00454287" w:rsidP="00DD69E1">
      <w:pPr>
        <w:pStyle w:val="Heading2"/>
        <w:numPr>
          <w:ilvl w:val="0"/>
          <w:numId w:val="0"/>
        </w:numPr>
        <w:ind w:left="576" w:hanging="576"/>
        <w:jc w:val="both"/>
        <w:rPr>
          <w:sz w:val="24"/>
          <w:szCs w:val="24"/>
        </w:rPr>
      </w:pPr>
      <w:bookmarkStart w:id="4318" w:name="_Appendix_1:_Glossary"/>
      <w:bookmarkStart w:id="4319" w:name="_Toc110586906"/>
      <w:bookmarkStart w:id="4320" w:name="_Toc207868014"/>
      <w:bookmarkEnd w:id="4318"/>
      <w:r w:rsidRPr="00042ADB">
        <w:rPr>
          <w:sz w:val="24"/>
          <w:szCs w:val="24"/>
        </w:rPr>
        <w:t>Appendix 1: Glossary</w:t>
      </w:r>
      <w:bookmarkEnd w:id="4319"/>
      <w:bookmarkEnd w:id="4320"/>
    </w:p>
    <w:p w14:paraId="722E110E" w14:textId="67774858" w:rsidR="008848BE" w:rsidRPr="00DD69E1" w:rsidRDefault="00BA2EEB" w:rsidP="00DD69E1">
      <w:pPr>
        <w:jc w:val="both"/>
        <w:rPr>
          <w:szCs w:val="18"/>
        </w:rPr>
      </w:pPr>
      <w:r w:rsidRPr="00DD69E1">
        <w:rPr>
          <w:szCs w:val="18"/>
          <w:lang w:eastAsia="en-AU"/>
        </w:rPr>
        <w:t xml:space="preserve">Terms used in </w:t>
      </w:r>
      <w:r w:rsidR="00483135" w:rsidRPr="00DD69E1">
        <w:rPr>
          <w:szCs w:val="18"/>
          <w:lang w:eastAsia="en-AU"/>
        </w:rPr>
        <w:t>these Guidelines</w:t>
      </w:r>
      <w:r w:rsidRPr="00DD69E1">
        <w:rPr>
          <w:szCs w:val="18"/>
          <w:lang w:eastAsia="en-AU"/>
        </w:rPr>
        <w:t xml:space="preserve"> that are not defined in the Glossary have the same meaning as is given to those terms in the </w:t>
      </w:r>
      <w:r w:rsidR="00EC0FAD" w:rsidRPr="00DD69E1">
        <w:rPr>
          <w:iCs/>
          <w:szCs w:val="18"/>
          <w:lang w:eastAsia="en-AU"/>
        </w:rPr>
        <w:t>Act</w:t>
      </w:r>
      <w:r w:rsidRPr="00DD69E1">
        <w:rPr>
          <w:szCs w:val="18"/>
          <w:lang w:eastAsia="en-AU"/>
        </w:rPr>
        <w:t>.</w:t>
      </w:r>
    </w:p>
    <w:p w14:paraId="4D1B9FCE" w14:textId="7EF30042" w:rsidR="00454287" w:rsidRPr="000A1ABE" w:rsidRDefault="00454287" w:rsidP="00DD69E1">
      <w:pPr>
        <w:pStyle w:val="bodycopy"/>
        <w:spacing w:before="120" w:after="200"/>
        <w:jc w:val="both"/>
      </w:pPr>
      <w:r>
        <w:rPr>
          <w:b/>
          <w:bCs/>
        </w:rPr>
        <w:t>Acknowledgement Letter</w:t>
      </w:r>
      <w:r w:rsidR="009E3C64">
        <w:t xml:space="preserve"> - </w:t>
      </w:r>
      <w:r w:rsidR="00461A10">
        <w:t>is t</w:t>
      </w:r>
      <w:r w:rsidRPr="000A1ABE">
        <w:t>he letter received by bidders after</w:t>
      </w:r>
      <w:r>
        <w:t xml:space="preserve"> </w:t>
      </w:r>
      <w:r w:rsidRPr="00A0363C">
        <w:t>the</w:t>
      </w:r>
      <w:r w:rsidRPr="000A1ABE">
        <w:t xml:space="preserve"> ICN has assessed the LIDP. This is achieved when the bidder’s LIDP is submitted before the procuring </w:t>
      </w:r>
      <w:r w:rsidR="00703467">
        <w:t>a</w:t>
      </w:r>
      <w:r w:rsidRPr="000A1ABE">
        <w:t>gency’s due date, and all sections have been adequately completed.</w:t>
      </w:r>
    </w:p>
    <w:p w14:paraId="0517F200" w14:textId="08AA751A" w:rsidR="00E6667B" w:rsidRPr="00441BE2" w:rsidRDefault="00E6667B" w:rsidP="00DD69E1">
      <w:pPr>
        <w:jc w:val="both"/>
        <w:rPr>
          <w:szCs w:val="18"/>
          <w:lang w:eastAsia="en-AU"/>
        </w:rPr>
      </w:pPr>
      <w:r w:rsidRPr="00441BE2">
        <w:rPr>
          <w:b/>
          <w:bCs/>
          <w:szCs w:val="18"/>
          <w:lang w:eastAsia="en-AU"/>
        </w:rPr>
        <w:t>Apprentice</w:t>
      </w:r>
      <w:r w:rsidR="009E3C64">
        <w:rPr>
          <w:szCs w:val="18"/>
          <w:lang w:eastAsia="en-AU"/>
        </w:rPr>
        <w:t xml:space="preserve"> - </w:t>
      </w:r>
      <w:r w:rsidRPr="00441BE2">
        <w:rPr>
          <w:szCs w:val="18"/>
          <w:lang w:eastAsia="en-AU"/>
        </w:rPr>
        <w:t xml:space="preserve">undertake under a </w:t>
      </w:r>
      <w:r w:rsidR="002D624F">
        <w:rPr>
          <w:szCs w:val="18"/>
          <w:lang w:eastAsia="en-AU"/>
        </w:rPr>
        <w:t>t</w:t>
      </w:r>
      <w:r w:rsidRPr="00441BE2">
        <w:rPr>
          <w:szCs w:val="18"/>
          <w:lang w:eastAsia="en-AU"/>
        </w:rPr>
        <w:t xml:space="preserve">raining </w:t>
      </w:r>
      <w:r w:rsidR="002D624F">
        <w:rPr>
          <w:szCs w:val="18"/>
          <w:lang w:eastAsia="en-AU"/>
        </w:rPr>
        <w:t>c</w:t>
      </w:r>
      <w:r w:rsidRPr="00441BE2">
        <w:rPr>
          <w:szCs w:val="18"/>
          <w:lang w:eastAsia="en-AU"/>
        </w:rPr>
        <w:t xml:space="preserve">ontract </w:t>
      </w:r>
      <w:r w:rsidR="002163FF">
        <w:rPr>
          <w:szCs w:val="18"/>
          <w:lang w:eastAsia="en-AU"/>
        </w:rPr>
        <w:t>with</w:t>
      </w:r>
      <w:r w:rsidR="002163FF" w:rsidRPr="00441BE2">
        <w:rPr>
          <w:szCs w:val="18"/>
          <w:lang w:eastAsia="en-AU"/>
        </w:rPr>
        <w:t xml:space="preserve"> </w:t>
      </w:r>
      <w:r w:rsidRPr="00441BE2">
        <w:rPr>
          <w:szCs w:val="18"/>
          <w:lang w:eastAsia="en-AU"/>
        </w:rPr>
        <w:t>an employer that combines structured training with paid employment. Apprenticeships are generally at Certificate III level and above and extend across a range of trades. Apprenticeships typically have a duration of three to four years and are competency based. For an apprentice to be counted towards the MPSG requirement for a project they must be:</w:t>
      </w:r>
    </w:p>
    <w:p w14:paraId="678B72E0" w14:textId="173E6783" w:rsidR="00E6667B" w:rsidRDefault="00E6667B" w:rsidP="00DD69E1">
      <w:pPr>
        <w:pStyle w:val="dotpoints"/>
        <w:spacing w:line="240" w:lineRule="auto"/>
        <w:ind w:left="357" w:hanging="357"/>
        <w:jc w:val="both"/>
      </w:pPr>
      <w:r w:rsidRPr="00441BE2">
        <w:t xml:space="preserve">undertaking a course that relates directly to their role on a </w:t>
      </w:r>
      <w:r w:rsidR="009A34CD">
        <w:t>LJF</w:t>
      </w:r>
      <w:r w:rsidRPr="00441BE2">
        <w:t xml:space="preserve"> </w:t>
      </w:r>
      <w:r w:rsidR="00E82787">
        <w:t>p</w:t>
      </w:r>
      <w:r w:rsidRPr="00441BE2">
        <w:t xml:space="preserve">roject and is consistent with the </w:t>
      </w:r>
      <w:r w:rsidR="00602FB5">
        <w:t>t</w:t>
      </w:r>
      <w:r w:rsidRPr="00441BE2">
        <w:t xml:space="preserve">raining </w:t>
      </w:r>
      <w:r w:rsidR="00602FB5">
        <w:t>c</w:t>
      </w:r>
      <w:r w:rsidRPr="00441BE2">
        <w:t>ontract</w:t>
      </w:r>
      <w:r w:rsidR="009E3C64">
        <w:t>,</w:t>
      </w:r>
      <w:r w:rsidRPr="00441BE2">
        <w:t xml:space="preserve"> and</w:t>
      </w:r>
    </w:p>
    <w:p w14:paraId="66F310C6" w14:textId="08D063E3" w:rsidR="00E6667B" w:rsidRPr="000A1ABE" w:rsidRDefault="00E6667B" w:rsidP="00DD69E1">
      <w:pPr>
        <w:pStyle w:val="dotpoints"/>
        <w:spacing w:line="240" w:lineRule="auto"/>
        <w:ind w:left="357" w:hanging="357"/>
        <w:jc w:val="both"/>
      </w:pPr>
      <w:r w:rsidRPr="0069768B">
        <w:t>registered with the Victorian Registration and Qualification Authority (VRQA).</w:t>
      </w:r>
    </w:p>
    <w:p w14:paraId="60EA51F1" w14:textId="716FB010" w:rsidR="00733F5C" w:rsidRDefault="00733F5C" w:rsidP="00DD69E1">
      <w:pPr>
        <w:pStyle w:val="bodycopy"/>
        <w:spacing w:before="120" w:after="200"/>
        <w:jc w:val="both"/>
        <w:rPr>
          <w:b/>
          <w:bCs/>
        </w:rPr>
      </w:pPr>
      <w:r w:rsidRPr="00733F5C">
        <w:rPr>
          <w:b/>
          <w:bCs/>
        </w:rPr>
        <w:t>Australia and New Zealand Government Procurement Agreement (ANZGPA)</w:t>
      </w:r>
      <w:r w:rsidR="00534015">
        <w:t xml:space="preserve"> - </w:t>
      </w:r>
      <w:r w:rsidR="007509F4">
        <w:t xml:space="preserve">was </w:t>
      </w:r>
      <w:r w:rsidRPr="00DD69E1">
        <w:t xml:space="preserve">entered into by Australian State and Federal Governments and New Zealand in 1991. The objective of </w:t>
      </w:r>
      <w:r w:rsidR="007509F4">
        <w:t>the agreement</w:t>
      </w:r>
      <w:r w:rsidR="00252E8A">
        <w:t xml:space="preserve"> </w:t>
      </w:r>
      <w:r w:rsidR="00E82787">
        <w:t>is</w:t>
      </w:r>
      <w:r w:rsidR="00E82787" w:rsidRPr="00DD69E1">
        <w:t xml:space="preserve"> </w:t>
      </w:r>
      <w:r w:rsidRPr="00DD69E1">
        <w:t xml:space="preserve">to maximise opportunities for competitive Australian and New Zealand suppliers to supply into government procurement. </w:t>
      </w:r>
      <w:r w:rsidR="00A54FD0">
        <w:t xml:space="preserve">The </w:t>
      </w:r>
      <w:r w:rsidR="007F2D36">
        <w:t>agreement</w:t>
      </w:r>
      <w:r w:rsidR="007F2D36" w:rsidRPr="00DD69E1">
        <w:t xml:space="preserve"> aims</w:t>
      </w:r>
      <w:r w:rsidRPr="00DD69E1">
        <w:t xml:space="preserve"> to reduce the costs of doing business for both government and industry</w:t>
      </w:r>
      <w:r w:rsidR="00B23BF4">
        <w:t xml:space="preserve"> and</w:t>
      </w:r>
      <w:r w:rsidRPr="00DD69E1">
        <w:t xml:space="preserve"> applies to all A</w:t>
      </w:r>
      <w:r w:rsidR="009573C7">
        <w:t xml:space="preserve">ustralian and </w:t>
      </w:r>
      <w:r w:rsidRPr="00DD69E1">
        <w:t>N</w:t>
      </w:r>
      <w:r w:rsidR="009573C7">
        <w:t xml:space="preserve">ew </w:t>
      </w:r>
      <w:r w:rsidRPr="00DD69E1">
        <w:t>Z</w:t>
      </w:r>
      <w:r w:rsidR="009573C7">
        <w:t>ealand</w:t>
      </w:r>
      <w:r w:rsidRPr="00DD69E1">
        <w:t xml:space="preserve"> local industry participation policies.</w:t>
      </w:r>
    </w:p>
    <w:p w14:paraId="7A44491C" w14:textId="64C25484" w:rsidR="00454287" w:rsidRPr="000A1ABE" w:rsidRDefault="00454287" w:rsidP="00DD69E1">
      <w:pPr>
        <w:pStyle w:val="bodycopy"/>
        <w:spacing w:before="120" w:after="200"/>
        <w:jc w:val="both"/>
      </w:pPr>
      <w:r w:rsidRPr="000A1ABE">
        <w:rPr>
          <w:b/>
          <w:bCs/>
        </w:rPr>
        <w:t>Benchmark</w:t>
      </w:r>
      <w:r w:rsidR="00534015">
        <w:t xml:space="preserve"> - </w:t>
      </w:r>
      <w:r w:rsidR="00335187">
        <w:t>t</w:t>
      </w:r>
      <w:r w:rsidRPr="000A1ABE">
        <w:t>he methodology by which a bidder evaluates a proposal from a subcontractor. Benchmarks can be based on “whole-of-life” parameters and appropriate quality and performance indicators and should include an evaluation of local content commitments.</w:t>
      </w:r>
    </w:p>
    <w:p w14:paraId="75E2397F" w14:textId="55ED15D5" w:rsidR="00F61700" w:rsidRPr="00441BE2" w:rsidRDefault="00F61700" w:rsidP="00DD69E1">
      <w:pPr>
        <w:jc w:val="both"/>
        <w:rPr>
          <w:szCs w:val="18"/>
          <w:lang w:eastAsia="en-AU"/>
        </w:rPr>
      </w:pPr>
      <w:r w:rsidRPr="00441BE2">
        <w:rPr>
          <w:b/>
          <w:bCs/>
          <w:szCs w:val="18"/>
          <w:lang w:eastAsia="en-AU"/>
        </w:rPr>
        <w:t>Cade</w:t>
      </w:r>
      <w:r w:rsidR="00534015">
        <w:rPr>
          <w:b/>
          <w:bCs/>
          <w:szCs w:val="18"/>
          <w:lang w:eastAsia="en-AU"/>
        </w:rPr>
        <w:t>t</w:t>
      </w:r>
      <w:r w:rsidR="00534015">
        <w:rPr>
          <w:szCs w:val="18"/>
          <w:lang w:eastAsia="en-AU"/>
        </w:rPr>
        <w:t xml:space="preserve"> - </w:t>
      </w:r>
      <w:r w:rsidR="00A04B00">
        <w:rPr>
          <w:szCs w:val="18"/>
          <w:lang w:eastAsia="en-AU"/>
        </w:rPr>
        <w:t>undertake</w:t>
      </w:r>
      <w:r w:rsidRPr="00441BE2">
        <w:rPr>
          <w:szCs w:val="18"/>
          <w:lang w:eastAsia="en-AU"/>
        </w:rPr>
        <w:t xml:space="preserve"> entry-level roles that combine formal tertiary training with paid practical work experience. There are many types of cadetships offered across different industries. Cadetships can vary in length but are generally 18 months to 2 years. A cadetship does not fall under a </w:t>
      </w:r>
      <w:r w:rsidR="00A04B00">
        <w:rPr>
          <w:szCs w:val="18"/>
          <w:lang w:eastAsia="en-AU"/>
        </w:rPr>
        <w:t>t</w:t>
      </w:r>
      <w:r w:rsidRPr="00441BE2">
        <w:rPr>
          <w:szCs w:val="18"/>
          <w:lang w:eastAsia="en-AU"/>
        </w:rPr>
        <w:t xml:space="preserve">raining </w:t>
      </w:r>
      <w:r w:rsidR="00A04B00">
        <w:rPr>
          <w:szCs w:val="18"/>
          <w:lang w:eastAsia="en-AU"/>
        </w:rPr>
        <w:t>c</w:t>
      </w:r>
      <w:r w:rsidRPr="00441BE2">
        <w:rPr>
          <w:szCs w:val="18"/>
          <w:lang w:eastAsia="en-AU"/>
        </w:rPr>
        <w:t>ontract. For a cadet to be counted towards the MPSG requirement for a project they must be:</w:t>
      </w:r>
    </w:p>
    <w:p w14:paraId="02C4AAB0" w14:textId="0E312BCA" w:rsidR="00F61700" w:rsidRPr="00441BE2" w:rsidRDefault="00F61700" w:rsidP="00DD69E1">
      <w:pPr>
        <w:pStyle w:val="ListParagraph"/>
        <w:numPr>
          <w:ilvl w:val="0"/>
          <w:numId w:val="80"/>
        </w:numPr>
        <w:ind w:left="357" w:hanging="357"/>
        <w:jc w:val="both"/>
        <w:rPr>
          <w:rFonts w:ascii="VIC" w:hAnsi="VIC"/>
          <w:sz w:val="18"/>
          <w:szCs w:val="18"/>
        </w:rPr>
      </w:pPr>
      <w:r w:rsidRPr="00441BE2">
        <w:rPr>
          <w:rFonts w:ascii="VIC" w:hAnsi="VIC"/>
          <w:sz w:val="18"/>
          <w:szCs w:val="18"/>
        </w:rPr>
        <w:t>enrolled in Australian tertiary education</w:t>
      </w:r>
      <w:r w:rsidR="00534015">
        <w:rPr>
          <w:rFonts w:ascii="VIC" w:hAnsi="VIC"/>
          <w:sz w:val="18"/>
          <w:szCs w:val="18"/>
        </w:rPr>
        <w:t>,</w:t>
      </w:r>
    </w:p>
    <w:p w14:paraId="4DD4C4A1" w14:textId="0F69A413" w:rsidR="00F61700" w:rsidRPr="00441BE2" w:rsidRDefault="00F61700" w:rsidP="00DD69E1">
      <w:pPr>
        <w:pStyle w:val="ListParagraph"/>
        <w:numPr>
          <w:ilvl w:val="0"/>
          <w:numId w:val="80"/>
        </w:numPr>
        <w:ind w:left="357" w:hanging="357"/>
        <w:jc w:val="both"/>
        <w:rPr>
          <w:rFonts w:ascii="VIC" w:hAnsi="VIC"/>
          <w:sz w:val="18"/>
          <w:szCs w:val="18"/>
        </w:rPr>
      </w:pPr>
      <w:r w:rsidRPr="00441BE2">
        <w:rPr>
          <w:rFonts w:ascii="VIC" w:hAnsi="VIC"/>
          <w:sz w:val="18"/>
          <w:szCs w:val="18"/>
        </w:rPr>
        <w:t xml:space="preserve">receiving learning opportunities as part of their engagement on a </w:t>
      </w:r>
      <w:r w:rsidR="009A34CD">
        <w:rPr>
          <w:rFonts w:ascii="VIC" w:hAnsi="VIC"/>
          <w:sz w:val="18"/>
          <w:szCs w:val="18"/>
        </w:rPr>
        <w:t>LJF</w:t>
      </w:r>
      <w:r w:rsidRPr="00441BE2">
        <w:rPr>
          <w:rFonts w:ascii="VIC" w:hAnsi="VIC"/>
          <w:sz w:val="18"/>
          <w:szCs w:val="18"/>
        </w:rPr>
        <w:t xml:space="preserve"> project (e.g. cadets in architecture, quantity surveying, and engineering)</w:t>
      </w:r>
      <w:r w:rsidR="00534015">
        <w:rPr>
          <w:rFonts w:ascii="VIC" w:hAnsi="VIC"/>
          <w:sz w:val="18"/>
          <w:szCs w:val="18"/>
        </w:rPr>
        <w:t>,</w:t>
      </w:r>
      <w:r w:rsidRPr="00441BE2">
        <w:rPr>
          <w:rFonts w:ascii="VIC" w:hAnsi="VIC"/>
          <w:sz w:val="18"/>
          <w:szCs w:val="18"/>
        </w:rPr>
        <w:t xml:space="preserve"> and</w:t>
      </w:r>
    </w:p>
    <w:p w14:paraId="76883226" w14:textId="77777777" w:rsidR="00F61700" w:rsidRPr="00441BE2" w:rsidRDefault="00F61700" w:rsidP="00DD69E1">
      <w:pPr>
        <w:pStyle w:val="ListParagraph"/>
        <w:numPr>
          <w:ilvl w:val="0"/>
          <w:numId w:val="80"/>
        </w:numPr>
        <w:ind w:left="357" w:hanging="357"/>
        <w:jc w:val="both"/>
        <w:rPr>
          <w:rFonts w:ascii="VIC" w:hAnsi="VIC"/>
          <w:szCs w:val="18"/>
        </w:rPr>
      </w:pPr>
      <w:r w:rsidRPr="00441BE2">
        <w:rPr>
          <w:rFonts w:ascii="VIC" w:hAnsi="VIC"/>
          <w:sz w:val="18"/>
          <w:szCs w:val="18"/>
        </w:rPr>
        <w:t>undertaking work that is directly tied to their associated tertiary qualification.</w:t>
      </w:r>
    </w:p>
    <w:p w14:paraId="4408B4EB" w14:textId="02E102DD" w:rsidR="00E5183D" w:rsidRPr="000A1ABE" w:rsidRDefault="00F61700" w:rsidP="00DD69E1">
      <w:pPr>
        <w:pStyle w:val="bodycopy"/>
        <w:spacing w:before="120" w:after="200"/>
        <w:jc w:val="both"/>
      </w:pPr>
      <w:r w:rsidRPr="00441BE2">
        <w:rPr>
          <w:rFonts w:cs="Times New Roman"/>
          <w:szCs w:val="18"/>
        </w:rPr>
        <w:t>Cadetships are different to professional traineeships (an employee who is not in an entry level role and is undertaking professional development training), which cannot count towards MPSG.</w:t>
      </w:r>
    </w:p>
    <w:p w14:paraId="56A7D21C" w14:textId="62C82F83" w:rsidR="005458F3" w:rsidRDefault="00B767D3" w:rsidP="00DD69E1">
      <w:pPr>
        <w:pStyle w:val="bodycopy"/>
        <w:spacing w:before="120" w:after="200"/>
        <w:jc w:val="both"/>
        <w:rPr>
          <w:b/>
          <w:bCs/>
        </w:rPr>
      </w:pPr>
      <w:r w:rsidRPr="4D8EFD91">
        <w:rPr>
          <w:b/>
          <w:bCs/>
        </w:rPr>
        <w:t xml:space="preserve">Contestability </w:t>
      </w:r>
      <w:r w:rsidR="00A54CA3">
        <w:rPr>
          <w:b/>
          <w:bCs/>
        </w:rPr>
        <w:t>A</w:t>
      </w:r>
      <w:r w:rsidRPr="4D8EFD91">
        <w:rPr>
          <w:b/>
          <w:bCs/>
        </w:rPr>
        <w:t>ssessment</w:t>
      </w:r>
      <w:r w:rsidRPr="00DD69E1">
        <w:t xml:space="preserve"> </w:t>
      </w:r>
      <w:r w:rsidR="00FC2BFF">
        <w:t>-</w:t>
      </w:r>
      <w:r>
        <w:t xml:space="preserve"> </w:t>
      </w:r>
      <w:r w:rsidR="001D0442">
        <w:t>refers to the review</w:t>
      </w:r>
      <w:r w:rsidR="001D0442" w:rsidRPr="4D8EFD91">
        <w:rPr>
          <w:lang w:val="en-US"/>
        </w:rPr>
        <w:t xml:space="preserve"> of project </w:t>
      </w:r>
      <w:r w:rsidR="001D0442">
        <w:rPr>
          <w:lang w:val="en-US"/>
        </w:rPr>
        <w:t>information</w:t>
      </w:r>
      <w:r w:rsidR="001D0442" w:rsidRPr="4D8EFD91">
        <w:rPr>
          <w:lang w:val="en-US"/>
        </w:rPr>
        <w:t xml:space="preserve"> to assess contestable and non-contestable items based on benchmarking of </w:t>
      </w:r>
      <w:r w:rsidR="001D0442">
        <w:rPr>
          <w:lang w:val="en-US"/>
        </w:rPr>
        <w:t xml:space="preserve">local </w:t>
      </w:r>
      <w:r w:rsidR="001D0442" w:rsidRPr="4D8EFD91">
        <w:rPr>
          <w:lang w:val="en-US"/>
        </w:rPr>
        <w:t>capab</w:t>
      </w:r>
      <w:r w:rsidR="001D0442">
        <w:rPr>
          <w:lang w:val="en-US"/>
        </w:rPr>
        <w:t xml:space="preserve">ility </w:t>
      </w:r>
      <w:r w:rsidR="001D0442" w:rsidRPr="4D8EFD91">
        <w:rPr>
          <w:lang w:val="en-US"/>
        </w:rPr>
        <w:t xml:space="preserve">to determine </w:t>
      </w:r>
      <w:r w:rsidR="001D0442">
        <w:rPr>
          <w:lang w:val="en-US"/>
        </w:rPr>
        <w:t>if there are competitive international and local suppliers that can supply the good or service.</w:t>
      </w:r>
    </w:p>
    <w:p w14:paraId="5D573A7C" w14:textId="2EF85BCB" w:rsidR="00454287" w:rsidRPr="000A1ABE" w:rsidRDefault="00454287" w:rsidP="00DD69E1">
      <w:pPr>
        <w:pStyle w:val="bodycopy"/>
        <w:spacing w:before="120" w:after="200"/>
        <w:jc w:val="both"/>
      </w:pPr>
      <w:r w:rsidRPr="000A1ABE">
        <w:rPr>
          <w:b/>
          <w:bCs/>
        </w:rPr>
        <w:t xml:space="preserve">Contestable </w:t>
      </w:r>
      <w:r w:rsidR="001C7843">
        <w:rPr>
          <w:b/>
          <w:bCs/>
        </w:rPr>
        <w:t>G</w:t>
      </w:r>
      <w:r w:rsidRPr="000A1ABE">
        <w:rPr>
          <w:b/>
          <w:bCs/>
        </w:rPr>
        <w:t xml:space="preserve">oods and </w:t>
      </w:r>
      <w:r w:rsidR="001C7843">
        <w:rPr>
          <w:b/>
          <w:bCs/>
        </w:rPr>
        <w:t>S</w:t>
      </w:r>
      <w:r w:rsidRPr="000A1ABE">
        <w:rPr>
          <w:b/>
          <w:bCs/>
        </w:rPr>
        <w:t>ervices</w:t>
      </w:r>
      <w:r w:rsidR="00534015">
        <w:t xml:space="preserve"> - </w:t>
      </w:r>
      <w:r w:rsidR="003B0F91">
        <w:t>is</w:t>
      </w:r>
      <w:r w:rsidRPr="000A1ABE">
        <w:t xml:space="preserve"> when there are competitive international and local suppliers that can supply the good or service. Competitive means the suppliers can offer comparable goods or services that meet the specifications given by the agency. Contestable items can be goods or services at any stage of a project.</w:t>
      </w:r>
    </w:p>
    <w:p w14:paraId="766B884D" w14:textId="4D84E631" w:rsidR="00454287" w:rsidRPr="000A1ABE" w:rsidRDefault="00454287" w:rsidP="00DD69E1">
      <w:pPr>
        <w:pStyle w:val="bodycopy"/>
        <w:spacing w:before="120" w:after="200"/>
        <w:jc w:val="both"/>
      </w:pPr>
      <w:r w:rsidRPr="000A1ABE">
        <w:rPr>
          <w:b/>
          <w:bCs/>
        </w:rPr>
        <w:t>Contract Manager</w:t>
      </w:r>
      <w:r w:rsidR="00534015">
        <w:t xml:space="preserve"> - </w:t>
      </w:r>
      <w:r w:rsidR="00B31F03">
        <w:t>refers to</w:t>
      </w:r>
      <w:r w:rsidRPr="000A1ABE">
        <w:t xml:space="preserve"> the person within the relevant </w:t>
      </w:r>
      <w:r w:rsidR="001C7843">
        <w:t>a</w:t>
      </w:r>
      <w:r w:rsidRPr="000A1ABE">
        <w:t xml:space="preserve">gency responsible for managing the </w:t>
      </w:r>
      <w:r w:rsidR="009A34CD">
        <w:t>LJF</w:t>
      </w:r>
      <w:r w:rsidRPr="000A1ABE">
        <w:t xml:space="preserve"> process for a contract.</w:t>
      </w:r>
    </w:p>
    <w:p w14:paraId="31AB2B19" w14:textId="42191AE4" w:rsidR="00454287" w:rsidRPr="000A1ABE" w:rsidRDefault="00454287" w:rsidP="00DD69E1">
      <w:pPr>
        <w:pStyle w:val="bodycopy"/>
        <w:spacing w:before="120" w:after="200"/>
        <w:jc w:val="both"/>
        <w:rPr>
          <w:color w:val="000000"/>
        </w:rPr>
      </w:pPr>
      <w:r w:rsidRPr="000A1ABE">
        <w:rPr>
          <w:b/>
          <w:bCs/>
        </w:rPr>
        <w:t xml:space="preserve">Department of Jobs, </w:t>
      </w:r>
      <w:r w:rsidR="00B767D3">
        <w:rPr>
          <w:b/>
          <w:bCs/>
        </w:rPr>
        <w:t>Skills, Industry</w:t>
      </w:r>
      <w:r w:rsidR="00B767D3" w:rsidRPr="000A1ABE">
        <w:rPr>
          <w:b/>
          <w:bCs/>
        </w:rPr>
        <w:t xml:space="preserve"> </w:t>
      </w:r>
      <w:r w:rsidRPr="000A1ABE">
        <w:rPr>
          <w:b/>
          <w:bCs/>
        </w:rPr>
        <w:t>and Regions</w:t>
      </w:r>
      <w:r w:rsidR="00534015">
        <w:t xml:space="preserve"> - </w:t>
      </w:r>
      <w:r w:rsidR="00456024">
        <w:t>is t</w:t>
      </w:r>
      <w:r w:rsidRPr="000A1ABE">
        <w:t xml:space="preserve">he Victorian Government </w:t>
      </w:r>
      <w:r w:rsidR="00B767D3">
        <w:t>department</w:t>
      </w:r>
      <w:r w:rsidR="00B767D3" w:rsidRPr="000A1ABE">
        <w:t xml:space="preserve"> </w:t>
      </w:r>
      <w:r w:rsidRPr="000A1ABE">
        <w:t xml:space="preserve">responsible for administering the </w:t>
      </w:r>
      <w:r w:rsidR="00A10C63">
        <w:t>Act</w:t>
      </w:r>
      <w:r w:rsidRPr="000A1ABE">
        <w:t xml:space="preserve"> and </w:t>
      </w:r>
      <w:r w:rsidR="00B767D3">
        <w:t>Local Jobs First</w:t>
      </w:r>
      <w:r w:rsidRPr="000A1ABE">
        <w:t xml:space="preserve">. </w:t>
      </w:r>
    </w:p>
    <w:p w14:paraId="0EA13514" w14:textId="738BEE73" w:rsidR="00454287" w:rsidRPr="000A1ABE" w:rsidRDefault="00454287" w:rsidP="00DD69E1">
      <w:pPr>
        <w:pStyle w:val="bodycopy"/>
        <w:spacing w:before="120" w:after="200"/>
        <w:jc w:val="both"/>
      </w:pPr>
      <w:r w:rsidRPr="000A1ABE">
        <w:rPr>
          <w:b/>
          <w:bCs/>
        </w:rPr>
        <w:t>Employment</w:t>
      </w:r>
      <w:r w:rsidRPr="00534015">
        <w:t xml:space="preserve"> </w:t>
      </w:r>
      <w:r w:rsidR="00244D00">
        <w:t>–</w:t>
      </w:r>
      <w:r w:rsidRPr="00534015">
        <w:t xml:space="preserve"> </w:t>
      </w:r>
      <w:r w:rsidR="00244D00">
        <w:t>refers to</w:t>
      </w:r>
      <w:r w:rsidRPr="00534015">
        <w:t xml:space="preserve"> </w:t>
      </w:r>
      <w:r w:rsidRPr="000A1ABE">
        <w:t xml:space="preserve">the number of actual new or retained (i.e. existing) annualised employee equivalent opportunities (jobs) to be created in Australia and New Zealand </w:t>
      </w:r>
      <w:proofErr w:type="gramStart"/>
      <w:r w:rsidRPr="000A1ABE">
        <w:t>as a result of</w:t>
      </w:r>
      <w:proofErr w:type="gramEnd"/>
      <w:r w:rsidRPr="000A1ABE">
        <w:t xml:space="preserve"> the contract.</w:t>
      </w:r>
    </w:p>
    <w:p w14:paraId="597DEF52" w14:textId="2ED0AF3B" w:rsidR="00454287" w:rsidRPr="000A1ABE" w:rsidRDefault="00454287" w:rsidP="00DD69E1">
      <w:pPr>
        <w:pStyle w:val="bodycopy"/>
        <w:spacing w:before="120" w:after="200"/>
        <w:jc w:val="both"/>
      </w:pPr>
      <w:r w:rsidRPr="000A1ABE">
        <w:rPr>
          <w:u w:val="single"/>
        </w:rPr>
        <w:t>Note</w:t>
      </w:r>
      <w:r w:rsidRPr="000A1ABE">
        <w:t xml:space="preserve">: </w:t>
      </w:r>
      <w:r w:rsidR="000E395C" w:rsidRPr="000A1ABE">
        <w:t>Annual Employee Equivalent (AEE</w:t>
      </w:r>
      <w:r w:rsidR="000E395C">
        <w:t>)</w:t>
      </w:r>
      <w:r w:rsidRPr="000A1ABE">
        <w:t xml:space="preserve"> replaces Full Time Equivalen</w:t>
      </w:r>
      <w:r w:rsidR="009C5826">
        <w:t>t</w:t>
      </w:r>
      <w:r w:rsidRPr="000A1ABE">
        <w:t xml:space="preserve"> (FTE) and is calculated by dividing the total number of ordinary working hours that an employee worked and was paid over the reporting period (including paid leave) by the total number of full-time working hours paid per annum (this is generally 38 hours per week for 52 weeks = 1</w:t>
      </w:r>
      <w:r w:rsidR="005F09EC">
        <w:t>,</w:t>
      </w:r>
      <w:r w:rsidRPr="000A1ABE">
        <w:t>976).</w:t>
      </w:r>
    </w:p>
    <w:p w14:paraId="4F52F953" w14:textId="0CA8F98E" w:rsidR="00454287" w:rsidRPr="000A1ABE" w:rsidRDefault="00454287" w:rsidP="00EB1C70">
      <w:pPr>
        <w:pStyle w:val="bodycopy"/>
        <w:spacing w:before="120" w:after="200"/>
      </w:pPr>
      <w:r w:rsidRPr="000A1ABE">
        <w:rPr>
          <w:b/>
          <w:bCs/>
        </w:rPr>
        <w:t>Expression of Interest</w:t>
      </w:r>
      <w:r w:rsidRPr="00534015">
        <w:t xml:space="preserve"> </w:t>
      </w:r>
      <w:r w:rsidR="00EB1C70" w:rsidRPr="00534015">
        <w:t>–</w:t>
      </w:r>
      <w:r w:rsidRPr="00DD69E1">
        <w:t xml:space="preserve"> </w:t>
      </w:r>
      <w:r w:rsidR="00EB1C70" w:rsidRPr="00DD69E1">
        <w:t>is</w:t>
      </w:r>
      <w:r w:rsidR="00EB1C70">
        <w:rPr>
          <w:b/>
          <w:bCs/>
        </w:rPr>
        <w:t xml:space="preserve"> </w:t>
      </w:r>
      <w:r w:rsidR="00AF12A8">
        <w:t>u</w:t>
      </w:r>
      <w:r w:rsidRPr="000A1ABE">
        <w:t>sed to identify suppliers interested in, and capable of, delivering the required goods or services. Potential suppliers are asked to provide information on their capability and capacity to do the work. It is usually the first stage of a multi-stage</w:t>
      </w:r>
      <w:r w:rsidRPr="000A1ABE">
        <w:rPr>
          <w:rFonts w:ascii="Cambria" w:hAnsi="Cambria" w:cs="Cambria"/>
        </w:rPr>
        <w:t> </w:t>
      </w:r>
      <w:r w:rsidRPr="000A1ABE">
        <w:t>procurement process.</w:t>
      </w:r>
    </w:p>
    <w:p w14:paraId="3D33CB81" w14:textId="1E452531" w:rsidR="00454287" w:rsidRPr="000A1ABE" w:rsidRDefault="00454287" w:rsidP="00DD69E1">
      <w:pPr>
        <w:pStyle w:val="bodycopy"/>
        <w:spacing w:before="120" w:after="200"/>
        <w:jc w:val="both"/>
        <w:rPr>
          <w:sz w:val="22"/>
          <w:szCs w:val="22"/>
        </w:rPr>
      </w:pPr>
      <w:r w:rsidRPr="00042ADB">
        <w:rPr>
          <w:b/>
          <w:bCs/>
          <w:szCs w:val="18"/>
        </w:rPr>
        <w:t>Invitation to Supply</w:t>
      </w:r>
      <w:r w:rsidR="00534015" w:rsidRPr="00534015">
        <w:rPr>
          <w:szCs w:val="18"/>
        </w:rPr>
        <w:t xml:space="preserve"> </w:t>
      </w:r>
      <w:r w:rsidR="00534015">
        <w:rPr>
          <w:szCs w:val="18"/>
        </w:rPr>
        <w:t xml:space="preserve">- </w:t>
      </w:r>
      <w:r w:rsidR="00BB76E3">
        <w:t>is a</w:t>
      </w:r>
      <w:r w:rsidRPr="00CB7203">
        <w:t xml:space="preserve"> process of inviting offers to supply goods and/or services. This process covers both the </w:t>
      </w:r>
      <w:r w:rsidR="001B4A4B">
        <w:t>R</w:t>
      </w:r>
      <w:r w:rsidRPr="00CB7203">
        <w:t xml:space="preserve">equest for </w:t>
      </w:r>
      <w:r w:rsidR="001B4A4B">
        <w:t>Q</w:t>
      </w:r>
      <w:r w:rsidRPr="00CB7203">
        <w:t xml:space="preserve">uotation and </w:t>
      </w:r>
      <w:r w:rsidR="001B4A4B">
        <w:t>R</w:t>
      </w:r>
      <w:r w:rsidRPr="00CB7203">
        <w:t xml:space="preserve">equest for </w:t>
      </w:r>
      <w:r w:rsidR="001B4A4B">
        <w:t>T</w:t>
      </w:r>
      <w:r w:rsidRPr="00CB7203">
        <w:t>ender process.</w:t>
      </w:r>
    </w:p>
    <w:p w14:paraId="0712F25A" w14:textId="23AAF3B6" w:rsidR="00454287" w:rsidRPr="000A1ABE" w:rsidRDefault="00454287" w:rsidP="00DD69E1">
      <w:pPr>
        <w:pStyle w:val="bodycopy"/>
        <w:spacing w:before="120" w:after="200"/>
        <w:jc w:val="both"/>
      </w:pPr>
      <w:r w:rsidRPr="000A1ABE">
        <w:rPr>
          <w:b/>
          <w:bCs/>
        </w:rPr>
        <w:t>Jobs Created</w:t>
      </w:r>
      <w:r w:rsidRPr="00534015">
        <w:t xml:space="preserve"> </w:t>
      </w:r>
      <w:r w:rsidR="004066FA">
        <w:t>–</w:t>
      </w:r>
      <w:r w:rsidRPr="00042ADB">
        <w:t xml:space="preserve"> </w:t>
      </w:r>
      <w:r w:rsidR="004066FA">
        <w:t>is a</w:t>
      </w:r>
      <w:r w:rsidRPr="000A1ABE">
        <w:t xml:space="preserve"> job (one AEE) that has been specifically employed by a supplier or subcontractor, because of the work generated by a specific project.</w:t>
      </w:r>
    </w:p>
    <w:p w14:paraId="7CE81C0A" w14:textId="59D57C59" w:rsidR="00454287" w:rsidRPr="000A1ABE" w:rsidRDefault="00454287" w:rsidP="00DD69E1">
      <w:pPr>
        <w:pStyle w:val="bodycopy"/>
        <w:spacing w:before="120" w:after="200"/>
        <w:jc w:val="both"/>
      </w:pPr>
      <w:r w:rsidRPr="000A1ABE">
        <w:rPr>
          <w:b/>
          <w:bCs/>
        </w:rPr>
        <w:t>Jobs Retained</w:t>
      </w:r>
      <w:r w:rsidRPr="00534015">
        <w:t xml:space="preserve"> </w:t>
      </w:r>
      <w:r w:rsidR="00003479" w:rsidRPr="00534015">
        <w:t>-</w:t>
      </w:r>
      <w:r w:rsidR="00534015" w:rsidRPr="00534015">
        <w:t xml:space="preserve"> </w:t>
      </w:r>
      <w:r w:rsidR="004066FA">
        <w:t>is a</w:t>
      </w:r>
      <w:r w:rsidRPr="000A1ABE">
        <w:t xml:space="preserve"> job (one AEE) that has been working for a supplier or subcontractor before signing a project contract, working in tasks/works related to the project.</w:t>
      </w:r>
    </w:p>
    <w:p w14:paraId="6B17ECC3" w14:textId="6174068F" w:rsidR="00454287" w:rsidRPr="000A1ABE" w:rsidRDefault="00454287" w:rsidP="00DD69E1">
      <w:pPr>
        <w:pStyle w:val="bodycopy"/>
        <w:spacing w:before="120" w:after="200"/>
        <w:jc w:val="both"/>
      </w:pPr>
      <w:r w:rsidRPr="000A1ABE">
        <w:rPr>
          <w:b/>
          <w:bCs/>
        </w:rPr>
        <w:t>Local</w:t>
      </w:r>
      <w:r w:rsidRPr="00534015">
        <w:t xml:space="preserve"> </w:t>
      </w:r>
      <w:r w:rsidR="00003479" w:rsidRPr="00534015">
        <w:t>-</w:t>
      </w:r>
      <w:r w:rsidRPr="00534015">
        <w:t xml:space="preserve"> </w:t>
      </w:r>
      <w:r w:rsidRPr="000A1ABE">
        <w:t>means all suppliers producing Victorian</w:t>
      </w:r>
      <w:r w:rsidR="008F4B7B" w:rsidRPr="00422F86">
        <w:t>, Australian or New Zealand goods or services or when they have added value to imported items, such as providing a local employment outcome to an imported product.</w:t>
      </w:r>
    </w:p>
    <w:p w14:paraId="0FE2D37A" w14:textId="0C07F5FC" w:rsidR="00454287" w:rsidRPr="000A1ABE" w:rsidRDefault="00454287" w:rsidP="00DD69E1">
      <w:pPr>
        <w:pStyle w:val="bodycopy"/>
        <w:spacing w:before="120" w:after="200"/>
        <w:jc w:val="both"/>
      </w:pPr>
      <w:r w:rsidRPr="000A1ABE">
        <w:rPr>
          <w:b/>
          <w:bCs/>
        </w:rPr>
        <w:t>Local Content</w:t>
      </w:r>
      <w:r w:rsidRPr="00534015">
        <w:t xml:space="preserve"> </w:t>
      </w:r>
      <w:r w:rsidR="00003479" w:rsidRPr="00534015">
        <w:t>-</w:t>
      </w:r>
      <w:r w:rsidRPr="00042ADB">
        <w:t xml:space="preserve"> </w:t>
      </w:r>
      <w:proofErr w:type="gramStart"/>
      <w:r w:rsidR="0055006A">
        <w:t xml:space="preserve">is </w:t>
      </w:r>
      <w:r w:rsidR="000238B8">
        <w:t xml:space="preserve"> g</w:t>
      </w:r>
      <w:r w:rsidR="00FA79BC" w:rsidRPr="00B8335B">
        <w:t>oods</w:t>
      </w:r>
      <w:proofErr w:type="gramEnd"/>
      <w:r w:rsidR="00FA79BC" w:rsidRPr="00B8335B">
        <w:t xml:space="preserve"> that are produced by local industry, services that are supplied by local industry, or construction activities carried out by local industry.</w:t>
      </w:r>
      <w:r w:rsidR="00FA79BC">
        <w:t xml:space="preserve"> </w:t>
      </w:r>
      <w:r w:rsidR="00FA79BC" w:rsidRPr="00EA1B09">
        <w:t>Local Content is intended to capture all suppliers producing Australian or New Zealand goods or services or when they have added value to imported items. Local assembly of imported materials, transport of goods, and local labour are all examples of local content or local added value.</w:t>
      </w:r>
    </w:p>
    <w:p w14:paraId="0BD7B2AF" w14:textId="39FDCAA8" w:rsidR="00454287" w:rsidRPr="000A1ABE" w:rsidRDefault="00454287" w:rsidP="00DD69E1">
      <w:pPr>
        <w:pStyle w:val="bodycopy"/>
        <w:spacing w:before="120" w:after="200"/>
        <w:jc w:val="both"/>
      </w:pPr>
      <w:r w:rsidRPr="000A1ABE">
        <w:rPr>
          <w:b/>
          <w:bCs/>
        </w:rPr>
        <w:t>Local Industry</w:t>
      </w:r>
      <w:r w:rsidRPr="00534015">
        <w:t xml:space="preserve"> </w:t>
      </w:r>
      <w:r w:rsidR="00003479" w:rsidRPr="00534015">
        <w:t>-</w:t>
      </w:r>
      <w:r w:rsidRPr="00534015">
        <w:t xml:space="preserve"> </w:t>
      </w:r>
      <w:r w:rsidRPr="000A1ABE">
        <w:t xml:space="preserve">means industry and other businesses based in </w:t>
      </w:r>
      <w:r w:rsidR="00286E47">
        <w:t>A</w:t>
      </w:r>
      <w:r w:rsidR="009E037E">
        <w:t xml:space="preserve">ustralia and </w:t>
      </w:r>
      <w:r w:rsidR="00286E47">
        <w:t>N</w:t>
      </w:r>
      <w:r w:rsidR="009E037E">
        <w:t xml:space="preserve">ew </w:t>
      </w:r>
      <w:r w:rsidR="00286E47">
        <w:t>Z</w:t>
      </w:r>
      <w:r w:rsidR="009E037E">
        <w:t>ealand</w:t>
      </w:r>
      <w:r w:rsidRPr="000A1ABE">
        <w:t>.</w:t>
      </w:r>
    </w:p>
    <w:p w14:paraId="6CEEA25D" w14:textId="550AEB71" w:rsidR="00454287" w:rsidRPr="000A1ABE" w:rsidRDefault="00454287" w:rsidP="00DD69E1">
      <w:pPr>
        <w:pStyle w:val="bodycopy"/>
        <w:spacing w:before="120" w:after="200"/>
        <w:jc w:val="both"/>
      </w:pPr>
      <w:r w:rsidRPr="000A1ABE">
        <w:rPr>
          <w:b/>
          <w:bCs/>
        </w:rPr>
        <w:t>Local Industry Development Plan (LIDP)</w:t>
      </w:r>
      <w:r w:rsidR="00534015" w:rsidRPr="00534015">
        <w:t xml:space="preserve"> - </w:t>
      </w:r>
      <w:r w:rsidRPr="000A1ABE">
        <w:t xml:space="preserve">is a document prepared by the supplier as part of the Expression of Interest, Request for Tender and/or tender submission for a </w:t>
      </w:r>
      <w:r w:rsidR="00AE4AB6">
        <w:t>LJF</w:t>
      </w:r>
      <w:r w:rsidRPr="000A1ABE">
        <w:t xml:space="preserve"> project. The LIDP details the supplier’s commitment to address the </w:t>
      </w:r>
      <w:r w:rsidR="00AE4AB6">
        <w:t>LJF</w:t>
      </w:r>
      <w:r w:rsidRPr="000A1ABE">
        <w:t xml:space="preserve"> requirements and details the expected local content and job outcomes. An LIDP must have an ICN </w:t>
      </w:r>
      <w:r>
        <w:t>Acknowledgement Letter</w:t>
      </w:r>
      <w:r w:rsidRPr="000A1ABE">
        <w:t xml:space="preserve"> from the ICN to be compliant.</w:t>
      </w:r>
    </w:p>
    <w:p w14:paraId="19D7ABDE" w14:textId="0A240E9E" w:rsidR="00454287" w:rsidRPr="000A1ABE" w:rsidRDefault="00834F59" w:rsidP="00DD69E1">
      <w:pPr>
        <w:pStyle w:val="bodycopy"/>
        <w:spacing w:before="120" w:after="200"/>
        <w:jc w:val="both"/>
      </w:pPr>
      <w:r>
        <w:rPr>
          <w:b/>
          <w:bCs/>
        </w:rPr>
        <w:t>L</w:t>
      </w:r>
      <w:r w:rsidR="009E037E">
        <w:rPr>
          <w:b/>
          <w:bCs/>
        </w:rPr>
        <w:t xml:space="preserve">ocal </w:t>
      </w:r>
      <w:r>
        <w:rPr>
          <w:b/>
          <w:bCs/>
        </w:rPr>
        <w:t>J</w:t>
      </w:r>
      <w:r w:rsidR="009E037E">
        <w:rPr>
          <w:b/>
          <w:bCs/>
        </w:rPr>
        <w:t xml:space="preserve">obs </w:t>
      </w:r>
      <w:r>
        <w:rPr>
          <w:b/>
          <w:bCs/>
        </w:rPr>
        <w:t>F</w:t>
      </w:r>
      <w:r w:rsidR="009E037E">
        <w:rPr>
          <w:b/>
          <w:bCs/>
        </w:rPr>
        <w:t>irst</w:t>
      </w:r>
      <w:r w:rsidR="00454287" w:rsidRPr="000A1ABE">
        <w:rPr>
          <w:b/>
          <w:bCs/>
        </w:rPr>
        <w:t xml:space="preserve"> Commissioner</w:t>
      </w:r>
      <w:r w:rsidR="00534015">
        <w:t xml:space="preserve"> -</w:t>
      </w:r>
      <w:r w:rsidR="00454287" w:rsidRPr="000A1ABE">
        <w:t xml:space="preserve"> </w:t>
      </w:r>
      <w:r w:rsidR="00CA013A">
        <w:t>is a</w:t>
      </w:r>
      <w:r w:rsidR="00454287" w:rsidRPr="000A1ABE">
        <w:t xml:space="preserve">n independent statutory officer with advocacy, engagement and compliance powers in relation to </w:t>
      </w:r>
      <w:r w:rsidR="00F53833">
        <w:t>LJF</w:t>
      </w:r>
      <w:r w:rsidR="00454287" w:rsidRPr="000A1ABE">
        <w:t xml:space="preserve">. Further details can be found at </w:t>
      </w:r>
      <w:hyperlink r:id="rId34" w:history="1">
        <w:r w:rsidR="00454287" w:rsidRPr="00DD69E1">
          <w:rPr>
            <w:rStyle w:val="Hyperlink"/>
            <w:szCs w:val="18"/>
          </w:rPr>
          <w:t>https://www.localjobsfirst.vic.gov.au/local-jobs-first-commissioner</w:t>
        </w:r>
      </w:hyperlink>
      <w:r w:rsidR="00075787" w:rsidRPr="00DD69E1">
        <w:rPr>
          <w:rStyle w:val="Hyperlink"/>
          <w:color w:val="auto"/>
          <w:szCs w:val="18"/>
          <w:u w:val="none"/>
        </w:rPr>
        <w:t>.</w:t>
      </w:r>
    </w:p>
    <w:p w14:paraId="42F1BA09" w14:textId="245172E8" w:rsidR="000B5E9B" w:rsidRPr="000A1ABE" w:rsidRDefault="000B5E9B" w:rsidP="00DD69E1">
      <w:pPr>
        <w:pStyle w:val="bodycopy"/>
        <w:spacing w:before="120" w:after="200"/>
        <w:jc w:val="both"/>
      </w:pPr>
      <w:r w:rsidRPr="000B5E9B">
        <w:rPr>
          <w:b/>
          <w:bCs/>
        </w:rPr>
        <w:t>Local Jobs First Policy</w:t>
      </w:r>
      <w:r w:rsidRPr="00534015">
        <w:t xml:space="preserve"> </w:t>
      </w:r>
      <w:r w:rsidR="001D5930" w:rsidRPr="00534015">
        <w:t>-</w:t>
      </w:r>
      <w:r w:rsidRPr="00534015">
        <w:t xml:space="preserve"> </w:t>
      </w:r>
      <w:r w:rsidRPr="00DD69E1">
        <w:t xml:space="preserve">comprises the Victorian Industry Participation Policy and the Major Projects Skills Guarantee. The Local Jobs First Policy may include any guidelines or material prepared by the </w:t>
      </w:r>
      <w:r w:rsidR="00345084">
        <w:t>M</w:t>
      </w:r>
      <w:r w:rsidRPr="00DD69E1">
        <w:t>inister responsible for Local Jobs First regarding the application of, and procedures to be followed in complying with the Act, any regulations or the policy. For the purposes of the Act, the Local Jobs First Policy includes the</w:t>
      </w:r>
      <w:r w:rsidR="00690C62">
        <w:t xml:space="preserve"> Local Jobs First Policy document,</w:t>
      </w:r>
      <w:r w:rsidRPr="00DD69E1">
        <w:t xml:space="preserve"> </w:t>
      </w:r>
      <w:r w:rsidR="00B50AA2">
        <w:t xml:space="preserve">the </w:t>
      </w:r>
      <w:r w:rsidRPr="00DD69E1">
        <w:t xml:space="preserve">Local Jobs First Supplier </w:t>
      </w:r>
      <w:r w:rsidR="00B50AA2">
        <w:t xml:space="preserve">Guidelines </w:t>
      </w:r>
      <w:r w:rsidRPr="00DD69E1">
        <w:t>and Local Jobs First Agency Guidelines.</w:t>
      </w:r>
    </w:p>
    <w:p w14:paraId="6A958557" w14:textId="63B1E7E6" w:rsidR="00454287" w:rsidRPr="000A1ABE" w:rsidRDefault="00454287" w:rsidP="00DD69E1">
      <w:pPr>
        <w:pStyle w:val="bodycopy"/>
        <w:spacing w:before="120" w:after="200"/>
        <w:jc w:val="both"/>
      </w:pPr>
      <w:r w:rsidRPr="000A1ABE">
        <w:rPr>
          <w:b/>
          <w:bCs/>
        </w:rPr>
        <w:t xml:space="preserve">Local </w:t>
      </w:r>
      <w:proofErr w:type="gramStart"/>
      <w:r w:rsidRPr="000A1ABE">
        <w:rPr>
          <w:b/>
          <w:bCs/>
        </w:rPr>
        <w:t>Value Added</w:t>
      </w:r>
      <w:proofErr w:type="gramEnd"/>
      <w:r w:rsidRPr="000A1ABE">
        <w:rPr>
          <w:b/>
          <w:bCs/>
        </w:rPr>
        <w:t xml:space="preserve"> Content</w:t>
      </w:r>
      <w:r w:rsidRPr="00534015">
        <w:t xml:space="preserve"> </w:t>
      </w:r>
      <w:r w:rsidRPr="00042ADB">
        <w:t xml:space="preserve">- </w:t>
      </w:r>
      <w:r w:rsidR="00062E28">
        <w:t>are</w:t>
      </w:r>
      <w:r w:rsidR="00ED524E">
        <w:t xml:space="preserve"> </w:t>
      </w:r>
      <w:r w:rsidR="00C9571C">
        <w:t xml:space="preserve">the </w:t>
      </w:r>
      <w:r w:rsidRPr="000A1ABE">
        <w:t>products or services that are added locally onto an imported product.</w:t>
      </w:r>
    </w:p>
    <w:p w14:paraId="05294DED" w14:textId="1FA509C5" w:rsidR="00454287" w:rsidRPr="000A1ABE" w:rsidRDefault="00454287" w:rsidP="00DD69E1">
      <w:pPr>
        <w:pStyle w:val="bodycopy"/>
        <w:spacing w:before="120" w:after="200"/>
        <w:jc w:val="both"/>
      </w:pPr>
      <w:r w:rsidRPr="000A1ABE">
        <w:rPr>
          <w:b/>
          <w:bCs/>
        </w:rPr>
        <w:t>Major Projects Skills Guarantee</w:t>
      </w:r>
      <w:r w:rsidR="006904B9">
        <w:rPr>
          <w:b/>
          <w:bCs/>
        </w:rPr>
        <w:t xml:space="preserve"> (MPSG)</w:t>
      </w:r>
      <w:r w:rsidR="00932BD9">
        <w:t xml:space="preserve"> </w:t>
      </w:r>
      <w:r w:rsidR="00932BD9" w:rsidRPr="00932BD9">
        <w:t xml:space="preserve">- </w:t>
      </w:r>
      <w:r w:rsidRPr="000A1ABE">
        <w:t xml:space="preserve">is a policy that provides job opportunities for </w:t>
      </w:r>
      <w:r w:rsidR="00457D11">
        <w:t>ATCs</w:t>
      </w:r>
      <w:r w:rsidRPr="000A1ABE">
        <w:t xml:space="preserve"> on high value construction and infrastructure projects.</w:t>
      </w:r>
    </w:p>
    <w:p w14:paraId="1C9F361F" w14:textId="7C76F33A" w:rsidR="00454287" w:rsidRDefault="00454287" w:rsidP="00DD69E1">
      <w:pPr>
        <w:pStyle w:val="bodycopy"/>
        <w:spacing w:before="120" w:after="200"/>
        <w:jc w:val="both"/>
      </w:pPr>
      <w:r w:rsidRPr="000A1ABE">
        <w:rPr>
          <w:b/>
          <w:bCs/>
        </w:rPr>
        <w:t xml:space="preserve">Non-contestable </w:t>
      </w:r>
      <w:r w:rsidR="00774A1C">
        <w:rPr>
          <w:b/>
          <w:bCs/>
        </w:rPr>
        <w:t>I</w:t>
      </w:r>
      <w:r w:rsidRPr="000A1ABE">
        <w:rPr>
          <w:b/>
          <w:bCs/>
        </w:rPr>
        <w:t>tems</w:t>
      </w:r>
      <w:r w:rsidRPr="00932BD9">
        <w:t xml:space="preserve"> </w:t>
      </w:r>
      <w:r w:rsidR="00834974">
        <w:t>–</w:t>
      </w:r>
      <w:r w:rsidRPr="00042ADB">
        <w:t xml:space="preserve"> </w:t>
      </w:r>
      <w:r w:rsidR="00834974">
        <w:t>are i</w:t>
      </w:r>
      <w:r w:rsidRPr="000A1ABE">
        <w:t>tems that are considered as only being available through the international marketplace or local suppliers only. That is, it is considered that there is no current competition between international and local suppliers to provide the good or service.</w:t>
      </w:r>
    </w:p>
    <w:p w14:paraId="462FB83F" w14:textId="2F779BC1" w:rsidR="008E2875" w:rsidRPr="00082193" w:rsidRDefault="008E2875" w:rsidP="00DD69E1">
      <w:pPr>
        <w:pStyle w:val="bodycopy"/>
        <w:spacing w:before="120" w:after="200"/>
        <w:jc w:val="both"/>
        <w:rPr>
          <w:b/>
          <w:bCs/>
        </w:rPr>
      </w:pPr>
      <w:r w:rsidRPr="00DF417E">
        <w:rPr>
          <w:b/>
          <w:bCs/>
        </w:rPr>
        <w:t xml:space="preserve">Non-contestable </w:t>
      </w:r>
      <w:r w:rsidR="00AD74E1">
        <w:rPr>
          <w:b/>
          <w:bCs/>
        </w:rPr>
        <w:t>P</w:t>
      </w:r>
      <w:r w:rsidRPr="00DF417E">
        <w:rPr>
          <w:b/>
          <w:bCs/>
        </w:rPr>
        <w:t>roject</w:t>
      </w:r>
      <w:r w:rsidRPr="00DF417E">
        <w:t xml:space="preserve"> - </w:t>
      </w:r>
      <w:r w:rsidR="00834974">
        <w:t>is</w:t>
      </w:r>
      <w:r>
        <w:t xml:space="preserve"> a Standard Project or a Strategic Project that is determined to be non-contestable in accordance with section 4B of the Act. Agencies are not required to apply Local Jobs First to a non-contestable project.</w:t>
      </w:r>
    </w:p>
    <w:p w14:paraId="22EBFF82" w14:textId="104CDF3E" w:rsidR="00454287" w:rsidRDefault="00454287" w:rsidP="002150D3">
      <w:pPr>
        <w:pStyle w:val="bodycopy"/>
        <w:spacing w:before="120" w:after="200"/>
        <w:rPr>
          <w:b/>
          <w:bCs/>
        </w:rPr>
      </w:pPr>
      <w:r w:rsidRPr="00D44AA6">
        <w:rPr>
          <w:b/>
          <w:bCs/>
        </w:rPr>
        <w:t xml:space="preserve">Off-site </w:t>
      </w:r>
      <w:r w:rsidR="00774A1C">
        <w:rPr>
          <w:b/>
          <w:bCs/>
        </w:rPr>
        <w:t>W</w:t>
      </w:r>
      <w:r w:rsidRPr="00D44AA6">
        <w:rPr>
          <w:b/>
          <w:bCs/>
        </w:rPr>
        <w:t>ork</w:t>
      </w:r>
      <w:r w:rsidRPr="00932BD9">
        <w:t xml:space="preserve"> </w:t>
      </w:r>
      <w:r w:rsidR="002F1E37">
        <w:t>-</w:t>
      </w:r>
      <w:r w:rsidRPr="00322F61">
        <w:t xml:space="preserve"> </w:t>
      </w:r>
      <w:r w:rsidR="002150D3">
        <w:t xml:space="preserve">is </w:t>
      </w:r>
      <w:r w:rsidRPr="00322F61">
        <w:t>work that is conducted away from the construction site by subcontractors to deliver inputs to a project, including prefabricated or modular components. Examples of such inputs include steel panels and frames, precast concrete, switchboards, wiring systems and modular systems or preassembled components.</w:t>
      </w:r>
    </w:p>
    <w:p w14:paraId="52B5D333" w14:textId="19749619" w:rsidR="00454287" w:rsidRPr="000A1ABE" w:rsidRDefault="00454287" w:rsidP="00DD69E1">
      <w:pPr>
        <w:pStyle w:val="bodycopy"/>
        <w:spacing w:before="120" w:after="200"/>
        <w:jc w:val="both"/>
      </w:pPr>
      <w:r w:rsidRPr="000A1ABE">
        <w:rPr>
          <w:b/>
          <w:bCs/>
        </w:rPr>
        <w:t>Practical Completion</w:t>
      </w:r>
      <w:r w:rsidRPr="00932BD9">
        <w:t xml:space="preserve"> - </w:t>
      </w:r>
      <w:r w:rsidR="002150D3">
        <w:t>h</w:t>
      </w:r>
      <w:r w:rsidR="003B40F8" w:rsidRPr="003B40F8">
        <w:t>as the same meaning as specified in the contract for the project or, if the contract does not specify the meaning of that term, it means the day on which all of the supplier's obligations (other than minor or administrative obligations) to provide goods or services, or carry out construction activities, under the contract are fulfilled</w:t>
      </w:r>
      <w:r w:rsidRPr="000A1ABE">
        <w:t>.</w:t>
      </w:r>
    </w:p>
    <w:p w14:paraId="6AB5A662" w14:textId="635838E6" w:rsidR="004415B5" w:rsidRPr="000A1ABE" w:rsidRDefault="004415B5" w:rsidP="00DD69E1">
      <w:pPr>
        <w:pStyle w:val="bodycopy"/>
        <w:spacing w:before="120" w:after="200"/>
        <w:jc w:val="both"/>
      </w:pPr>
      <w:r w:rsidRPr="000A1ABE">
        <w:rPr>
          <w:b/>
          <w:bCs/>
        </w:rPr>
        <w:t>Request for Tender</w:t>
      </w:r>
      <w:r w:rsidR="00932BD9" w:rsidRPr="00932BD9">
        <w:t xml:space="preserve"> </w:t>
      </w:r>
      <w:r w:rsidR="00932BD9">
        <w:t xml:space="preserve">- </w:t>
      </w:r>
      <w:r w:rsidR="00BE6EA9">
        <w:t>is a</w:t>
      </w:r>
      <w:r w:rsidRPr="000A1ABE">
        <w:t>n invitation to supply or a request for offer against a set of clearly defined and specified requirements.</w:t>
      </w:r>
      <w:r w:rsidRPr="000A1ABE">
        <w:rPr>
          <w:rFonts w:ascii="Cambria" w:hAnsi="Cambria" w:cs="Cambria"/>
        </w:rPr>
        <w:t> </w:t>
      </w:r>
      <w:r w:rsidRPr="000A1ABE">
        <w:t>Invitees are advised of all requirements involved including the conditions of</w:t>
      </w:r>
      <w:r w:rsidRPr="000A1ABE">
        <w:rPr>
          <w:rFonts w:ascii="Cambria" w:hAnsi="Cambria" w:cs="Cambria"/>
        </w:rPr>
        <w:t> </w:t>
      </w:r>
      <w:r w:rsidRPr="000A1ABE">
        <w:t>participation and proposed contract conditions.</w:t>
      </w:r>
    </w:p>
    <w:p w14:paraId="55BCFB7B" w14:textId="1A9EF496" w:rsidR="004415B5" w:rsidRPr="000A1ABE" w:rsidRDefault="004415B5" w:rsidP="00DD69E1">
      <w:pPr>
        <w:jc w:val="both"/>
      </w:pPr>
      <w:r w:rsidRPr="000A1ABE">
        <w:rPr>
          <w:b/>
          <w:bCs/>
        </w:rPr>
        <w:t>Rural and Regional Victoria</w:t>
      </w:r>
      <w:r w:rsidR="00932BD9" w:rsidRPr="00932BD9">
        <w:t xml:space="preserve"> - </w:t>
      </w:r>
      <w:r w:rsidR="00BE6EA9" w:rsidRPr="00DD69E1">
        <w:t>h</w:t>
      </w:r>
      <w:r w:rsidR="00DF2664" w:rsidRPr="2C2C1585">
        <w:rPr>
          <w:lang w:eastAsia="en-AU"/>
        </w:rPr>
        <w:t xml:space="preserve">as the same meaning as </w:t>
      </w:r>
      <w:r w:rsidR="00675D91">
        <w:rPr>
          <w:lang w:eastAsia="en-AU"/>
        </w:rPr>
        <w:t xml:space="preserve">in </w:t>
      </w:r>
      <w:r w:rsidR="00DF2664" w:rsidRPr="2C2C1585">
        <w:rPr>
          <w:lang w:eastAsia="en-AU"/>
        </w:rPr>
        <w:t xml:space="preserve">the </w:t>
      </w:r>
      <w:hyperlink r:id="rId35" w:history="1">
        <w:r w:rsidR="00DF2664" w:rsidRPr="2C2C1585">
          <w:rPr>
            <w:rStyle w:val="Hyperlink"/>
            <w:i/>
            <w:iCs/>
            <w:lang w:eastAsia="en-AU"/>
          </w:rPr>
          <w:t>Regional Development Victoria Act 2002</w:t>
        </w:r>
      </w:hyperlink>
      <w:r w:rsidR="00DF2664" w:rsidRPr="2C2C1585">
        <w:rPr>
          <w:i/>
          <w:iCs/>
          <w:lang w:eastAsia="en-AU"/>
        </w:rPr>
        <w:t>.</w:t>
      </w:r>
      <w:r w:rsidR="00675D91">
        <w:rPr>
          <w:i/>
          <w:iCs/>
          <w:lang w:eastAsia="en-AU"/>
        </w:rPr>
        <w:t xml:space="preserve"> </w:t>
      </w:r>
      <w:r w:rsidR="00675D91" w:rsidRPr="00DD69E1">
        <w:rPr>
          <w:lang w:eastAsia="en-AU"/>
        </w:rPr>
        <w:t>That Act defines</w:t>
      </w:r>
      <w:r w:rsidR="00DF2664" w:rsidRPr="2C2C1585">
        <w:rPr>
          <w:i/>
          <w:iCs/>
          <w:lang w:eastAsia="en-AU"/>
        </w:rPr>
        <w:t xml:space="preserve"> </w:t>
      </w:r>
      <w:r w:rsidR="00DF2664" w:rsidRPr="00422F86">
        <w:rPr>
          <w:lang w:val="en-US" w:eastAsia="en-AU"/>
        </w:rPr>
        <w:t xml:space="preserve">Rural and Regional Victoria </w:t>
      </w:r>
      <w:r w:rsidR="00675D91">
        <w:rPr>
          <w:lang w:val="en-US" w:eastAsia="en-AU"/>
        </w:rPr>
        <w:t>a</w:t>
      </w:r>
      <w:r w:rsidR="00DF2664" w:rsidRPr="00422F86">
        <w:rPr>
          <w:lang w:val="en-US" w:eastAsia="en-AU"/>
        </w:rPr>
        <w:t>s the 48 local government areas, including six alpine resort areas</w:t>
      </w:r>
      <w:r w:rsidR="00DF2664" w:rsidRPr="2C2C1585">
        <w:rPr>
          <w:lang w:val="en-US" w:eastAsia="en-AU"/>
        </w:rPr>
        <w:t xml:space="preserve">. </w:t>
      </w:r>
      <w:r w:rsidR="00DF2664" w:rsidRPr="00422F86">
        <w:rPr>
          <w:lang w:val="en-US" w:eastAsia="en-AU"/>
        </w:rPr>
        <w:t xml:space="preserve">The 10 regional city local government areas are </w:t>
      </w:r>
      <w:hyperlink r:id="rId36" w:history="1">
        <w:r w:rsidR="00DF2664" w:rsidRPr="00DD69E1">
          <w:rPr>
            <w:rStyle w:val="Hyperlink"/>
          </w:rPr>
          <w:t>Ballarat</w:t>
        </w:r>
      </w:hyperlink>
      <w:r w:rsidR="00DF2664" w:rsidRPr="00422F86">
        <w:rPr>
          <w:lang w:val="en-US" w:eastAsia="en-AU"/>
        </w:rPr>
        <w:t xml:space="preserve">, </w:t>
      </w:r>
      <w:hyperlink r:id="rId37" w:history="1">
        <w:r w:rsidR="00DF2664" w:rsidRPr="00DD69E1">
          <w:rPr>
            <w:rStyle w:val="Hyperlink"/>
          </w:rPr>
          <w:t>Greater Bendigo</w:t>
        </w:r>
      </w:hyperlink>
      <w:r w:rsidR="00DF2664" w:rsidRPr="00422F86">
        <w:rPr>
          <w:lang w:val="en-US" w:eastAsia="en-AU"/>
        </w:rPr>
        <w:t xml:space="preserve">, </w:t>
      </w:r>
      <w:hyperlink r:id="rId38" w:history="1">
        <w:r w:rsidR="00DF2664" w:rsidRPr="00DD69E1">
          <w:rPr>
            <w:rStyle w:val="Hyperlink"/>
          </w:rPr>
          <w:t>Greater</w:t>
        </w:r>
        <w:r w:rsidR="00DF2664" w:rsidRPr="00422F86">
          <w:rPr>
            <w:u w:val="single"/>
            <w:lang w:val="en-US" w:eastAsia="en-AU"/>
          </w:rPr>
          <w:t xml:space="preserve"> </w:t>
        </w:r>
        <w:r w:rsidR="00DF2664" w:rsidRPr="00DD69E1">
          <w:rPr>
            <w:rStyle w:val="Hyperlink"/>
          </w:rPr>
          <w:t>Geelong</w:t>
        </w:r>
      </w:hyperlink>
      <w:r w:rsidR="00DF2664" w:rsidRPr="00422F86">
        <w:rPr>
          <w:lang w:val="en-US" w:eastAsia="en-AU"/>
        </w:rPr>
        <w:t xml:space="preserve">, </w:t>
      </w:r>
      <w:hyperlink r:id="rId39" w:history="1">
        <w:r w:rsidR="00DF2664" w:rsidRPr="00DD69E1">
          <w:rPr>
            <w:rStyle w:val="Hyperlink"/>
          </w:rPr>
          <w:t>Greater</w:t>
        </w:r>
        <w:r w:rsidR="00DF2664" w:rsidRPr="00422F86">
          <w:rPr>
            <w:u w:val="single"/>
            <w:lang w:val="en-US" w:eastAsia="en-AU"/>
          </w:rPr>
          <w:t xml:space="preserve"> </w:t>
        </w:r>
        <w:r w:rsidR="00DF2664" w:rsidRPr="00DD69E1">
          <w:rPr>
            <w:rStyle w:val="Hyperlink"/>
          </w:rPr>
          <w:t>Shepp</w:t>
        </w:r>
        <w:r w:rsidR="00F12246">
          <w:rPr>
            <w:rStyle w:val="Hyperlink"/>
          </w:rPr>
          <w:t>a</w:t>
        </w:r>
        <w:r w:rsidR="00DF2664" w:rsidRPr="00DD69E1">
          <w:rPr>
            <w:rStyle w:val="Hyperlink"/>
          </w:rPr>
          <w:t>rton</w:t>
        </w:r>
      </w:hyperlink>
      <w:r w:rsidR="00DF2664" w:rsidRPr="00422F86">
        <w:rPr>
          <w:lang w:val="en-US" w:eastAsia="en-AU"/>
        </w:rPr>
        <w:t xml:space="preserve">, </w:t>
      </w:r>
      <w:hyperlink r:id="rId40" w:history="1">
        <w:r w:rsidR="00DF2664" w:rsidRPr="00DD69E1">
          <w:rPr>
            <w:rStyle w:val="Hyperlink"/>
          </w:rPr>
          <w:t>Horsham</w:t>
        </w:r>
      </w:hyperlink>
      <w:r w:rsidR="00DF2664" w:rsidRPr="00422F86">
        <w:rPr>
          <w:lang w:val="en-US" w:eastAsia="en-AU"/>
        </w:rPr>
        <w:t xml:space="preserve">, </w:t>
      </w:r>
      <w:hyperlink r:id="rId41" w:history="1">
        <w:r w:rsidR="00DF2664" w:rsidRPr="00DD69E1">
          <w:rPr>
            <w:rStyle w:val="Hyperlink"/>
          </w:rPr>
          <w:t>Latrobe</w:t>
        </w:r>
      </w:hyperlink>
      <w:r w:rsidR="00DF2664" w:rsidRPr="00422F86">
        <w:rPr>
          <w:lang w:val="en-US" w:eastAsia="en-AU"/>
        </w:rPr>
        <w:t xml:space="preserve">, </w:t>
      </w:r>
      <w:hyperlink r:id="rId42" w:history="1">
        <w:r w:rsidR="00DF2664" w:rsidRPr="00DD69E1">
          <w:rPr>
            <w:rStyle w:val="Hyperlink"/>
          </w:rPr>
          <w:t>Mildura</w:t>
        </w:r>
      </w:hyperlink>
      <w:r w:rsidR="00DF2664" w:rsidRPr="00422F86">
        <w:rPr>
          <w:lang w:val="en-US" w:eastAsia="en-AU"/>
        </w:rPr>
        <w:t xml:space="preserve">, </w:t>
      </w:r>
      <w:hyperlink r:id="rId43" w:history="1">
        <w:r w:rsidR="00DF2664" w:rsidRPr="00DD69E1">
          <w:rPr>
            <w:rStyle w:val="Hyperlink"/>
          </w:rPr>
          <w:t>Wangaratta</w:t>
        </w:r>
      </w:hyperlink>
      <w:r w:rsidR="00DF2664" w:rsidRPr="00422F86">
        <w:rPr>
          <w:lang w:val="en-US" w:eastAsia="en-AU"/>
        </w:rPr>
        <w:t xml:space="preserve">, </w:t>
      </w:r>
      <w:hyperlink r:id="rId44" w:history="1">
        <w:r w:rsidR="00DF2664" w:rsidRPr="00DD69E1">
          <w:rPr>
            <w:rStyle w:val="Hyperlink"/>
          </w:rPr>
          <w:t>Warrnambool</w:t>
        </w:r>
      </w:hyperlink>
      <w:r w:rsidR="00DF2664" w:rsidRPr="00422F86">
        <w:rPr>
          <w:lang w:val="en-US" w:eastAsia="en-AU"/>
        </w:rPr>
        <w:t xml:space="preserve"> and </w:t>
      </w:r>
      <w:hyperlink r:id="rId45" w:history="1">
        <w:r w:rsidR="00DF2664" w:rsidRPr="00DD69E1">
          <w:rPr>
            <w:rStyle w:val="Hyperlink"/>
          </w:rPr>
          <w:t>Wodonga</w:t>
        </w:r>
      </w:hyperlink>
      <w:r w:rsidR="00DF2664" w:rsidRPr="00422F86">
        <w:rPr>
          <w:lang w:val="en-US" w:eastAsia="en-AU"/>
        </w:rPr>
        <w:t>. The remaining 38 local government areas, including six alpine resort areas, are referred to as the rural local government areas.</w:t>
      </w:r>
    </w:p>
    <w:p w14:paraId="109FABBD" w14:textId="65A6A8D2" w:rsidR="0084480D" w:rsidRPr="000A1ABE" w:rsidRDefault="0084480D" w:rsidP="00DD69E1">
      <w:pPr>
        <w:jc w:val="both"/>
      </w:pPr>
      <w:r w:rsidRPr="00441BE2">
        <w:rPr>
          <w:b/>
          <w:bCs/>
          <w:szCs w:val="18"/>
          <w:lang w:eastAsia="en-AU"/>
        </w:rPr>
        <w:t>Sole Entity Purchase Contract (SEPC)</w:t>
      </w:r>
      <w:r w:rsidRPr="00441BE2">
        <w:rPr>
          <w:szCs w:val="18"/>
          <w:lang w:eastAsia="en-AU"/>
        </w:rPr>
        <w:t xml:space="preserve"> </w:t>
      </w:r>
      <w:r w:rsidR="00B51910">
        <w:rPr>
          <w:szCs w:val="18"/>
          <w:lang w:eastAsia="en-AU"/>
        </w:rPr>
        <w:t>–</w:t>
      </w:r>
      <w:r w:rsidRPr="00441BE2">
        <w:rPr>
          <w:szCs w:val="18"/>
          <w:lang w:eastAsia="en-AU"/>
        </w:rPr>
        <w:t xml:space="preserve"> </w:t>
      </w:r>
      <w:r w:rsidR="00AA5C0F">
        <w:rPr>
          <w:szCs w:val="18"/>
          <w:lang w:eastAsia="en-AU"/>
        </w:rPr>
        <w:t>is a</w:t>
      </w:r>
      <w:r w:rsidR="00843392">
        <w:rPr>
          <w:szCs w:val="18"/>
          <w:lang w:eastAsia="en-AU"/>
        </w:rPr>
        <w:t xml:space="preserve"> procurement arrangement established when a sole organisation has a specific requirement for frequently purchased goods and services. </w:t>
      </w:r>
      <w:r w:rsidRPr="00441BE2">
        <w:rPr>
          <w:szCs w:val="18"/>
          <w:lang w:eastAsia="en-AU"/>
        </w:rPr>
        <w:t>A sole supplier or panel of suppliers are appointed to provide goods or services specific to an agency over the life of the contract.</w:t>
      </w:r>
    </w:p>
    <w:p w14:paraId="2474357A" w14:textId="319819BD" w:rsidR="00454287" w:rsidRDefault="00454287" w:rsidP="00DD69E1">
      <w:pPr>
        <w:pStyle w:val="bodycopy"/>
        <w:spacing w:before="120" w:after="200"/>
        <w:jc w:val="both"/>
      </w:pPr>
      <w:r w:rsidRPr="000A1ABE">
        <w:rPr>
          <w:b/>
          <w:bCs/>
        </w:rPr>
        <w:t>SME</w:t>
      </w:r>
      <w:r w:rsidR="00843392">
        <w:rPr>
          <w:b/>
          <w:bCs/>
        </w:rPr>
        <w:t>s</w:t>
      </w:r>
      <w:r w:rsidRPr="00932BD9">
        <w:t xml:space="preserve"> </w:t>
      </w:r>
      <w:r w:rsidRPr="00042ADB">
        <w:t xml:space="preserve">– </w:t>
      </w:r>
      <w:r w:rsidR="002C78A9">
        <w:t>means s</w:t>
      </w:r>
      <w:r w:rsidRPr="000A1ABE">
        <w:t>mall</w:t>
      </w:r>
      <w:r w:rsidR="003F10AA">
        <w:t xml:space="preserve"> </w:t>
      </w:r>
      <w:r w:rsidRPr="000A1ABE">
        <w:t>to</w:t>
      </w:r>
      <w:r w:rsidR="003F10AA">
        <w:t xml:space="preserve"> </w:t>
      </w:r>
      <w:r w:rsidR="00806991">
        <w:t>m</w:t>
      </w:r>
      <w:r w:rsidRPr="000A1ABE">
        <w:t>edium</w:t>
      </w:r>
      <w:r w:rsidR="003F10AA">
        <w:t>-sized</w:t>
      </w:r>
      <w:r w:rsidRPr="000A1ABE">
        <w:t xml:space="preserve"> </w:t>
      </w:r>
      <w:r w:rsidR="003F10AA">
        <w:t>e</w:t>
      </w:r>
      <w:r w:rsidRPr="000A1ABE">
        <w:t>nterprises</w:t>
      </w:r>
      <w:r w:rsidR="002F1E37">
        <w:t>.</w:t>
      </w:r>
    </w:p>
    <w:p w14:paraId="08E1382D" w14:textId="33202DB8" w:rsidR="00454287" w:rsidRPr="000A1ABE" w:rsidRDefault="00454287" w:rsidP="00DD69E1">
      <w:pPr>
        <w:pStyle w:val="bodycopy"/>
        <w:spacing w:before="120" w:after="200"/>
        <w:jc w:val="both"/>
      </w:pPr>
      <w:r w:rsidRPr="000A1ABE">
        <w:rPr>
          <w:b/>
          <w:bCs/>
        </w:rPr>
        <w:t xml:space="preserve">Standard </w:t>
      </w:r>
      <w:r w:rsidR="00774A1C">
        <w:rPr>
          <w:b/>
          <w:bCs/>
        </w:rPr>
        <w:t>E</w:t>
      </w:r>
      <w:r w:rsidRPr="000A1ABE">
        <w:rPr>
          <w:b/>
          <w:bCs/>
        </w:rPr>
        <w:t xml:space="preserve">mployee </w:t>
      </w:r>
      <w:r w:rsidRPr="00042ADB">
        <w:t>–</w:t>
      </w:r>
      <w:r w:rsidRPr="000A1ABE">
        <w:rPr>
          <w:b/>
          <w:bCs/>
        </w:rPr>
        <w:t xml:space="preserve"> </w:t>
      </w:r>
      <w:r w:rsidR="00901FC4">
        <w:t>is a</w:t>
      </w:r>
      <w:r w:rsidRPr="000A1ABE">
        <w:t>ll employees not classified as apprentices, cadets or trainees.</w:t>
      </w:r>
    </w:p>
    <w:p w14:paraId="38F2370D" w14:textId="7E6D73AF" w:rsidR="0090027C" w:rsidRPr="00441BE2" w:rsidRDefault="0090027C" w:rsidP="00DD69E1">
      <w:pPr>
        <w:jc w:val="both"/>
        <w:rPr>
          <w:szCs w:val="18"/>
          <w:lang w:eastAsia="en-AU"/>
        </w:rPr>
      </w:pPr>
      <w:r w:rsidRPr="00441BE2">
        <w:rPr>
          <w:b/>
          <w:bCs/>
          <w:szCs w:val="18"/>
          <w:lang w:eastAsia="en-AU"/>
        </w:rPr>
        <w:t>State Purchase Contract (SPC)</w:t>
      </w:r>
      <w:r w:rsidRPr="00441BE2">
        <w:rPr>
          <w:szCs w:val="18"/>
          <w:lang w:eastAsia="en-AU"/>
        </w:rPr>
        <w:t xml:space="preserve"> </w:t>
      </w:r>
      <w:r w:rsidR="00B8347B">
        <w:rPr>
          <w:szCs w:val="18"/>
          <w:lang w:eastAsia="en-AU"/>
        </w:rPr>
        <w:t>–</w:t>
      </w:r>
      <w:r w:rsidRPr="00441BE2">
        <w:rPr>
          <w:szCs w:val="18"/>
          <w:lang w:eastAsia="en-AU"/>
        </w:rPr>
        <w:t xml:space="preserve"> </w:t>
      </w:r>
      <w:r w:rsidR="00B8347B">
        <w:rPr>
          <w:szCs w:val="18"/>
          <w:lang w:eastAsia="en-AU"/>
        </w:rPr>
        <w:t>refers to s</w:t>
      </w:r>
      <w:r w:rsidRPr="00441BE2">
        <w:rPr>
          <w:szCs w:val="18"/>
          <w:lang w:eastAsia="en-AU"/>
        </w:rPr>
        <w:t xml:space="preserve">tanding offer agreements for Victorian </w:t>
      </w:r>
      <w:r w:rsidR="00D81D4A">
        <w:rPr>
          <w:szCs w:val="18"/>
          <w:lang w:eastAsia="en-AU"/>
        </w:rPr>
        <w:t>G</w:t>
      </w:r>
      <w:r w:rsidRPr="00441BE2">
        <w:rPr>
          <w:szCs w:val="18"/>
          <w:lang w:eastAsia="en-AU"/>
        </w:rPr>
        <w:t xml:space="preserve">overnment common use goods and services, which are established when value for money can best be achieved through aggregating demand. SPCs are established and managed by </w:t>
      </w:r>
      <w:r w:rsidR="00C31465">
        <w:rPr>
          <w:szCs w:val="18"/>
          <w:lang w:eastAsia="en-AU"/>
        </w:rPr>
        <w:t>t</w:t>
      </w:r>
      <w:r w:rsidR="00C31465" w:rsidRPr="00441BE2">
        <w:rPr>
          <w:szCs w:val="18"/>
          <w:lang w:eastAsia="en-AU"/>
        </w:rPr>
        <w:t xml:space="preserve">he </w:t>
      </w:r>
      <w:r w:rsidRPr="00441BE2">
        <w:rPr>
          <w:szCs w:val="18"/>
          <w:lang w:eastAsia="en-AU"/>
        </w:rPr>
        <w:t xml:space="preserve">Department of Treasury </w:t>
      </w:r>
      <w:r w:rsidR="00EF17E4">
        <w:rPr>
          <w:szCs w:val="18"/>
          <w:lang w:eastAsia="en-AU"/>
        </w:rPr>
        <w:t>(DTF)</w:t>
      </w:r>
      <w:r w:rsidRPr="00441BE2">
        <w:rPr>
          <w:szCs w:val="18"/>
          <w:lang w:eastAsia="en-AU"/>
        </w:rPr>
        <w:t xml:space="preserve"> and Finance, the Department of Premier and Cabinet </w:t>
      </w:r>
      <w:r w:rsidR="00EF17E4">
        <w:rPr>
          <w:szCs w:val="18"/>
          <w:lang w:eastAsia="en-AU"/>
        </w:rPr>
        <w:t xml:space="preserve">(DPC) </w:t>
      </w:r>
      <w:r w:rsidRPr="00441BE2">
        <w:rPr>
          <w:szCs w:val="18"/>
          <w:lang w:eastAsia="en-AU"/>
        </w:rPr>
        <w:t>or other government entities with specific knowledge and business drivers. A sole supplier or panel of suppliers are appointed to provide goods or services over the life of the contract, for use by Victorian Government departments and agencies.</w:t>
      </w:r>
    </w:p>
    <w:p w14:paraId="43E3E314" w14:textId="47FBECC5" w:rsidR="00D9127B" w:rsidRPr="00DD69E1" w:rsidRDefault="00D9127B" w:rsidP="00DD69E1">
      <w:pPr>
        <w:pStyle w:val="bodycopy"/>
        <w:spacing w:before="120" w:after="200"/>
        <w:jc w:val="both"/>
        <w:rPr>
          <w:b/>
          <w:bCs/>
        </w:rPr>
      </w:pPr>
      <w:r w:rsidRPr="00F93C6F">
        <w:rPr>
          <w:b/>
          <w:bCs/>
        </w:rPr>
        <w:t xml:space="preserve">Supply </w:t>
      </w:r>
      <w:r w:rsidR="005B70F8">
        <w:rPr>
          <w:b/>
          <w:bCs/>
        </w:rPr>
        <w:t>P</w:t>
      </w:r>
      <w:r w:rsidRPr="00F93C6F">
        <w:rPr>
          <w:b/>
          <w:bCs/>
        </w:rPr>
        <w:t>olicy</w:t>
      </w:r>
      <w:r w:rsidRPr="00932BD9">
        <w:t xml:space="preserve"> </w:t>
      </w:r>
      <w:r>
        <w:t xml:space="preserve">- </w:t>
      </w:r>
      <w:r w:rsidR="007C3727">
        <w:t>m</w:t>
      </w:r>
      <w:r w:rsidRPr="0026717D">
        <w:t xml:space="preserve">eans a supply policy made under section 54L of the </w:t>
      </w:r>
      <w:r w:rsidRPr="0026717D">
        <w:rPr>
          <w:i/>
          <w:iCs/>
        </w:rPr>
        <w:t>Financial Management Act 1994</w:t>
      </w:r>
      <w:r w:rsidRPr="0026717D">
        <w:t>.</w:t>
      </w:r>
    </w:p>
    <w:p w14:paraId="1A29ADA8" w14:textId="26BECB35" w:rsidR="00377DB7" w:rsidRPr="00441BE2" w:rsidRDefault="00377DB7" w:rsidP="00DD69E1">
      <w:pPr>
        <w:jc w:val="both"/>
        <w:rPr>
          <w:szCs w:val="18"/>
          <w:lang w:eastAsia="en-AU"/>
        </w:rPr>
      </w:pPr>
      <w:r w:rsidRPr="00441BE2">
        <w:rPr>
          <w:b/>
          <w:bCs/>
          <w:szCs w:val="18"/>
          <w:lang w:eastAsia="en-AU"/>
        </w:rPr>
        <w:t>Trainee</w:t>
      </w:r>
      <w:r w:rsidR="00FC10FC">
        <w:rPr>
          <w:b/>
          <w:bCs/>
          <w:szCs w:val="18"/>
          <w:lang w:eastAsia="en-AU"/>
        </w:rPr>
        <w:t>s</w:t>
      </w:r>
      <w:r w:rsidRPr="00932BD9">
        <w:rPr>
          <w:szCs w:val="18"/>
          <w:lang w:eastAsia="en-AU"/>
        </w:rPr>
        <w:t xml:space="preserve"> </w:t>
      </w:r>
      <w:r w:rsidRPr="00042ADB">
        <w:rPr>
          <w:szCs w:val="18"/>
          <w:lang w:eastAsia="en-AU"/>
        </w:rPr>
        <w:t>-</w:t>
      </w:r>
      <w:r w:rsidRPr="00441BE2">
        <w:rPr>
          <w:szCs w:val="18"/>
          <w:lang w:eastAsia="en-AU"/>
        </w:rPr>
        <w:t xml:space="preserve"> </w:t>
      </w:r>
      <w:r w:rsidR="00FC10FC">
        <w:rPr>
          <w:szCs w:val="18"/>
          <w:lang w:eastAsia="en-AU"/>
        </w:rPr>
        <w:t>undertake</w:t>
      </w:r>
      <w:r w:rsidRPr="00441BE2">
        <w:rPr>
          <w:szCs w:val="18"/>
          <w:lang w:eastAsia="en-AU"/>
        </w:rPr>
        <w:t xml:space="preserve"> entry-level roles under a </w:t>
      </w:r>
      <w:r w:rsidR="00FC10FC">
        <w:rPr>
          <w:szCs w:val="18"/>
          <w:lang w:eastAsia="en-AU"/>
        </w:rPr>
        <w:t>t</w:t>
      </w:r>
      <w:r w:rsidRPr="00441BE2">
        <w:rPr>
          <w:szCs w:val="18"/>
          <w:lang w:eastAsia="en-AU"/>
        </w:rPr>
        <w:t xml:space="preserve">raining </w:t>
      </w:r>
      <w:r w:rsidR="00FC10FC">
        <w:rPr>
          <w:szCs w:val="18"/>
          <w:lang w:eastAsia="en-AU"/>
        </w:rPr>
        <w:t>c</w:t>
      </w:r>
      <w:r w:rsidRPr="00441BE2">
        <w:rPr>
          <w:szCs w:val="18"/>
          <w:lang w:eastAsia="en-AU"/>
        </w:rPr>
        <w:t xml:space="preserve">ontract </w:t>
      </w:r>
      <w:r w:rsidR="00F72E3B">
        <w:rPr>
          <w:szCs w:val="18"/>
          <w:lang w:eastAsia="en-AU"/>
        </w:rPr>
        <w:t>with</w:t>
      </w:r>
      <w:r w:rsidR="00F72E3B" w:rsidRPr="00441BE2">
        <w:rPr>
          <w:szCs w:val="18"/>
          <w:lang w:eastAsia="en-AU"/>
        </w:rPr>
        <w:t xml:space="preserve"> </w:t>
      </w:r>
      <w:r w:rsidRPr="00441BE2">
        <w:rPr>
          <w:szCs w:val="18"/>
          <w:lang w:eastAsia="en-AU"/>
        </w:rPr>
        <w:t xml:space="preserve">an employer that combines training with paid employment. Traineeships are undertaken at Certificate II level and above including Diploma and Advanced Diploma. Traineeships typically have a duration of </w:t>
      </w:r>
      <w:r w:rsidR="00D805AF">
        <w:rPr>
          <w:szCs w:val="18"/>
          <w:lang w:eastAsia="en-AU"/>
        </w:rPr>
        <w:t>1</w:t>
      </w:r>
      <w:r w:rsidRPr="00441BE2">
        <w:rPr>
          <w:szCs w:val="18"/>
          <w:lang w:eastAsia="en-AU"/>
        </w:rPr>
        <w:t xml:space="preserve"> to </w:t>
      </w:r>
      <w:r w:rsidR="00D805AF">
        <w:rPr>
          <w:szCs w:val="18"/>
          <w:lang w:eastAsia="en-AU"/>
        </w:rPr>
        <w:t>2</w:t>
      </w:r>
      <w:r w:rsidRPr="00441BE2">
        <w:rPr>
          <w:szCs w:val="18"/>
          <w:lang w:eastAsia="en-AU"/>
        </w:rPr>
        <w:t xml:space="preserve"> years and are competency based. Traineeships can be in areas including civil construction, design, business services, information technology, human resources and community services. For a trainee to be counted towards the MPSG requirement for a project they must be:</w:t>
      </w:r>
    </w:p>
    <w:p w14:paraId="4BF7C8DE" w14:textId="5B4CA350" w:rsidR="00377DB7" w:rsidRPr="00441BE2" w:rsidRDefault="00377DB7" w:rsidP="00DD69E1">
      <w:pPr>
        <w:pStyle w:val="ListParagraph"/>
        <w:numPr>
          <w:ilvl w:val="0"/>
          <w:numId w:val="79"/>
        </w:numPr>
        <w:ind w:left="357" w:hanging="357"/>
        <w:jc w:val="both"/>
        <w:rPr>
          <w:rFonts w:ascii="VIC" w:hAnsi="VIC"/>
          <w:sz w:val="18"/>
          <w:szCs w:val="18"/>
        </w:rPr>
      </w:pPr>
      <w:r w:rsidRPr="00441BE2">
        <w:rPr>
          <w:rFonts w:ascii="VIC" w:hAnsi="VIC"/>
          <w:sz w:val="18"/>
          <w:szCs w:val="18"/>
        </w:rPr>
        <w:t xml:space="preserve">undertaking a course that relates directly to their role on a </w:t>
      </w:r>
      <w:r w:rsidR="009A34CD">
        <w:rPr>
          <w:rFonts w:ascii="VIC" w:hAnsi="VIC"/>
          <w:sz w:val="18"/>
          <w:szCs w:val="18"/>
        </w:rPr>
        <w:t>LJF</w:t>
      </w:r>
      <w:r w:rsidRPr="00441BE2">
        <w:rPr>
          <w:rFonts w:ascii="VIC" w:hAnsi="VIC"/>
          <w:sz w:val="18"/>
          <w:szCs w:val="18"/>
        </w:rPr>
        <w:t xml:space="preserve"> </w:t>
      </w:r>
      <w:r w:rsidR="001302CC">
        <w:rPr>
          <w:rFonts w:ascii="VIC" w:hAnsi="VIC"/>
          <w:sz w:val="18"/>
          <w:szCs w:val="18"/>
        </w:rPr>
        <w:t>p</w:t>
      </w:r>
      <w:r w:rsidRPr="00441BE2">
        <w:rPr>
          <w:rFonts w:ascii="VIC" w:hAnsi="VIC"/>
          <w:sz w:val="18"/>
          <w:szCs w:val="18"/>
        </w:rPr>
        <w:t xml:space="preserve">roject and is consistent with the </w:t>
      </w:r>
      <w:r w:rsidR="008309D4">
        <w:rPr>
          <w:rFonts w:ascii="VIC" w:hAnsi="VIC"/>
          <w:sz w:val="18"/>
          <w:szCs w:val="18"/>
        </w:rPr>
        <w:t>t</w:t>
      </w:r>
      <w:r w:rsidRPr="00441BE2">
        <w:rPr>
          <w:rFonts w:ascii="VIC" w:hAnsi="VIC"/>
          <w:sz w:val="18"/>
          <w:szCs w:val="18"/>
        </w:rPr>
        <w:t xml:space="preserve">raining </w:t>
      </w:r>
      <w:r w:rsidR="008309D4">
        <w:rPr>
          <w:rFonts w:ascii="VIC" w:hAnsi="VIC"/>
          <w:sz w:val="18"/>
          <w:szCs w:val="18"/>
        </w:rPr>
        <w:t>c</w:t>
      </w:r>
      <w:r w:rsidRPr="00441BE2">
        <w:rPr>
          <w:rFonts w:ascii="VIC" w:hAnsi="VIC"/>
          <w:sz w:val="18"/>
          <w:szCs w:val="18"/>
        </w:rPr>
        <w:t>ontract</w:t>
      </w:r>
      <w:r w:rsidR="00534015">
        <w:rPr>
          <w:rFonts w:ascii="VIC" w:hAnsi="VIC"/>
          <w:sz w:val="18"/>
          <w:szCs w:val="18"/>
        </w:rPr>
        <w:t>,</w:t>
      </w:r>
      <w:r w:rsidRPr="00441BE2">
        <w:rPr>
          <w:rFonts w:ascii="VIC" w:hAnsi="VIC"/>
          <w:sz w:val="18"/>
          <w:szCs w:val="18"/>
        </w:rPr>
        <w:t xml:space="preserve"> and</w:t>
      </w:r>
    </w:p>
    <w:p w14:paraId="7BE1C762" w14:textId="6FDF857F" w:rsidR="00377DB7" w:rsidRPr="00441BE2" w:rsidRDefault="00377DB7" w:rsidP="00DD69E1">
      <w:pPr>
        <w:pStyle w:val="ListParagraph"/>
        <w:numPr>
          <w:ilvl w:val="0"/>
          <w:numId w:val="79"/>
        </w:numPr>
        <w:ind w:left="357" w:hanging="357"/>
        <w:jc w:val="both"/>
        <w:rPr>
          <w:rFonts w:ascii="VIC" w:hAnsi="VIC"/>
          <w:sz w:val="18"/>
          <w:szCs w:val="18"/>
        </w:rPr>
      </w:pPr>
      <w:r w:rsidRPr="00441BE2">
        <w:rPr>
          <w:rFonts w:ascii="VIC" w:hAnsi="VIC"/>
          <w:sz w:val="18"/>
          <w:szCs w:val="18"/>
        </w:rPr>
        <w:t>registered with the Victorian Registration and Qualification Authority.</w:t>
      </w:r>
    </w:p>
    <w:p w14:paraId="70A05F71" w14:textId="0FB2C827" w:rsidR="00377DB7" w:rsidRPr="000A1ABE" w:rsidRDefault="00377DB7" w:rsidP="00DD69E1">
      <w:pPr>
        <w:pStyle w:val="bodycopy"/>
        <w:spacing w:before="120" w:after="200"/>
        <w:jc w:val="both"/>
      </w:pPr>
      <w:r w:rsidRPr="00441BE2">
        <w:rPr>
          <w:rFonts w:cs="Times New Roman"/>
          <w:szCs w:val="18"/>
        </w:rPr>
        <w:t>Traineeships are different from professional traineeships (an employee who is not in an entry level role and is undertaking professional development training), which cannot count towards MPSG.</w:t>
      </w:r>
    </w:p>
    <w:p w14:paraId="2BF18AD8" w14:textId="2622115A" w:rsidR="007B6168" w:rsidRPr="000A1ABE" w:rsidRDefault="00E41887" w:rsidP="00DD69E1">
      <w:pPr>
        <w:pStyle w:val="bodycopy"/>
        <w:spacing w:before="120" w:after="200"/>
        <w:jc w:val="both"/>
      </w:pPr>
      <w:r w:rsidRPr="00DD204B">
        <w:rPr>
          <w:b/>
          <w:bCs/>
        </w:rPr>
        <w:t>Training Contract</w:t>
      </w:r>
      <w:r w:rsidRPr="00932BD9">
        <w:t xml:space="preserve"> </w:t>
      </w:r>
      <w:r w:rsidR="00435671">
        <w:t>–</w:t>
      </w:r>
      <w:r w:rsidRPr="00802638">
        <w:t xml:space="preserve"> </w:t>
      </w:r>
      <w:r w:rsidR="002102BB">
        <w:t>is a</w:t>
      </w:r>
      <w:r w:rsidRPr="00802638">
        <w:t xml:space="preserve"> formal agreement between an employer and an apprentice or trainee. Further details can be </w:t>
      </w:r>
      <w:r w:rsidR="007B6168">
        <w:t xml:space="preserve">found at </w:t>
      </w:r>
      <w:hyperlink r:id="rId46" w:history="1">
        <w:r w:rsidR="007B6168">
          <w:rPr>
            <w:rStyle w:val="Hyperlink"/>
          </w:rPr>
          <w:t>www2.vrqa.vic.gov.au/training-contracts</w:t>
        </w:r>
      </w:hyperlink>
      <w:r w:rsidR="007B6168">
        <w:t>.</w:t>
      </w:r>
      <w:r w:rsidR="002102BB">
        <w:t xml:space="preserve"> The term has the same meaning as in the </w:t>
      </w:r>
      <w:r w:rsidR="002102BB" w:rsidRPr="00CD7A01">
        <w:rPr>
          <w:i/>
          <w:iCs/>
        </w:rPr>
        <w:t>Education and Training Reform Act 2006</w:t>
      </w:r>
      <w:r w:rsidR="002102BB">
        <w:t>, which defines a training contract as an apprenticeship training contract or a traineeship contract.</w:t>
      </w:r>
    </w:p>
    <w:p w14:paraId="76297A95" w14:textId="4A9FF799" w:rsidR="00454287" w:rsidRDefault="00454287" w:rsidP="00DD69E1">
      <w:pPr>
        <w:pStyle w:val="bodycopy"/>
        <w:spacing w:before="120" w:after="200"/>
        <w:jc w:val="both"/>
      </w:pPr>
      <w:r w:rsidRPr="000A1ABE">
        <w:rPr>
          <w:b/>
          <w:bCs/>
        </w:rPr>
        <w:t xml:space="preserve">Value for </w:t>
      </w:r>
      <w:r w:rsidR="00774A1C">
        <w:rPr>
          <w:b/>
          <w:bCs/>
        </w:rPr>
        <w:t>M</w:t>
      </w:r>
      <w:r w:rsidRPr="000A1ABE">
        <w:rPr>
          <w:b/>
          <w:bCs/>
        </w:rPr>
        <w:t>oney</w:t>
      </w:r>
      <w:r w:rsidRPr="00932BD9">
        <w:t xml:space="preserve"> </w:t>
      </w:r>
      <w:r w:rsidR="007B6168">
        <w:t>-</w:t>
      </w:r>
      <w:r w:rsidRPr="00932BD9">
        <w:t xml:space="preserve"> </w:t>
      </w:r>
      <w:r w:rsidRPr="000A1ABE">
        <w:t>is a balanced judgement of a range of financial and non-financial factors. It considers the mix of quality, cost and resources; fitness for purpose; total cost of ownership and risk.</w:t>
      </w:r>
      <w:r w:rsidR="00267811">
        <w:t xml:space="preserve"> </w:t>
      </w:r>
      <w:r w:rsidR="00901FC4">
        <w:t>Consistent with the definition in the Act</w:t>
      </w:r>
      <w:r w:rsidR="00267811">
        <w:t>, value for money has the same meaning as</w:t>
      </w:r>
      <w:r w:rsidR="00267811" w:rsidRPr="00941F55">
        <w:t xml:space="preserve"> the relevant supply policy, standard or direction under the </w:t>
      </w:r>
      <w:r w:rsidR="00267811" w:rsidRPr="00941F55">
        <w:rPr>
          <w:i/>
          <w:iCs/>
        </w:rPr>
        <w:t>Financial Management Act 1994</w:t>
      </w:r>
      <w:r w:rsidR="00267811" w:rsidRPr="00941F55">
        <w:t xml:space="preserve"> or the </w:t>
      </w:r>
      <w:r w:rsidR="00267811" w:rsidRPr="00941F55">
        <w:rPr>
          <w:i/>
          <w:iCs/>
        </w:rPr>
        <w:t>Project Development and Construction Management Act 1994</w:t>
      </w:r>
      <w:r w:rsidR="00267811" w:rsidRPr="00941F55">
        <w:t xml:space="preserve"> (as the case may be)</w:t>
      </w:r>
      <w:r w:rsidR="00267811" w:rsidRPr="005A4DB0">
        <w:t xml:space="preserve">. </w:t>
      </w:r>
      <w:r w:rsidR="00267811">
        <w:t xml:space="preserve">For more information about value for money when procuring goods and services see: </w:t>
      </w:r>
      <w:hyperlink r:id="rId47" w:history="1">
        <w:r w:rsidR="00267811" w:rsidRPr="000708AA">
          <w:rPr>
            <w:rStyle w:val="Hyperlink"/>
          </w:rPr>
          <w:t>https://www.buyingfor.vic.gov.au/value-money-goods-and-services-guide</w:t>
        </w:r>
      </w:hyperlink>
      <w:r w:rsidR="00267811">
        <w:t>.</w:t>
      </w:r>
    </w:p>
    <w:p w14:paraId="00AFF8E5" w14:textId="1DD50938" w:rsidR="003330BA" w:rsidRPr="00042ADB" w:rsidRDefault="003330BA" w:rsidP="00DD69E1">
      <w:pPr>
        <w:jc w:val="both"/>
        <w:rPr>
          <w:szCs w:val="18"/>
          <w:lang w:eastAsia="en-AU"/>
        </w:rPr>
      </w:pPr>
      <w:r w:rsidRPr="00441BE2">
        <w:rPr>
          <w:b/>
          <w:bCs/>
          <w:szCs w:val="18"/>
          <w:lang w:eastAsia="en-AU"/>
        </w:rPr>
        <w:t>Victorian Management Centre (VMC)</w:t>
      </w:r>
      <w:r w:rsidRPr="004E2144">
        <w:rPr>
          <w:szCs w:val="18"/>
          <w:lang w:eastAsia="en-AU"/>
        </w:rPr>
        <w:t xml:space="preserve"> </w:t>
      </w:r>
      <w:r w:rsidR="002607EE">
        <w:rPr>
          <w:szCs w:val="18"/>
          <w:lang w:eastAsia="en-AU"/>
        </w:rPr>
        <w:t>–</w:t>
      </w:r>
      <w:r w:rsidRPr="00441BE2">
        <w:rPr>
          <w:szCs w:val="18"/>
          <w:lang w:eastAsia="en-AU"/>
        </w:rPr>
        <w:t xml:space="preserve"> </w:t>
      </w:r>
      <w:r w:rsidR="002607EE">
        <w:rPr>
          <w:szCs w:val="18"/>
          <w:lang w:eastAsia="en-AU"/>
        </w:rPr>
        <w:t>is an o</w:t>
      </w:r>
      <w:r w:rsidRPr="00441BE2">
        <w:rPr>
          <w:szCs w:val="18"/>
          <w:lang w:eastAsia="en-AU"/>
        </w:rPr>
        <w:t xml:space="preserve">nline system hosted by </w:t>
      </w:r>
      <w:r w:rsidR="00760329">
        <w:rPr>
          <w:szCs w:val="18"/>
          <w:lang w:eastAsia="en-AU"/>
        </w:rPr>
        <w:t xml:space="preserve">the </w:t>
      </w:r>
      <w:r w:rsidRPr="00441BE2">
        <w:rPr>
          <w:szCs w:val="18"/>
          <w:lang w:eastAsia="en-AU"/>
        </w:rPr>
        <w:t xml:space="preserve">ICN and used by agencies and suppliers for LJF project registration, reporting and completion. </w:t>
      </w:r>
    </w:p>
    <w:p w14:paraId="30509313" w14:textId="10CF6271" w:rsidR="00454287" w:rsidRPr="000A1ABE" w:rsidRDefault="00454287" w:rsidP="00DD69E1">
      <w:pPr>
        <w:pStyle w:val="bodycopy"/>
        <w:spacing w:before="120" w:after="200"/>
        <w:jc w:val="both"/>
      </w:pPr>
      <w:r w:rsidRPr="000A1ABE">
        <w:rPr>
          <w:b/>
          <w:bCs/>
        </w:rPr>
        <w:t>Work Package</w:t>
      </w:r>
      <w:r w:rsidRPr="00042ADB">
        <w:t xml:space="preserve"> </w:t>
      </w:r>
      <w:r w:rsidR="007B6168">
        <w:t>-</w:t>
      </w:r>
      <w:r w:rsidRPr="00932BD9">
        <w:t xml:space="preserve"> </w:t>
      </w:r>
      <w:r w:rsidRPr="000A1ABE">
        <w:t>is used to define and group different parts of a project in a way that helps organise and define the overall project.</w:t>
      </w:r>
    </w:p>
    <w:p w14:paraId="65F1E9C4" w14:textId="77777777" w:rsidR="003A4BBC" w:rsidRPr="00042ADB" w:rsidRDefault="003A4BBC" w:rsidP="00803862">
      <w:pPr>
        <w:pStyle w:val="Heading2"/>
        <w:numPr>
          <w:ilvl w:val="0"/>
          <w:numId w:val="0"/>
        </w:numPr>
        <w:rPr>
          <w:sz w:val="24"/>
          <w:szCs w:val="24"/>
        </w:rPr>
        <w:sectPr w:rsidR="003A4BBC" w:rsidRPr="00042ADB" w:rsidSect="003A4BBC">
          <w:headerReference w:type="default" r:id="rId48"/>
          <w:footerReference w:type="default" r:id="rId49"/>
          <w:pgSz w:w="11906" w:h="16838"/>
          <w:pgMar w:top="1440" w:right="1440" w:bottom="1440" w:left="1440" w:header="709" w:footer="136" w:gutter="0"/>
          <w:cols w:space="708"/>
          <w:titlePg/>
          <w:docGrid w:linePitch="360"/>
        </w:sectPr>
      </w:pPr>
    </w:p>
    <w:p w14:paraId="032BF44A" w14:textId="0B1961E4" w:rsidR="006C6B66" w:rsidRPr="00042ADB" w:rsidRDefault="006000AC" w:rsidP="00803862">
      <w:pPr>
        <w:pStyle w:val="Heading2"/>
        <w:numPr>
          <w:ilvl w:val="0"/>
          <w:numId w:val="0"/>
        </w:numPr>
        <w:rPr>
          <w:sz w:val="24"/>
          <w:szCs w:val="24"/>
        </w:rPr>
      </w:pPr>
      <w:bookmarkStart w:id="4321" w:name="_Appendix_3:_Monitoring"/>
      <w:bookmarkStart w:id="4322" w:name="_Appendix_2:_Example"/>
      <w:bookmarkStart w:id="4323" w:name="_Toc110586907"/>
      <w:bookmarkStart w:id="4324" w:name="_Toc207868015"/>
      <w:bookmarkEnd w:id="1581"/>
      <w:bookmarkEnd w:id="4321"/>
      <w:bookmarkEnd w:id="4322"/>
      <w:r w:rsidRPr="00042ADB">
        <w:rPr>
          <w:sz w:val="24"/>
          <w:szCs w:val="24"/>
        </w:rPr>
        <w:t>A</w:t>
      </w:r>
      <w:r w:rsidR="007C793F" w:rsidRPr="00042ADB">
        <w:rPr>
          <w:sz w:val="24"/>
          <w:szCs w:val="24"/>
        </w:rPr>
        <w:t xml:space="preserve">ppendix </w:t>
      </w:r>
      <w:r w:rsidR="00576A67" w:rsidRPr="00042ADB">
        <w:rPr>
          <w:sz w:val="24"/>
          <w:szCs w:val="24"/>
        </w:rPr>
        <w:t>2</w:t>
      </w:r>
      <w:r w:rsidR="007C793F" w:rsidRPr="00042ADB">
        <w:rPr>
          <w:sz w:val="24"/>
          <w:szCs w:val="24"/>
        </w:rPr>
        <w:t xml:space="preserve">: </w:t>
      </w:r>
      <w:r w:rsidR="00AB590C" w:rsidRPr="00042ADB">
        <w:rPr>
          <w:sz w:val="24"/>
          <w:szCs w:val="24"/>
        </w:rPr>
        <w:t xml:space="preserve">Example </w:t>
      </w:r>
      <w:r w:rsidR="007C793F" w:rsidRPr="00042ADB">
        <w:rPr>
          <w:sz w:val="24"/>
          <w:szCs w:val="24"/>
        </w:rPr>
        <w:t xml:space="preserve">Monitoring and </w:t>
      </w:r>
      <w:r w:rsidR="00FE12CC" w:rsidRPr="00042ADB">
        <w:rPr>
          <w:sz w:val="24"/>
          <w:szCs w:val="24"/>
        </w:rPr>
        <w:t>R</w:t>
      </w:r>
      <w:r w:rsidR="007C793F" w:rsidRPr="00042ADB">
        <w:rPr>
          <w:sz w:val="24"/>
          <w:szCs w:val="24"/>
        </w:rPr>
        <w:t>eporting Table</w:t>
      </w:r>
      <w:bookmarkEnd w:id="4323"/>
      <w:bookmarkEnd w:id="4324"/>
    </w:p>
    <w:p w14:paraId="289CAEA2" w14:textId="3E79CA3E" w:rsidR="00532910" w:rsidRDefault="00532910" w:rsidP="00532910">
      <w:pPr>
        <w:pStyle w:val="bodycopy"/>
      </w:pPr>
      <w:r w:rsidRPr="00604C42">
        <w:t>Note: Example only. This</w:t>
      </w:r>
      <w:r>
        <w:t xml:space="preserve"> information will be provided through </w:t>
      </w:r>
      <w:r w:rsidR="009B5D4D">
        <w:t xml:space="preserve">the </w:t>
      </w:r>
      <w:r>
        <w:t>VMC and</w:t>
      </w:r>
      <w:r w:rsidRPr="00604C42">
        <w:t xml:space="preserve"> will reflect a project-by-project basis.</w:t>
      </w:r>
    </w:p>
    <w:p w14:paraId="7DDECA9E" w14:textId="77777777" w:rsidR="0061369C" w:rsidRPr="00604C42" w:rsidRDefault="0061369C" w:rsidP="0061369C">
      <w:pPr>
        <w:pStyle w:val="bodycopy"/>
      </w:pPr>
    </w:p>
    <w:tbl>
      <w:tblPr>
        <w:tblStyle w:val="TableGrid1"/>
        <w:tblW w:w="15452" w:type="dxa"/>
        <w:tblInd w:w="-289" w:type="dxa"/>
        <w:tblLayout w:type="fixed"/>
        <w:tblLook w:val="04A0" w:firstRow="1" w:lastRow="0" w:firstColumn="1" w:lastColumn="0" w:noHBand="0" w:noVBand="1"/>
      </w:tblPr>
      <w:tblGrid>
        <w:gridCol w:w="1052"/>
        <w:gridCol w:w="1045"/>
        <w:gridCol w:w="1253"/>
        <w:gridCol w:w="896"/>
        <w:gridCol w:w="757"/>
        <w:gridCol w:w="837"/>
        <w:gridCol w:w="928"/>
        <w:gridCol w:w="844"/>
        <w:gridCol w:w="1007"/>
        <w:gridCol w:w="1236"/>
        <w:gridCol w:w="852"/>
        <w:gridCol w:w="776"/>
        <w:gridCol w:w="850"/>
        <w:gridCol w:w="992"/>
        <w:gridCol w:w="993"/>
        <w:gridCol w:w="1134"/>
      </w:tblGrid>
      <w:tr w:rsidR="0061369C" w:rsidRPr="00604C42" w14:paraId="1C49078D" w14:textId="77777777" w:rsidTr="009062C3">
        <w:trPr>
          <w:trHeight w:val="222"/>
        </w:trPr>
        <w:tc>
          <w:tcPr>
            <w:tcW w:w="1052" w:type="dxa"/>
            <w:noWrap/>
            <w:hideMark/>
          </w:tcPr>
          <w:p w14:paraId="670FFAEB" w14:textId="77777777" w:rsidR="0061369C" w:rsidRPr="00441BE2" w:rsidRDefault="0061369C">
            <w:pPr>
              <w:rPr>
                <w:rFonts w:eastAsiaTheme="minorHAnsi"/>
                <w:sz w:val="14"/>
                <w:szCs w:val="14"/>
              </w:rPr>
            </w:pPr>
          </w:p>
        </w:tc>
        <w:tc>
          <w:tcPr>
            <w:tcW w:w="1045" w:type="dxa"/>
            <w:noWrap/>
            <w:hideMark/>
          </w:tcPr>
          <w:p w14:paraId="6B19FC62" w14:textId="77777777" w:rsidR="0061369C" w:rsidRPr="00441BE2" w:rsidRDefault="0061369C">
            <w:pPr>
              <w:rPr>
                <w:rFonts w:eastAsiaTheme="minorHAnsi"/>
                <w:sz w:val="14"/>
                <w:szCs w:val="14"/>
              </w:rPr>
            </w:pPr>
          </w:p>
        </w:tc>
        <w:tc>
          <w:tcPr>
            <w:tcW w:w="1253" w:type="dxa"/>
            <w:noWrap/>
            <w:hideMark/>
          </w:tcPr>
          <w:p w14:paraId="5EF434D6" w14:textId="77777777" w:rsidR="0061369C" w:rsidRPr="00441BE2" w:rsidRDefault="0061369C">
            <w:pPr>
              <w:rPr>
                <w:rFonts w:eastAsiaTheme="minorHAnsi"/>
                <w:sz w:val="14"/>
                <w:szCs w:val="14"/>
              </w:rPr>
            </w:pPr>
          </w:p>
        </w:tc>
        <w:tc>
          <w:tcPr>
            <w:tcW w:w="5269" w:type="dxa"/>
            <w:gridSpan w:val="6"/>
            <w:hideMark/>
          </w:tcPr>
          <w:p w14:paraId="599BCBAF" w14:textId="77777777" w:rsidR="0061369C" w:rsidRPr="00441BE2" w:rsidRDefault="0061369C">
            <w:pPr>
              <w:rPr>
                <w:rFonts w:eastAsiaTheme="minorHAnsi"/>
                <w:sz w:val="14"/>
                <w:szCs w:val="14"/>
              </w:rPr>
            </w:pPr>
            <w:r w:rsidRPr="00441BE2">
              <w:rPr>
                <w:rFonts w:eastAsiaTheme="minorHAnsi"/>
                <w:sz w:val="14"/>
                <w:szCs w:val="14"/>
              </w:rPr>
              <w:t>LIDP Commitments</w:t>
            </w:r>
          </w:p>
        </w:tc>
        <w:tc>
          <w:tcPr>
            <w:tcW w:w="6833" w:type="dxa"/>
            <w:gridSpan w:val="7"/>
          </w:tcPr>
          <w:p w14:paraId="48E1DF87" w14:textId="77777777" w:rsidR="0061369C" w:rsidRPr="00441BE2" w:rsidRDefault="0061369C">
            <w:pPr>
              <w:rPr>
                <w:rFonts w:eastAsiaTheme="minorHAnsi"/>
                <w:sz w:val="14"/>
                <w:szCs w:val="14"/>
              </w:rPr>
            </w:pPr>
            <w:r w:rsidRPr="00441BE2">
              <w:rPr>
                <w:rFonts w:eastAsiaTheme="minorHAnsi"/>
                <w:sz w:val="14"/>
                <w:szCs w:val="14"/>
              </w:rPr>
              <w:t>Secured Local Jobs First Outcomes</w:t>
            </w:r>
          </w:p>
        </w:tc>
      </w:tr>
      <w:tr w:rsidR="0061369C" w:rsidRPr="00604C42" w14:paraId="32937F53" w14:textId="77777777" w:rsidTr="009062C3">
        <w:trPr>
          <w:trHeight w:val="397"/>
        </w:trPr>
        <w:tc>
          <w:tcPr>
            <w:tcW w:w="1052" w:type="dxa"/>
            <w:vMerge w:val="restart"/>
            <w:hideMark/>
          </w:tcPr>
          <w:p w14:paraId="38B366F8" w14:textId="77777777" w:rsidR="0061369C" w:rsidRPr="00441BE2" w:rsidRDefault="0061369C">
            <w:pPr>
              <w:rPr>
                <w:rFonts w:eastAsiaTheme="minorHAnsi"/>
                <w:sz w:val="14"/>
                <w:szCs w:val="14"/>
              </w:rPr>
            </w:pPr>
            <w:r w:rsidRPr="00441BE2">
              <w:rPr>
                <w:rFonts w:eastAsiaTheme="minorHAnsi"/>
                <w:sz w:val="14"/>
                <w:szCs w:val="14"/>
              </w:rPr>
              <w:t>Work package</w:t>
            </w:r>
          </w:p>
        </w:tc>
        <w:tc>
          <w:tcPr>
            <w:tcW w:w="1045" w:type="dxa"/>
            <w:vMerge w:val="restart"/>
            <w:hideMark/>
          </w:tcPr>
          <w:p w14:paraId="5581FB27" w14:textId="77777777" w:rsidR="0061369C" w:rsidRPr="00441BE2" w:rsidRDefault="0061369C">
            <w:pPr>
              <w:rPr>
                <w:rFonts w:eastAsiaTheme="minorHAnsi"/>
                <w:sz w:val="14"/>
                <w:szCs w:val="14"/>
              </w:rPr>
            </w:pPr>
            <w:r w:rsidRPr="00441BE2">
              <w:rPr>
                <w:rFonts w:eastAsiaTheme="minorHAnsi"/>
                <w:sz w:val="14"/>
                <w:szCs w:val="14"/>
              </w:rPr>
              <w:t>Item Description</w:t>
            </w:r>
          </w:p>
        </w:tc>
        <w:tc>
          <w:tcPr>
            <w:tcW w:w="1253" w:type="dxa"/>
            <w:vMerge w:val="restart"/>
            <w:hideMark/>
          </w:tcPr>
          <w:p w14:paraId="768CF6CF" w14:textId="77777777" w:rsidR="0061369C" w:rsidRPr="00441BE2" w:rsidRDefault="0061369C">
            <w:pPr>
              <w:rPr>
                <w:rFonts w:eastAsiaTheme="minorHAnsi"/>
                <w:sz w:val="14"/>
                <w:szCs w:val="14"/>
              </w:rPr>
            </w:pPr>
            <w:r w:rsidRPr="00441BE2">
              <w:rPr>
                <w:rFonts w:eastAsiaTheme="minorHAnsi"/>
                <w:sz w:val="14"/>
                <w:szCs w:val="14"/>
              </w:rPr>
              <w:t>Manufacturer</w:t>
            </w:r>
          </w:p>
        </w:tc>
        <w:tc>
          <w:tcPr>
            <w:tcW w:w="896" w:type="dxa"/>
            <w:vMerge w:val="restart"/>
            <w:hideMark/>
          </w:tcPr>
          <w:p w14:paraId="18E555C4" w14:textId="77777777" w:rsidR="0061369C" w:rsidRPr="00441BE2" w:rsidRDefault="0061369C">
            <w:pPr>
              <w:rPr>
                <w:rFonts w:eastAsiaTheme="minorHAnsi"/>
                <w:sz w:val="14"/>
                <w:szCs w:val="14"/>
              </w:rPr>
            </w:pPr>
            <w:r w:rsidRPr="00441BE2">
              <w:rPr>
                <w:rFonts w:eastAsiaTheme="minorHAnsi"/>
                <w:sz w:val="14"/>
                <w:szCs w:val="14"/>
              </w:rPr>
              <w:t>Supplier</w:t>
            </w:r>
          </w:p>
        </w:tc>
        <w:tc>
          <w:tcPr>
            <w:tcW w:w="1594" w:type="dxa"/>
            <w:gridSpan w:val="2"/>
            <w:hideMark/>
          </w:tcPr>
          <w:p w14:paraId="31180FB4" w14:textId="77777777" w:rsidR="0061369C" w:rsidRPr="00441BE2" w:rsidRDefault="0061369C">
            <w:pPr>
              <w:rPr>
                <w:rFonts w:eastAsiaTheme="minorHAnsi"/>
                <w:sz w:val="14"/>
                <w:szCs w:val="14"/>
              </w:rPr>
            </w:pPr>
            <w:r w:rsidRPr="00441BE2">
              <w:rPr>
                <w:rFonts w:eastAsiaTheme="minorHAnsi"/>
                <w:sz w:val="14"/>
                <w:szCs w:val="14"/>
              </w:rPr>
              <w:t>ANZ value-add activity (%)</w:t>
            </w:r>
          </w:p>
        </w:tc>
        <w:tc>
          <w:tcPr>
            <w:tcW w:w="928" w:type="dxa"/>
            <w:hideMark/>
          </w:tcPr>
          <w:p w14:paraId="031F3B85" w14:textId="77777777" w:rsidR="0061369C" w:rsidRPr="00441BE2" w:rsidRDefault="0061369C">
            <w:pPr>
              <w:rPr>
                <w:rFonts w:eastAsiaTheme="minorHAnsi"/>
                <w:sz w:val="14"/>
                <w:szCs w:val="14"/>
              </w:rPr>
            </w:pPr>
            <w:r w:rsidRPr="00441BE2">
              <w:rPr>
                <w:rFonts w:eastAsiaTheme="minorHAnsi"/>
                <w:sz w:val="14"/>
                <w:szCs w:val="14"/>
              </w:rPr>
              <w:t xml:space="preserve">Contract content (%) </w:t>
            </w:r>
            <w:r w:rsidRPr="00441BE2">
              <w:rPr>
                <w:rFonts w:eastAsiaTheme="minorHAnsi"/>
                <w:sz w:val="14"/>
                <w:szCs w:val="14"/>
                <w:vertAlign w:val="superscript"/>
              </w:rPr>
              <w:t>(B)</w:t>
            </w:r>
          </w:p>
        </w:tc>
        <w:tc>
          <w:tcPr>
            <w:tcW w:w="844" w:type="dxa"/>
            <w:hideMark/>
          </w:tcPr>
          <w:p w14:paraId="603B0999" w14:textId="77777777" w:rsidR="0061369C" w:rsidRPr="00441BE2" w:rsidRDefault="0061369C">
            <w:pPr>
              <w:rPr>
                <w:rFonts w:eastAsiaTheme="minorHAnsi"/>
                <w:sz w:val="14"/>
                <w:szCs w:val="14"/>
              </w:rPr>
            </w:pPr>
            <w:r w:rsidRPr="00441BE2">
              <w:rPr>
                <w:rFonts w:eastAsiaTheme="minorHAnsi"/>
                <w:sz w:val="14"/>
                <w:szCs w:val="14"/>
              </w:rPr>
              <w:t xml:space="preserve">ANZ value-added activity (%) </w:t>
            </w:r>
            <w:r w:rsidRPr="00441BE2">
              <w:rPr>
                <w:rFonts w:eastAsiaTheme="minorHAnsi"/>
                <w:sz w:val="14"/>
                <w:szCs w:val="14"/>
                <w:vertAlign w:val="superscript"/>
              </w:rPr>
              <w:t>(C = A*B)</w:t>
            </w:r>
          </w:p>
        </w:tc>
        <w:tc>
          <w:tcPr>
            <w:tcW w:w="1007" w:type="dxa"/>
            <w:hideMark/>
          </w:tcPr>
          <w:p w14:paraId="53EC19D6" w14:textId="110022B8" w:rsidR="0061369C" w:rsidRPr="00441BE2" w:rsidRDefault="0061369C">
            <w:pPr>
              <w:rPr>
                <w:rFonts w:eastAsiaTheme="minorHAnsi"/>
                <w:sz w:val="14"/>
                <w:szCs w:val="14"/>
              </w:rPr>
            </w:pPr>
            <w:r w:rsidRPr="00441BE2">
              <w:rPr>
                <w:rFonts w:eastAsiaTheme="minorHAnsi"/>
                <w:sz w:val="14"/>
                <w:szCs w:val="14"/>
              </w:rPr>
              <w:t xml:space="preserve">Total number of </w:t>
            </w:r>
            <w:r w:rsidR="00DE39B8">
              <w:rPr>
                <w:rFonts w:eastAsiaTheme="minorHAnsi"/>
                <w:sz w:val="14"/>
                <w:szCs w:val="14"/>
              </w:rPr>
              <w:t>s</w:t>
            </w:r>
            <w:r w:rsidRPr="00441BE2">
              <w:rPr>
                <w:rFonts w:eastAsiaTheme="minorHAnsi"/>
                <w:sz w:val="14"/>
                <w:szCs w:val="14"/>
              </w:rPr>
              <w:t xml:space="preserve">uppliers in </w:t>
            </w:r>
            <w:proofErr w:type="gramStart"/>
            <w:r w:rsidRPr="00441BE2">
              <w:rPr>
                <w:rFonts w:eastAsiaTheme="minorHAnsi"/>
                <w:sz w:val="14"/>
                <w:szCs w:val="14"/>
              </w:rPr>
              <w:t>project  supply</w:t>
            </w:r>
            <w:proofErr w:type="gramEnd"/>
            <w:r w:rsidRPr="00441BE2">
              <w:rPr>
                <w:rFonts w:eastAsiaTheme="minorHAnsi"/>
                <w:sz w:val="14"/>
                <w:szCs w:val="14"/>
              </w:rPr>
              <w:t xml:space="preserve"> chain </w:t>
            </w:r>
            <w:r w:rsidRPr="00441BE2">
              <w:rPr>
                <w:rFonts w:eastAsiaTheme="minorHAnsi"/>
                <w:sz w:val="14"/>
                <w:szCs w:val="14"/>
                <w:vertAlign w:val="superscript"/>
              </w:rPr>
              <w:t>(</w:t>
            </w:r>
          </w:p>
        </w:tc>
        <w:tc>
          <w:tcPr>
            <w:tcW w:w="1236" w:type="dxa"/>
          </w:tcPr>
          <w:p w14:paraId="23A7FCC3" w14:textId="77777777" w:rsidR="0061369C" w:rsidRPr="00441BE2" w:rsidRDefault="0061369C">
            <w:pPr>
              <w:rPr>
                <w:rFonts w:eastAsiaTheme="minorHAnsi"/>
                <w:sz w:val="14"/>
                <w:szCs w:val="14"/>
              </w:rPr>
            </w:pPr>
            <w:r w:rsidRPr="00441BE2">
              <w:rPr>
                <w:rFonts w:eastAsiaTheme="minorHAnsi"/>
                <w:sz w:val="14"/>
                <w:szCs w:val="14"/>
              </w:rPr>
              <w:t>Manufacturer</w:t>
            </w:r>
          </w:p>
        </w:tc>
        <w:tc>
          <w:tcPr>
            <w:tcW w:w="852" w:type="dxa"/>
          </w:tcPr>
          <w:p w14:paraId="7E988C65" w14:textId="77777777" w:rsidR="0061369C" w:rsidRPr="00441BE2" w:rsidRDefault="0061369C">
            <w:pPr>
              <w:rPr>
                <w:rFonts w:eastAsiaTheme="minorHAnsi"/>
                <w:sz w:val="14"/>
                <w:szCs w:val="14"/>
              </w:rPr>
            </w:pPr>
            <w:r w:rsidRPr="00441BE2">
              <w:rPr>
                <w:rFonts w:eastAsiaTheme="minorHAnsi"/>
                <w:sz w:val="14"/>
                <w:szCs w:val="14"/>
              </w:rPr>
              <w:t>Supplier</w:t>
            </w:r>
          </w:p>
        </w:tc>
        <w:tc>
          <w:tcPr>
            <w:tcW w:w="1626" w:type="dxa"/>
            <w:gridSpan w:val="2"/>
            <w:hideMark/>
          </w:tcPr>
          <w:p w14:paraId="3D4EEA70" w14:textId="77777777" w:rsidR="0061369C" w:rsidRPr="00441BE2" w:rsidRDefault="0061369C">
            <w:pPr>
              <w:rPr>
                <w:rFonts w:eastAsiaTheme="minorHAnsi"/>
                <w:sz w:val="14"/>
                <w:szCs w:val="14"/>
              </w:rPr>
            </w:pPr>
            <w:r w:rsidRPr="00441BE2">
              <w:rPr>
                <w:rFonts w:eastAsiaTheme="minorHAnsi"/>
                <w:sz w:val="14"/>
                <w:szCs w:val="14"/>
              </w:rPr>
              <w:t>ANZ value-add activity (%)</w:t>
            </w:r>
          </w:p>
        </w:tc>
        <w:tc>
          <w:tcPr>
            <w:tcW w:w="992" w:type="dxa"/>
            <w:hideMark/>
          </w:tcPr>
          <w:p w14:paraId="1784AC52" w14:textId="77777777" w:rsidR="0061369C" w:rsidRPr="00441BE2" w:rsidRDefault="0061369C">
            <w:pPr>
              <w:rPr>
                <w:rFonts w:eastAsiaTheme="minorHAnsi"/>
                <w:sz w:val="14"/>
                <w:szCs w:val="14"/>
              </w:rPr>
            </w:pPr>
            <w:r w:rsidRPr="00441BE2">
              <w:rPr>
                <w:rFonts w:eastAsiaTheme="minorHAnsi"/>
                <w:sz w:val="14"/>
                <w:szCs w:val="14"/>
              </w:rPr>
              <w:t xml:space="preserve">Contract Content (%) </w:t>
            </w:r>
            <w:r w:rsidRPr="00441BE2">
              <w:rPr>
                <w:rFonts w:eastAsiaTheme="minorHAnsi"/>
                <w:sz w:val="14"/>
                <w:szCs w:val="14"/>
                <w:vertAlign w:val="superscript"/>
              </w:rPr>
              <w:t>(B)</w:t>
            </w:r>
          </w:p>
        </w:tc>
        <w:tc>
          <w:tcPr>
            <w:tcW w:w="993" w:type="dxa"/>
            <w:hideMark/>
          </w:tcPr>
          <w:p w14:paraId="57D39344" w14:textId="77777777" w:rsidR="0061369C" w:rsidRPr="00441BE2" w:rsidRDefault="0061369C">
            <w:pPr>
              <w:rPr>
                <w:rFonts w:eastAsiaTheme="minorHAnsi"/>
                <w:sz w:val="14"/>
                <w:szCs w:val="14"/>
              </w:rPr>
            </w:pPr>
            <w:r w:rsidRPr="00441BE2">
              <w:rPr>
                <w:rFonts w:eastAsiaTheme="minorHAnsi"/>
                <w:sz w:val="14"/>
                <w:szCs w:val="14"/>
              </w:rPr>
              <w:t xml:space="preserve">ANZ value-added activity (%) </w:t>
            </w:r>
            <w:r w:rsidRPr="00441BE2">
              <w:rPr>
                <w:rFonts w:eastAsiaTheme="minorHAnsi"/>
                <w:sz w:val="14"/>
                <w:szCs w:val="14"/>
                <w:vertAlign w:val="superscript"/>
              </w:rPr>
              <w:t>(C = A*B)</w:t>
            </w:r>
          </w:p>
        </w:tc>
        <w:tc>
          <w:tcPr>
            <w:tcW w:w="1134" w:type="dxa"/>
            <w:hideMark/>
          </w:tcPr>
          <w:p w14:paraId="6AC56A7F" w14:textId="4D40A138" w:rsidR="0061369C" w:rsidRPr="00441BE2" w:rsidRDefault="0061369C">
            <w:pPr>
              <w:rPr>
                <w:rFonts w:eastAsiaTheme="minorHAnsi"/>
                <w:sz w:val="14"/>
                <w:szCs w:val="14"/>
              </w:rPr>
            </w:pPr>
            <w:r w:rsidRPr="00441BE2">
              <w:rPr>
                <w:rFonts w:eastAsiaTheme="minorHAnsi"/>
                <w:sz w:val="14"/>
                <w:szCs w:val="14"/>
              </w:rPr>
              <w:t xml:space="preserve">Total number of </w:t>
            </w:r>
            <w:r w:rsidR="00DE39B8">
              <w:rPr>
                <w:rFonts w:eastAsiaTheme="minorHAnsi"/>
                <w:sz w:val="14"/>
                <w:szCs w:val="14"/>
              </w:rPr>
              <w:t>s</w:t>
            </w:r>
            <w:r w:rsidRPr="00441BE2">
              <w:rPr>
                <w:rFonts w:eastAsiaTheme="minorHAnsi"/>
                <w:sz w:val="14"/>
                <w:szCs w:val="14"/>
              </w:rPr>
              <w:t xml:space="preserve">uppliers in </w:t>
            </w:r>
            <w:proofErr w:type="gramStart"/>
            <w:r w:rsidRPr="00441BE2">
              <w:rPr>
                <w:rFonts w:eastAsiaTheme="minorHAnsi"/>
                <w:sz w:val="14"/>
                <w:szCs w:val="14"/>
              </w:rPr>
              <w:t>project  supply</w:t>
            </w:r>
            <w:proofErr w:type="gramEnd"/>
            <w:r w:rsidRPr="00441BE2">
              <w:rPr>
                <w:rFonts w:eastAsiaTheme="minorHAnsi"/>
                <w:sz w:val="14"/>
                <w:szCs w:val="14"/>
              </w:rPr>
              <w:t xml:space="preserve"> chain </w:t>
            </w:r>
            <w:r w:rsidRPr="00441BE2">
              <w:rPr>
                <w:rFonts w:eastAsiaTheme="minorHAnsi"/>
                <w:sz w:val="14"/>
                <w:szCs w:val="14"/>
                <w:vertAlign w:val="superscript"/>
              </w:rPr>
              <w:t>(E)</w:t>
            </w:r>
          </w:p>
        </w:tc>
      </w:tr>
      <w:tr w:rsidR="0061369C" w:rsidRPr="00604C42" w14:paraId="7502FDC9" w14:textId="77777777" w:rsidTr="009062C3">
        <w:trPr>
          <w:trHeight w:val="499"/>
        </w:trPr>
        <w:tc>
          <w:tcPr>
            <w:tcW w:w="1052" w:type="dxa"/>
            <w:vMerge/>
            <w:hideMark/>
          </w:tcPr>
          <w:p w14:paraId="5F887049" w14:textId="77777777" w:rsidR="0061369C" w:rsidRPr="00441BE2" w:rsidRDefault="0061369C">
            <w:pPr>
              <w:rPr>
                <w:rFonts w:eastAsiaTheme="minorHAnsi"/>
                <w:sz w:val="14"/>
                <w:szCs w:val="14"/>
              </w:rPr>
            </w:pPr>
          </w:p>
        </w:tc>
        <w:tc>
          <w:tcPr>
            <w:tcW w:w="1045" w:type="dxa"/>
            <w:vMerge/>
            <w:hideMark/>
          </w:tcPr>
          <w:p w14:paraId="10489842" w14:textId="77777777" w:rsidR="0061369C" w:rsidRPr="00441BE2" w:rsidRDefault="0061369C">
            <w:pPr>
              <w:rPr>
                <w:rFonts w:eastAsiaTheme="minorHAnsi"/>
                <w:sz w:val="14"/>
                <w:szCs w:val="14"/>
              </w:rPr>
            </w:pPr>
          </w:p>
        </w:tc>
        <w:tc>
          <w:tcPr>
            <w:tcW w:w="1253" w:type="dxa"/>
            <w:vMerge/>
            <w:hideMark/>
          </w:tcPr>
          <w:p w14:paraId="4C05D97E" w14:textId="77777777" w:rsidR="0061369C" w:rsidRPr="00441BE2" w:rsidRDefault="0061369C">
            <w:pPr>
              <w:rPr>
                <w:rFonts w:eastAsiaTheme="minorHAnsi"/>
                <w:sz w:val="14"/>
                <w:szCs w:val="14"/>
              </w:rPr>
            </w:pPr>
          </w:p>
        </w:tc>
        <w:tc>
          <w:tcPr>
            <w:tcW w:w="896" w:type="dxa"/>
            <w:vMerge/>
            <w:hideMark/>
          </w:tcPr>
          <w:p w14:paraId="1775957C" w14:textId="77777777" w:rsidR="0061369C" w:rsidRPr="00441BE2" w:rsidRDefault="0061369C">
            <w:pPr>
              <w:rPr>
                <w:rFonts w:eastAsiaTheme="minorHAnsi"/>
                <w:sz w:val="14"/>
                <w:szCs w:val="14"/>
              </w:rPr>
            </w:pPr>
          </w:p>
        </w:tc>
        <w:tc>
          <w:tcPr>
            <w:tcW w:w="757" w:type="dxa"/>
            <w:hideMark/>
          </w:tcPr>
          <w:p w14:paraId="14F4804E" w14:textId="77777777" w:rsidR="0061369C" w:rsidRPr="00441BE2" w:rsidRDefault="0061369C">
            <w:pPr>
              <w:rPr>
                <w:rFonts w:eastAsiaTheme="minorHAnsi"/>
                <w:sz w:val="14"/>
                <w:szCs w:val="14"/>
              </w:rPr>
            </w:pPr>
            <w:r w:rsidRPr="00441BE2">
              <w:rPr>
                <w:rFonts w:eastAsiaTheme="minorHAnsi"/>
                <w:sz w:val="14"/>
                <w:szCs w:val="14"/>
              </w:rPr>
              <w:t>Import</w:t>
            </w:r>
          </w:p>
        </w:tc>
        <w:tc>
          <w:tcPr>
            <w:tcW w:w="837" w:type="dxa"/>
            <w:hideMark/>
          </w:tcPr>
          <w:p w14:paraId="02EAE40A" w14:textId="77777777" w:rsidR="0061369C" w:rsidRPr="00441BE2" w:rsidRDefault="0061369C">
            <w:pPr>
              <w:rPr>
                <w:rFonts w:eastAsiaTheme="minorHAnsi"/>
                <w:sz w:val="14"/>
                <w:szCs w:val="14"/>
              </w:rPr>
            </w:pPr>
            <w:r w:rsidRPr="00441BE2">
              <w:rPr>
                <w:rFonts w:eastAsiaTheme="minorHAnsi"/>
                <w:sz w:val="14"/>
                <w:szCs w:val="14"/>
              </w:rPr>
              <w:t>Local</w:t>
            </w:r>
            <w:r w:rsidRPr="00441BE2">
              <w:rPr>
                <w:rFonts w:eastAsiaTheme="minorHAnsi"/>
                <w:sz w:val="14"/>
                <w:szCs w:val="14"/>
                <w:vertAlign w:val="superscript"/>
              </w:rPr>
              <w:t>(A)</w:t>
            </w:r>
          </w:p>
        </w:tc>
        <w:tc>
          <w:tcPr>
            <w:tcW w:w="928" w:type="dxa"/>
            <w:hideMark/>
          </w:tcPr>
          <w:p w14:paraId="083B13DA" w14:textId="77777777" w:rsidR="0061369C" w:rsidRPr="00441BE2" w:rsidRDefault="0061369C">
            <w:pPr>
              <w:rPr>
                <w:rFonts w:eastAsiaTheme="minorHAnsi"/>
                <w:sz w:val="14"/>
                <w:szCs w:val="14"/>
              </w:rPr>
            </w:pPr>
          </w:p>
        </w:tc>
        <w:tc>
          <w:tcPr>
            <w:tcW w:w="844" w:type="dxa"/>
            <w:hideMark/>
          </w:tcPr>
          <w:p w14:paraId="5D7538DC" w14:textId="77777777" w:rsidR="0061369C" w:rsidRPr="00441BE2" w:rsidRDefault="0061369C">
            <w:pPr>
              <w:rPr>
                <w:rFonts w:eastAsiaTheme="minorHAnsi"/>
                <w:sz w:val="14"/>
                <w:szCs w:val="14"/>
              </w:rPr>
            </w:pPr>
          </w:p>
        </w:tc>
        <w:tc>
          <w:tcPr>
            <w:tcW w:w="1007" w:type="dxa"/>
            <w:hideMark/>
          </w:tcPr>
          <w:p w14:paraId="75133643" w14:textId="77777777" w:rsidR="0061369C" w:rsidRPr="00441BE2" w:rsidRDefault="0061369C">
            <w:pPr>
              <w:rPr>
                <w:rFonts w:eastAsiaTheme="minorHAnsi"/>
                <w:sz w:val="14"/>
                <w:szCs w:val="14"/>
              </w:rPr>
            </w:pPr>
          </w:p>
        </w:tc>
        <w:tc>
          <w:tcPr>
            <w:tcW w:w="1236" w:type="dxa"/>
          </w:tcPr>
          <w:p w14:paraId="7D159DE6" w14:textId="77777777" w:rsidR="0061369C" w:rsidRPr="00441BE2" w:rsidRDefault="0061369C">
            <w:pPr>
              <w:rPr>
                <w:rFonts w:eastAsiaTheme="minorHAnsi"/>
                <w:sz w:val="14"/>
                <w:szCs w:val="14"/>
              </w:rPr>
            </w:pPr>
          </w:p>
        </w:tc>
        <w:tc>
          <w:tcPr>
            <w:tcW w:w="852" w:type="dxa"/>
          </w:tcPr>
          <w:p w14:paraId="4157809B" w14:textId="77777777" w:rsidR="0061369C" w:rsidRPr="00441BE2" w:rsidRDefault="0061369C">
            <w:pPr>
              <w:rPr>
                <w:rFonts w:eastAsiaTheme="minorHAnsi"/>
                <w:sz w:val="14"/>
                <w:szCs w:val="14"/>
              </w:rPr>
            </w:pPr>
          </w:p>
        </w:tc>
        <w:tc>
          <w:tcPr>
            <w:tcW w:w="776" w:type="dxa"/>
            <w:hideMark/>
          </w:tcPr>
          <w:p w14:paraId="54EDA47B" w14:textId="77777777" w:rsidR="0061369C" w:rsidRPr="00441BE2" w:rsidRDefault="0061369C">
            <w:pPr>
              <w:rPr>
                <w:rFonts w:eastAsiaTheme="minorHAnsi"/>
                <w:sz w:val="14"/>
                <w:szCs w:val="14"/>
              </w:rPr>
            </w:pPr>
            <w:r w:rsidRPr="00441BE2">
              <w:rPr>
                <w:rFonts w:eastAsiaTheme="minorHAnsi"/>
                <w:sz w:val="14"/>
                <w:szCs w:val="14"/>
              </w:rPr>
              <w:t>Import</w:t>
            </w:r>
          </w:p>
        </w:tc>
        <w:tc>
          <w:tcPr>
            <w:tcW w:w="850" w:type="dxa"/>
            <w:hideMark/>
          </w:tcPr>
          <w:p w14:paraId="3BCBEB49" w14:textId="77777777" w:rsidR="0061369C" w:rsidRPr="00441BE2" w:rsidRDefault="0061369C">
            <w:pPr>
              <w:rPr>
                <w:rFonts w:eastAsiaTheme="minorHAnsi"/>
                <w:sz w:val="14"/>
                <w:szCs w:val="14"/>
              </w:rPr>
            </w:pPr>
            <w:r w:rsidRPr="00441BE2">
              <w:rPr>
                <w:rFonts w:eastAsiaTheme="minorHAnsi"/>
                <w:sz w:val="14"/>
                <w:szCs w:val="14"/>
              </w:rPr>
              <w:t xml:space="preserve">Local </w:t>
            </w:r>
            <w:r w:rsidRPr="00441BE2">
              <w:rPr>
                <w:rFonts w:eastAsiaTheme="minorHAnsi"/>
                <w:sz w:val="14"/>
                <w:szCs w:val="14"/>
                <w:vertAlign w:val="superscript"/>
              </w:rPr>
              <w:t>(A)</w:t>
            </w:r>
          </w:p>
        </w:tc>
        <w:tc>
          <w:tcPr>
            <w:tcW w:w="992" w:type="dxa"/>
            <w:hideMark/>
          </w:tcPr>
          <w:p w14:paraId="190E18E1" w14:textId="77777777" w:rsidR="0061369C" w:rsidRPr="00441BE2" w:rsidRDefault="0061369C">
            <w:pPr>
              <w:rPr>
                <w:rFonts w:eastAsiaTheme="minorHAnsi"/>
                <w:sz w:val="14"/>
                <w:szCs w:val="14"/>
              </w:rPr>
            </w:pPr>
          </w:p>
        </w:tc>
        <w:tc>
          <w:tcPr>
            <w:tcW w:w="993" w:type="dxa"/>
            <w:hideMark/>
          </w:tcPr>
          <w:p w14:paraId="4CDD1C8C" w14:textId="77777777" w:rsidR="0061369C" w:rsidRPr="00441BE2" w:rsidRDefault="0061369C">
            <w:pPr>
              <w:rPr>
                <w:rFonts w:eastAsiaTheme="minorHAnsi"/>
                <w:sz w:val="14"/>
                <w:szCs w:val="14"/>
              </w:rPr>
            </w:pPr>
          </w:p>
        </w:tc>
        <w:tc>
          <w:tcPr>
            <w:tcW w:w="1134" w:type="dxa"/>
            <w:hideMark/>
          </w:tcPr>
          <w:p w14:paraId="599CF229" w14:textId="77777777" w:rsidR="0061369C" w:rsidRPr="00441BE2" w:rsidRDefault="0061369C">
            <w:pPr>
              <w:rPr>
                <w:rFonts w:eastAsiaTheme="minorHAnsi"/>
                <w:sz w:val="14"/>
                <w:szCs w:val="14"/>
              </w:rPr>
            </w:pPr>
          </w:p>
        </w:tc>
      </w:tr>
      <w:tr w:rsidR="0061369C" w:rsidRPr="00604C42" w14:paraId="219E01CB" w14:textId="77777777" w:rsidTr="009062C3">
        <w:trPr>
          <w:trHeight w:val="213"/>
        </w:trPr>
        <w:tc>
          <w:tcPr>
            <w:tcW w:w="1052" w:type="dxa"/>
            <w:hideMark/>
          </w:tcPr>
          <w:p w14:paraId="0ECF01A2" w14:textId="77777777" w:rsidR="0061369C" w:rsidRPr="00441BE2" w:rsidRDefault="0061369C">
            <w:pPr>
              <w:rPr>
                <w:rFonts w:eastAsiaTheme="minorHAnsi"/>
                <w:b/>
                <w:bCs/>
                <w:sz w:val="14"/>
                <w:szCs w:val="14"/>
              </w:rPr>
            </w:pPr>
            <w:r w:rsidRPr="00441BE2">
              <w:rPr>
                <w:rFonts w:ascii="Cambria" w:eastAsiaTheme="minorHAnsi" w:hAnsi="Cambria" w:cs="Cambria"/>
                <w:b/>
                <w:bCs/>
                <w:sz w:val="14"/>
                <w:szCs w:val="14"/>
              </w:rPr>
              <w:t> </w:t>
            </w:r>
          </w:p>
        </w:tc>
        <w:tc>
          <w:tcPr>
            <w:tcW w:w="1045" w:type="dxa"/>
            <w:hideMark/>
          </w:tcPr>
          <w:p w14:paraId="367E4FD6" w14:textId="77777777" w:rsidR="0061369C" w:rsidRPr="00441BE2" w:rsidRDefault="0061369C">
            <w:pPr>
              <w:rPr>
                <w:rFonts w:eastAsiaTheme="minorHAnsi"/>
                <w:b/>
                <w:bCs/>
                <w:sz w:val="14"/>
                <w:szCs w:val="14"/>
              </w:rPr>
            </w:pPr>
            <w:r w:rsidRPr="00441BE2">
              <w:rPr>
                <w:rFonts w:ascii="Cambria" w:eastAsiaTheme="minorHAnsi" w:hAnsi="Cambria" w:cs="Cambria"/>
                <w:b/>
                <w:bCs/>
                <w:sz w:val="14"/>
                <w:szCs w:val="14"/>
              </w:rPr>
              <w:t> </w:t>
            </w:r>
          </w:p>
        </w:tc>
        <w:tc>
          <w:tcPr>
            <w:tcW w:w="1253" w:type="dxa"/>
            <w:hideMark/>
          </w:tcPr>
          <w:p w14:paraId="26C9901F" w14:textId="77777777" w:rsidR="0061369C" w:rsidRPr="00441BE2" w:rsidRDefault="0061369C">
            <w:pPr>
              <w:rPr>
                <w:rFonts w:eastAsiaTheme="minorHAnsi"/>
                <w:b/>
                <w:bCs/>
                <w:sz w:val="14"/>
                <w:szCs w:val="14"/>
              </w:rPr>
            </w:pPr>
            <w:r w:rsidRPr="00441BE2">
              <w:rPr>
                <w:rFonts w:ascii="Cambria" w:eastAsiaTheme="minorHAnsi" w:hAnsi="Cambria" w:cs="Cambria"/>
                <w:b/>
                <w:bCs/>
                <w:sz w:val="14"/>
                <w:szCs w:val="14"/>
              </w:rPr>
              <w:t> </w:t>
            </w:r>
          </w:p>
        </w:tc>
        <w:tc>
          <w:tcPr>
            <w:tcW w:w="896" w:type="dxa"/>
            <w:hideMark/>
          </w:tcPr>
          <w:p w14:paraId="1DAAC4C3" w14:textId="77777777" w:rsidR="0061369C" w:rsidRPr="00441BE2" w:rsidRDefault="0061369C">
            <w:pPr>
              <w:rPr>
                <w:rFonts w:eastAsiaTheme="minorHAnsi"/>
                <w:b/>
                <w:bCs/>
                <w:sz w:val="14"/>
                <w:szCs w:val="14"/>
              </w:rPr>
            </w:pPr>
            <w:r w:rsidRPr="00441BE2">
              <w:rPr>
                <w:rFonts w:ascii="Cambria" w:eastAsiaTheme="minorHAnsi" w:hAnsi="Cambria" w:cs="Cambria"/>
                <w:b/>
                <w:bCs/>
                <w:sz w:val="14"/>
                <w:szCs w:val="14"/>
              </w:rPr>
              <w:t> </w:t>
            </w:r>
          </w:p>
        </w:tc>
        <w:tc>
          <w:tcPr>
            <w:tcW w:w="757" w:type="dxa"/>
            <w:hideMark/>
          </w:tcPr>
          <w:p w14:paraId="3B4B3BF7" w14:textId="77777777" w:rsidR="0061369C" w:rsidRPr="00441BE2" w:rsidRDefault="0061369C">
            <w:pPr>
              <w:rPr>
                <w:rFonts w:eastAsiaTheme="minorHAnsi"/>
                <w:b/>
                <w:bCs/>
                <w:sz w:val="14"/>
                <w:szCs w:val="14"/>
              </w:rPr>
            </w:pPr>
            <w:r w:rsidRPr="00441BE2">
              <w:rPr>
                <w:rFonts w:ascii="Cambria" w:eastAsiaTheme="minorHAnsi" w:hAnsi="Cambria" w:cs="Cambria"/>
                <w:b/>
                <w:bCs/>
                <w:sz w:val="14"/>
                <w:szCs w:val="14"/>
              </w:rPr>
              <w:t> </w:t>
            </w:r>
          </w:p>
        </w:tc>
        <w:tc>
          <w:tcPr>
            <w:tcW w:w="837" w:type="dxa"/>
            <w:hideMark/>
          </w:tcPr>
          <w:p w14:paraId="50484560" w14:textId="77777777" w:rsidR="0061369C" w:rsidRPr="00441BE2" w:rsidRDefault="0061369C">
            <w:pPr>
              <w:rPr>
                <w:rFonts w:eastAsiaTheme="minorHAnsi"/>
                <w:b/>
                <w:bCs/>
                <w:sz w:val="14"/>
                <w:szCs w:val="14"/>
              </w:rPr>
            </w:pPr>
            <w:r w:rsidRPr="00441BE2">
              <w:rPr>
                <w:rFonts w:ascii="Cambria" w:eastAsiaTheme="minorHAnsi" w:hAnsi="Cambria" w:cs="Cambria"/>
                <w:b/>
                <w:bCs/>
                <w:sz w:val="14"/>
                <w:szCs w:val="14"/>
              </w:rPr>
              <w:t> </w:t>
            </w:r>
          </w:p>
        </w:tc>
        <w:tc>
          <w:tcPr>
            <w:tcW w:w="928" w:type="dxa"/>
            <w:hideMark/>
          </w:tcPr>
          <w:p w14:paraId="7F9A5B1F" w14:textId="77777777" w:rsidR="0061369C" w:rsidRPr="00441BE2" w:rsidRDefault="0061369C">
            <w:pPr>
              <w:rPr>
                <w:rFonts w:eastAsiaTheme="minorHAnsi"/>
                <w:b/>
                <w:bCs/>
                <w:sz w:val="14"/>
                <w:szCs w:val="14"/>
              </w:rPr>
            </w:pPr>
            <w:r w:rsidRPr="00441BE2">
              <w:rPr>
                <w:rFonts w:ascii="Cambria" w:eastAsiaTheme="minorHAnsi" w:hAnsi="Cambria" w:cs="Cambria"/>
                <w:b/>
                <w:bCs/>
                <w:sz w:val="14"/>
                <w:szCs w:val="14"/>
              </w:rPr>
              <w:t> </w:t>
            </w:r>
          </w:p>
        </w:tc>
        <w:tc>
          <w:tcPr>
            <w:tcW w:w="844" w:type="dxa"/>
            <w:noWrap/>
            <w:hideMark/>
          </w:tcPr>
          <w:p w14:paraId="5FA6C000" w14:textId="77777777" w:rsidR="0061369C" w:rsidRPr="00441BE2" w:rsidRDefault="0061369C">
            <w:pPr>
              <w:rPr>
                <w:rFonts w:eastAsiaTheme="minorHAnsi"/>
                <w:sz w:val="14"/>
                <w:szCs w:val="14"/>
              </w:rPr>
            </w:pPr>
            <w:r w:rsidRPr="00441BE2">
              <w:rPr>
                <w:rFonts w:eastAsiaTheme="minorHAnsi"/>
                <w:sz w:val="14"/>
                <w:szCs w:val="14"/>
              </w:rPr>
              <w:t>0%</w:t>
            </w:r>
          </w:p>
        </w:tc>
        <w:tc>
          <w:tcPr>
            <w:tcW w:w="1007" w:type="dxa"/>
            <w:noWrap/>
            <w:hideMark/>
          </w:tcPr>
          <w:p w14:paraId="1B20B710" w14:textId="77777777" w:rsidR="0061369C" w:rsidRPr="00441BE2" w:rsidRDefault="0061369C">
            <w:pPr>
              <w:rPr>
                <w:rFonts w:eastAsiaTheme="minorHAnsi"/>
                <w:sz w:val="14"/>
                <w:szCs w:val="14"/>
              </w:rPr>
            </w:pPr>
            <w:r w:rsidRPr="00441BE2">
              <w:rPr>
                <w:rFonts w:eastAsiaTheme="minorHAnsi"/>
                <w:sz w:val="14"/>
                <w:szCs w:val="14"/>
              </w:rPr>
              <w:t>0%</w:t>
            </w:r>
          </w:p>
        </w:tc>
        <w:tc>
          <w:tcPr>
            <w:tcW w:w="1236" w:type="dxa"/>
          </w:tcPr>
          <w:p w14:paraId="511BAC57" w14:textId="77777777" w:rsidR="0061369C" w:rsidRPr="00441BE2" w:rsidRDefault="0061369C">
            <w:pPr>
              <w:rPr>
                <w:rFonts w:eastAsiaTheme="minorHAnsi"/>
                <w:b/>
                <w:bCs/>
                <w:sz w:val="14"/>
                <w:szCs w:val="14"/>
              </w:rPr>
            </w:pPr>
          </w:p>
        </w:tc>
        <w:tc>
          <w:tcPr>
            <w:tcW w:w="852" w:type="dxa"/>
          </w:tcPr>
          <w:p w14:paraId="2DAF630B" w14:textId="77777777" w:rsidR="0061369C" w:rsidRPr="00441BE2" w:rsidRDefault="0061369C">
            <w:pPr>
              <w:rPr>
                <w:rFonts w:eastAsiaTheme="minorHAnsi"/>
                <w:b/>
                <w:bCs/>
                <w:sz w:val="14"/>
                <w:szCs w:val="14"/>
              </w:rPr>
            </w:pPr>
          </w:p>
        </w:tc>
        <w:tc>
          <w:tcPr>
            <w:tcW w:w="776" w:type="dxa"/>
            <w:hideMark/>
          </w:tcPr>
          <w:p w14:paraId="3C7763E1" w14:textId="77777777" w:rsidR="0061369C" w:rsidRPr="00441BE2" w:rsidRDefault="0061369C">
            <w:pPr>
              <w:rPr>
                <w:rFonts w:eastAsiaTheme="minorHAnsi"/>
                <w:b/>
                <w:bCs/>
                <w:sz w:val="14"/>
                <w:szCs w:val="14"/>
              </w:rPr>
            </w:pPr>
            <w:r w:rsidRPr="00441BE2">
              <w:rPr>
                <w:rFonts w:ascii="Cambria" w:eastAsiaTheme="minorHAnsi" w:hAnsi="Cambria" w:cs="Cambria"/>
                <w:b/>
                <w:bCs/>
                <w:sz w:val="14"/>
                <w:szCs w:val="14"/>
              </w:rPr>
              <w:t> </w:t>
            </w:r>
          </w:p>
        </w:tc>
        <w:tc>
          <w:tcPr>
            <w:tcW w:w="850" w:type="dxa"/>
            <w:hideMark/>
          </w:tcPr>
          <w:p w14:paraId="4B3F8222" w14:textId="77777777" w:rsidR="0061369C" w:rsidRPr="00441BE2" w:rsidRDefault="0061369C">
            <w:pPr>
              <w:rPr>
                <w:rFonts w:eastAsiaTheme="minorHAnsi"/>
                <w:b/>
                <w:bCs/>
                <w:sz w:val="14"/>
                <w:szCs w:val="14"/>
              </w:rPr>
            </w:pPr>
            <w:r w:rsidRPr="00441BE2">
              <w:rPr>
                <w:rFonts w:ascii="Cambria" w:eastAsiaTheme="minorHAnsi" w:hAnsi="Cambria" w:cs="Cambria"/>
                <w:b/>
                <w:bCs/>
                <w:sz w:val="14"/>
                <w:szCs w:val="14"/>
              </w:rPr>
              <w:t> </w:t>
            </w:r>
          </w:p>
        </w:tc>
        <w:tc>
          <w:tcPr>
            <w:tcW w:w="992" w:type="dxa"/>
            <w:hideMark/>
          </w:tcPr>
          <w:p w14:paraId="5E70328F" w14:textId="77777777" w:rsidR="0061369C" w:rsidRPr="00441BE2" w:rsidRDefault="0061369C">
            <w:pPr>
              <w:rPr>
                <w:rFonts w:eastAsiaTheme="minorHAnsi"/>
                <w:b/>
                <w:bCs/>
                <w:sz w:val="14"/>
                <w:szCs w:val="14"/>
              </w:rPr>
            </w:pPr>
            <w:r w:rsidRPr="00441BE2">
              <w:rPr>
                <w:rFonts w:ascii="Cambria" w:eastAsiaTheme="minorHAnsi" w:hAnsi="Cambria" w:cs="Cambria"/>
                <w:b/>
                <w:bCs/>
                <w:sz w:val="14"/>
                <w:szCs w:val="14"/>
              </w:rPr>
              <w:t> </w:t>
            </w:r>
          </w:p>
        </w:tc>
        <w:tc>
          <w:tcPr>
            <w:tcW w:w="993" w:type="dxa"/>
            <w:noWrap/>
            <w:hideMark/>
          </w:tcPr>
          <w:p w14:paraId="11507A7C" w14:textId="77777777" w:rsidR="0061369C" w:rsidRPr="00441BE2" w:rsidRDefault="0061369C">
            <w:pPr>
              <w:rPr>
                <w:rFonts w:eastAsiaTheme="minorHAnsi"/>
                <w:sz w:val="14"/>
                <w:szCs w:val="14"/>
              </w:rPr>
            </w:pPr>
            <w:r w:rsidRPr="00441BE2">
              <w:rPr>
                <w:rFonts w:eastAsiaTheme="minorHAnsi"/>
                <w:sz w:val="14"/>
                <w:szCs w:val="14"/>
              </w:rPr>
              <w:t>0%</w:t>
            </w:r>
          </w:p>
        </w:tc>
        <w:tc>
          <w:tcPr>
            <w:tcW w:w="1134" w:type="dxa"/>
            <w:hideMark/>
          </w:tcPr>
          <w:p w14:paraId="5777950D" w14:textId="77777777" w:rsidR="0061369C" w:rsidRPr="00441BE2" w:rsidRDefault="0061369C">
            <w:pPr>
              <w:rPr>
                <w:rFonts w:eastAsiaTheme="minorHAnsi"/>
                <w:b/>
                <w:bCs/>
                <w:sz w:val="14"/>
                <w:szCs w:val="14"/>
              </w:rPr>
            </w:pPr>
            <w:r w:rsidRPr="00441BE2">
              <w:rPr>
                <w:rFonts w:ascii="Cambria" w:eastAsiaTheme="minorHAnsi" w:hAnsi="Cambria" w:cs="Cambria"/>
                <w:b/>
                <w:bCs/>
                <w:sz w:val="14"/>
                <w:szCs w:val="14"/>
              </w:rPr>
              <w:t> </w:t>
            </w:r>
          </w:p>
        </w:tc>
      </w:tr>
      <w:tr w:rsidR="0061369C" w:rsidRPr="00604C42" w14:paraId="592D6253" w14:textId="77777777" w:rsidTr="009062C3">
        <w:trPr>
          <w:trHeight w:val="213"/>
        </w:trPr>
        <w:tc>
          <w:tcPr>
            <w:tcW w:w="1052" w:type="dxa"/>
            <w:hideMark/>
          </w:tcPr>
          <w:p w14:paraId="45B79C11" w14:textId="77777777" w:rsidR="0061369C" w:rsidRPr="00441BE2" w:rsidRDefault="0061369C">
            <w:pPr>
              <w:rPr>
                <w:rFonts w:eastAsiaTheme="minorHAnsi"/>
                <w:b/>
                <w:bCs/>
                <w:sz w:val="14"/>
                <w:szCs w:val="14"/>
              </w:rPr>
            </w:pPr>
            <w:r w:rsidRPr="00441BE2">
              <w:rPr>
                <w:rFonts w:ascii="Cambria" w:eastAsiaTheme="minorHAnsi" w:hAnsi="Cambria" w:cs="Cambria"/>
                <w:b/>
                <w:bCs/>
                <w:sz w:val="14"/>
                <w:szCs w:val="14"/>
              </w:rPr>
              <w:t> </w:t>
            </w:r>
          </w:p>
        </w:tc>
        <w:tc>
          <w:tcPr>
            <w:tcW w:w="1045" w:type="dxa"/>
            <w:hideMark/>
          </w:tcPr>
          <w:p w14:paraId="2FEB116B" w14:textId="77777777" w:rsidR="0061369C" w:rsidRPr="00441BE2" w:rsidRDefault="0061369C">
            <w:pPr>
              <w:rPr>
                <w:rFonts w:eastAsiaTheme="minorHAnsi"/>
                <w:b/>
                <w:bCs/>
                <w:sz w:val="14"/>
                <w:szCs w:val="14"/>
              </w:rPr>
            </w:pPr>
            <w:r w:rsidRPr="00441BE2">
              <w:rPr>
                <w:rFonts w:ascii="Cambria" w:eastAsiaTheme="minorHAnsi" w:hAnsi="Cambria" w:cs="Cambria"/>
                <w:b/>
                <w:bCs/>
                <w:sz w:val="14"/>
                <w:szCs w:val="14"/>
              </w:rPr>
              <w:t> </w:t>
            </w:r>
          </w:p>
        </w:tc>
        <w:tc>
          <w:tcPr>
            <w:tcW w:w="1253" w:type="dxa"/>
            <w:hideMark/>
          </w:tcPr>
          <w:p w14:paraId="6807F628" w14:textId="77777777" w:rsidR="0061369C" w:rsidRPr="00441BE2" w:rsidRDefault="0061369C">
            <w:pPr>
              <w:rPr>
                <w:rFonts w:eastAsiaTheme="minorHAnsi"/>
                <w:b/>
                <w:bCs/>
                <w:sz w:val="14"/>
                <w:szCs w:val="14"/>
              </w:rPr>
            </w:pPr>
            <w:r w:rsidRPr="00441BE2">
              <w:rPr>
                <w:rFonts w:ascii="Cambria" w:eastAsiaTheme="minorHAnsi" w:hAnsi="Cambria" w:cs="Cambria"/>
                <w:b/>
                <w:bCs/>
                <w:sz w:val="14"/>
                <w:szCs w:val="14"/>
              </w:rPr>
              <w:t> </w:t>
            </w:r>
          </w:p>
        </w:tc>
        <w:tc>
          <w:tcPr>
            <w:tcW w:w="896" w:type="dxa"/>
            <w:hideMark/>
          </w:tcPr>
          <w:p w14:paraId="147B56E4" w14:textId="77777777" w:rsidR="0061369C" w:rsidRPr="00441BE2" w:rsidRDefault="0061369C">
            <w:pPr>
              <w:rPr>
                <w:rFonts w:eastAsiaTheme="minorHAnsi"/>
                <w:b/>
                <w:bCs/>
                <w:sz w:val="14"/>
                <w:szCs w:val="14"/>
              </w:rPr>
            </w:pPr>
            <w:r w:rsidRPr="00441BE2">
              <w:rPr>
                <w:rFonts w:ascii="Cambria" w:eastAsiaTheme="minorHAnsi" w:hAnsi="Cambria" w:cs="Cambria"/>
                <w:b/>
                <w:bCs/>
                <w:sz w:val="14"/>
                <w:szCs w:val="14"/>
              </w:rPr>
              <w:t> </w:t>
            </w:r>
          </w:p>
        </w:tc>
        <w:tc>
          <w:tcPr>
            <w:tcW w:w="757" w:type="dxa"/>
            <w:hideMark/>
          </w:tcPr>
          <w:p w14:paraId="5AC1340E" w14:textId="77777777" w:rsidR="0061369C" w:rsidRPr="00441BE2" w:rsidRDefault="0061369C">
            <w:pPr>
              <w:rPr>
                <w:rFonts w:eastAsiaTheme="minorHAnsi"/>
                <w:b/>
                <w:bCs/>
                <w:sz w:val="14"/>
                <w:szCs w:val="14"/>
              </w:rPr>
            </w:pPr>
            <w:r w:rsidRPr="00441BE2">
              <w:rPr>
                <w:rFonts w:ascii="Cambria" w:eastAsiaTheme="minorHAnsi" w:hAnsi="Cambria" w:cs="Cambria"/>
                <w:b/>
                <w:bCs/>
                <w:sz w:val="14"/>
                <w:szCs w:val="14"/>
              </w:rPr>
              <w:t> </w:t>
            </w:r>
          </w:p>
        </w:tc>
        <w:tc>
          <w:tcPr>
            <w:tcW w:w="837" w:type="dxa"/>
            <w:hideMark/>
          </w:tcPr>
          <w:p w14:paraId="40F6E503" w14:textId="77777777" w:rsidR="0061369C" w:rsidRPr="00441BE2" w:rsidRDefault="0061369C">
            <w:pPr>
              <w:rPr>
                <w:rFonts w:eastAsiaTheme="minorHAnsi"/>
                <w:b/>
                <w:bCs/>
                <w:sz w:val="14"/>
                <w:szCs w:val="14"/>
              </w:rPr>
            </w:pPr>
            <w:r w:rsidRPr="00441BE2">
              <w:rPr>
                <w:rFonts w:ascii="Cambria" w:eastAsiaTheme="minorHAnsi" w:hAnsi="Cambria" w:cs="Cambria"/>
                <w:b/>
                <w:bCs/>
                <w:sz w:val="14"/>
                <w:szCs w:val="14"/>
              </w:rPr>
              <w:t> </w:t>
            </w:r>
          </w:p>
        </w:tc>
        <w:tc>
          <w:tcPr>
            <w:tcW w:w="928" w:type="dxa"/>
            <w:hideMark/>
          </w:tcPr>
          <w:p w14:paraId="5ABC7B74" w14:textId="77777777" w:rsidR="0061369C" w:rsidRPr="00441BE2" w:rsidRDefault="0061369C">
            <w:pPr>
              <w:rPr>
                <w:rFonts w:eastAsiaTheme="minorHAnsi"/>
                <w:b/>
                <w:bCs/>
                <w:sz w:val="14"/>
                <w:szCs w:val="14"/>
              </w:rPr>
            </w:pPr>
            <w:r w:rsidRPr="00441BE2">
              <w:rPr>
                <w:rFonts w:ascii="Cambria" w:eastAsiaTheme="minorHAnsi" w:hAnsi="Cambria" w:cs="Cambria"/>
                <w:b/>
                <w:bCs/>
                <w:sz w:val="14"/>
                <w:szCs w:val="14"/>
              </w:rPr>
              <w:t> </w:t>
            </w:r>
          </w:p>
        </w:tc>
        <w:tc>
          <w:tcPr>
            <w:tcW w:w="844" w:type="dxa"/>
            <w:noWrap/>
            <w:hideMark/>
          </w:tcPr>
          <w:p w14:paraId="0BD90967" w14:textId="77777777" w:rsidR="0061369C" w:rsidRPr="00441BE2" w:rsidRDefault="0061369C">
            <w:pPr>
              <w:rPr>
                <w:rFonts w:eastAsiaTheme="minorHAnsi"/>
                <w:sz w:val="14"/>
                <w:szCs w:val="14"/>
              </w:rPr>
            </w:pPr>
            <w:r w:rsidRPr="00441BE2">
              <w:rPr>
                <w:rFonts w:eastAsiaTheme="minorHAnsi"/>
                <w:sz w:val="14"/>
                <w:szCs w:val="14"/>
              </w:rPr>
              <w:t>0%</w:t>
            </w:r>
          </w:p>
        </w:tc>
        <w:tc>
          <w:tcPr>
            <w:tcW w:w="1007" w:type="dxa"/>
            <w:noWrap/>
            <w:hideMark/>
          </w:tcPr>
          <w:p w14:paraId="204A7C5A" w14:textId="77777777" w:rsidR="0061369C" w:rsidRPr="00441BE2" w:rsidRDefault="0061369C">
            <w:pPr>
              <w:rPr>
                <w:rFonts w:eastAsiaTheme="minorHAnsi"/>
                <w:sz w:val="14"/>
                <w:szCs w:val="14"/>
              </w:rPr>
            </w:pPr>
            <w:r w:rsidRPr="00441BE2">
              <w:rPr>
                <w:rFonts w:eastAsiaTheme="minorHAnsi"/>
                <w:sz w:val="14"/>
                <w:szCs w:val="14"/>
              </w:rPr>
              <w:t>0%</w:t>
            </w:r>
          </w:p>
        </w:tc>
        <w:tc>
          <w:tcPr>
            <w:tcW w:w="1236" w:type="dxa"/>
          </w:tcPr>
          <w:p w14:paraId="64914A8E" w14:textId="77777777" w:rsidR="0061369C" w:rsidRPr="00441BE2" w:rsidRDefault="0061369C">
            <w:pPr>
              <w:rPr>
                <w:rFonts w:eastAsiaTheme="minorHAnsi"/>
                <w:b/>
                <w:bCs/>
                <w:sz w:val="14"/>
                <w:szCs w:val="14"/>
              </w:rPr>
            </w:pPr>
          </w:p>
        </w:tc>
        <w:tc>
          <w:tcPr>
            <w:tcW w:w="852" w:type="dxa"/>
          </w:tcPr>
          <w:p w14:paraId="34E61CD4" w14:textId="77777777" w:rsidR="0061369C" w:rsidRPr="00441BE2" w:rsidRDefault="0061369C">
            <w:pPr>
              <w:rPr>
                <w:rFonts w:eastAsiaTheme="minorHAnsi"/>
                <w:b/>
                <w:bCs/>
                <w:sz w:val="14"/>
                <w:szCs w:val="14"/>
              </w:rPr>
            </w:pPr>
          </w:p>
        </w:tc>
        <w:tc>
          <w:tcPr>
            <w:tcW w:w="776" w:type="dxa"/>
            <w:hideMark/>
          </w:tcPr>
          <w:p w14:paraId="7AECB26D" w14:textId="77777777" w:rsidR="0061369C" w:rsidRPr="00441BE2" w:rsidRDefault="0061369C">
            <w:pPr>
              <w:rPr>
                <w:rFonts w:eastAsiaTheme="minorHAnsi"/>
                <w:b/>
                <w:bCs/>
                <w:sz w:val="14"/>
                <w:szCs w:val="14"/>
              </w:rPr>
            </w:pPr>
            <w:r w:rsidRPr="00441BE2">
              <w:rPr>
                <w:rFonts w:ascii="Cambria" w:eastAsiaTheme="minorHAnsi" w:hAnsi="Cambria" w:cs="Cambria"/>
                <w:b/>
                <w:bCs/>
                <w:sz w:val="14"/>
                <w:szCs w:val="14"/>
              </w:rPr>
              <w:t> </w:t>
            </w:r>
          </w:p>
        </w:tc>
        <w:tc>
          <w:tcPr>
            <w:tcW w:w="850" w:type="dxa"/>
            <w:hideMark/>
          </w:tcPr>
          <w:p w14:paraId="6585EF64" w14:textId="77777777" w:rsidR="0061369C" w:rsidRPr="00441BE2" w:rsidRDefault="0061369C">
            <w:pPr>
              <w:rPr>
                <w:rFonts w:eastAsiaTheme="minorHAnsi"/>
                <w:b/>
                <w:bCs/>
                <w:sz w:val="14"/>
                <w:szCs w:val="14"/>
              </w:rPr>
            </w:pPr>
            <w:r w:rsidRPr="00441BE2">
              <w:rPr>
                <w:rFonts w:ascii="Cambria" w:eastAsiaTheme="minorHAnsi" w:hAnsi="Cambria" w:cs="Cambria"/>
                <w:b/>
                <w:bCs/>
                <w:sz w:val="14"/>
                <w:szCs w:val="14"/>
              </w:rPr>
              <w:t> </w:t>
            </w:r>
          </w:p>
        </w:tc>
        <w:tc>
          <w:tcPr>
            <w:tcW w:w="992" w:type="dxa"/>
            <w:hideMark/>
          </w:tcPr>
          <w:p w14:paraId="5E3DA977" w14:textId="77777777" w:rsidR="0061369C" w:rsidRPr="00441BE2" w:rsidRDefault="0061369C">
            <w:pPr>
              <w:rPr>
                <w:rFonts w:eastAsiaTheme="minorHAnsi"/>
                <w:b/>
                <w:bCs/>
                <w:sz w:val="14"/>
                <w:szCs w:val="14"/>
              </w:rPr>
            </w:pPr>
            <w:r w:rsidRPr="00441BE2">
              <w:rPr>
                <w:rFonts w:ascii="Cambria" w:eastAsiaTheme="minorHAnsi" w:hAnsi="Cambria" w:cs="Cambria"/>
                <w:b/>
                <w:bCs/>
                <w:sz w:val="14"/>
                <w:szCs w:val="14"/>
              </w:rPr>
              <w:t> </w:t>
            </w:r>
          </w:p>
        </w:tc>
        <w:tc>
          <w:tcPr>
            <w:tcW w:w="993" w:type="dxa"/>
            <w:noWrap/>
            <w:hideMark/>
          </w:tcPr>
          <w:p w14:paraId="7E9B27C6" w14:textId="77777777" w:rsidR="0061369C" w:rsidRPr="00441BE2" w:rsidRDefault="0061369C">
            <w:pPr>
              <w:rPr>
                <w:rFonts w:eastAsiaTheme="minorHAnsi"/>
                <w:sz w:val="14"/>
                <w:szCs w:val="14"/>
              </w:rPr>
            </w:pPr>
            <w:r w:rsidRPr="00441BE2">
              <w:rPr>
                <w:rFonts w:eastAsiaTheme="minorHAnsi"/>
                <w:sz w:val="14"/>
                <w:szCs w:val="14"/>
              </w:rPr>
              <w:t>0%</w:t>
            </w:r>
          </w:p>
        </w:tc>
        <w:tc>
          <w:tcPr>
            <w:tcW w:w="1134" w:type="dxa"/>
            <w:hideMark/>
          </w:tcPr>
          <w:p w14:paraId="2151C633" w14:textId="77777777" w:rsidR="0061369C" w:rsidRPr="00441BE2" w:rsidRDefault="0061369C">
            <w:pPr>
              <w:rPr>
                <w:rFonts w:eastAsiaTheme="minorHAnsi"/>
                <w:b/>
                <w:bCs/>
                <w:sz w:val="14"/>
                <w:szCs w:val="14"/>
              </w:rPr>
            </w:pPr>
            <w:r w:rsidRPr="00441BE2">
              <w:rPr>
                <w:rFonts w:ascii="Cambria" w:eastAsiaTheme="minorHAnsi" w:hAnsi="Cambria" w:cs="Cambria"/>
                <w:b/>
                <w:bCs/>
                <w:sz w:val="14"/>
                <w:szCs w:val="14"/>
              </w:rPr>
              <w:t> </w:t>
            </w:r>
          </w:p>
        </w:tc>
      </w:tr>
      <w:tr w:rsidR="0061369C" w:rsidRPr="00604C42" w14:paraId="18DF0E0E" w14:textId="77777777" w:rsidTr="009062C3">
        <w:trPr>
          <w:trHeight w:val="213"/>
        </w:trPr>
        <w:tc>
          <w:tcPr>
            <w:tcW w:w="1052" w:type="dxa"/>
            <w:noWrap/>
            <w:hideMark/>
          </w:tcPr>
          <w:p w14:paraId="3D21F527" w14:textId="77777777" w:rsidR="0061369C" w:rsidRPr="00441BE2" w:rsidRDefault="0061369C">
            <w:pPr>
              <w:rPr>
                <w:rFonts w:eastAsiaTheme="minorHAnsi"/>
                <w:sz w:val="14"/>
                <w:szCs w:val="14"/>
              </w:rPr>
            </w:pPr>
            <w:r w:rsidRPr="00441BE2">
              <w:rPr>
                <w:rFonts w:ascii="Cambria" w:eastAsiaTheme="minorHAnsi" w:hAnsi="Cambria" w:cs="Cambria"/>
                <w:sz w:val="14"/>
                <w:szCs w:val="14"/>
              </w:rPr>
              <w:t> </w:t>
            </w:r>
          </w:p>
        </w:tc>
        <w:tc>
          <w:tcPr>
            <w:tcW w:w="1045" w:type="dxa"/>
            <w:hideMark/>
          </w:tcPr>
          <w:p w14:paraId="5AC69B54" w14:textId="77777777" w:rsidR="0061369C" w:rsidRPr="00441BE2" w:rsidRDefault="0061369C">
            <w:pPr>
              <w:rPr>
                <w:rFonts w:eastAsiaTheme="minorHAnsi"/>
                <w:b/>
                <w:bCs/>
                <w:sz w:val="14"/>
                <w:szCs w:val="14"/>
              </w:rPr>
            </w:pPr>
            <w:r w:rsidRPr="00441BE2">
              <w:rPr>
                <w:rFonts w:ascii="Cambria" w:eastAsiaTheme="minorHAnsi" w:hAnsi="Cambria" w:cs="Cambria"/>
                <w:b/>
                <w:bCs/>
                <w:sz w:val="14"/>
                <w:szCs w:val="14"/>
              </w:rPr>
              <w:t> </w:t>
            </w:r>
          </w:p>
        </w:tc>
        <w:tc>
          <w:tcPr>
            <w:tcW w:w="1253" w:type="dxa"/>
            <w:hideMark/>
          </w:tcPr>
          <w:p w14:paraId="1041CE45" w14:textId="77777777" w:rsidR="0061369C" w:rsidRPr="00441BE2" w:rsidRDefault="0061369C">
            <w:pPr>
              <w:rPr>
                <w:rFonts w:eastAsiaTheme="minorHAnsi"/>
                <w:b/>
                <w:bCs/>
                <w:sz w:val="14"/>
                <w:szCs w:val="14"/>
              </w:rPr>
            </w:pPr>
            <w:r w:rsidRPr="00441BE2">
              <w:rPr>
                <w:rFonts w:ascii="Cambria" w:eastAsiaTheme="minorHAnsi" w:hAnsi="Cambria" w:cs="Cambria"/>
                <w:b/>
                <w:bCs/>
                <w:sz w:val="14"/>
                <w:szCs w:val="14"/>
              </w:rPr>
              <w:t> </w:t>
            </w:r>
          </w:p>
        </w:tc>
        <w:tc>
          <w:tcPr>
            <w:tcW w:w="896" w:type="dxa"/>
            <w:noWrap/>
            <w:hideMark/>
          </w:tcPr>
          <w:p w14:paraId="4792DDFF" w14:textId="77777777" w:rsidR="0061369C" w:rsidRPr="00441BE2" w:rsidRDefault="0061369C">
            <w:pPr>
              <w:rPr>
                <w:rFonts w:eastAsiaTheme="minorHAnsi"/>
                <w:sz w:val="14"/>
                <w:szCs w:val="14"/>
              </w:rPr>
            </w:pPr>
            <w:r w:rsidRPr="00441BE2">
              <w:rPr>
                <w:rFonts w:ascii="Cambria" w:eastAsiaTheme="minorHAnsi" w:hAnsi="Cambria" w:cs="Cambria"/>
                <w:sz w:val="14"/>
                <w:szCs w:val="14"/>
              </w:rPr>
              <w:t> </w:t>
            </w:r>
          </w:p>
        </w:tc>
        <w:tc>
          <w:tcPr>
            <w:tcW w:w="757" w:type="dxa"/>
            <w:noWrap/>
            <w:hideMark/>
          </w:tcPr>
          <w:p w14:paraId="685B4A90" w14:textId="77777777" w:rsidR="0061369C" w:rsidRPr="00441BE2" w:rsidRDefault="0061369C">
            <w:pPr>
              <w:rPr>
                <w:rFonts w:eastAsiaTheme="minorHAnsi"/>
                <w:sz w:val="14"/>
                <w:szCs w:val="14"/>
              </w:rPr>
            </w:pPr>
            <w:r w:rsidRPr="00441BE2">
              <w:rPr>
                <w:rFonts w:ascii="Cambria" w:eastAsiaTheme="minorHAnsi" w:hAnsi="Cambria" w:cs="Cambria"/>
                <w:sz w:val="14"/>
                <w:szCs w:val="14"/>
              </w:rPr>
              <w:t> </w:t>
            </w:r>
          </w:p>
        </w:tc>
        <w:tc>
          <w:tcPr>
            <w:tcW w:w="837" w:type="dxa"/>
            <w:noWrap/>
            <w:hideMark/>
          </w:tcPr>
          <w:p w14:paraId="114868BB" w14:textId="77777777" w:rsidR="0061369C" w:rsidRPr="00441BE2" w:rsidRDefault="0061369C">
            <w:pPr>
              <w:rPr>
                <w:rFonts w:eastAsiaTheme="minorHAnsi"/>
                <w:sz w:val="14"/>
                <w:szCs w:val="14"/>
              </w:rPr>
            </w:pPr>
            <w:r w:rsidRPr="00441BE2">
              <w:rPr>
                <w:rFonts w:ascii="Cambria" w:eastAsiaTheme="minorHAnsi" w:hAnsi="Cambria" w:cs="Cambria"/>
                <w:sz w:val="14"/>
                <w:szCs w:val="14"/>
              </w:rPr>
              <w:t> </w:t>
            </w:r>
          </w:p>
        </w:tc>
        <w:tc>
          <w:tcPr>
            <w:tcW w:w="928" w:type="dxa"/>
            <w:noWrap/>
            <w:hideMark/>
          </w:tcPr>
          <w:p w14:paraId="21E68F6C" w14:textId="77777777" w:rsidR="0061369C" w:rsidRPr="00441BE2" w:rsidRDefault="0061369C">
            <w:pPr>
              <w:rPr>
                <w:rFonts w:eastAsiaTheme="minorHAnsi"/>
                <w:sz w:val="14"/>
                <w:szCs w:val="14"/>
              </w:rPr>
            </w:pPr>
            <w:r w:rsidRPr="00441BE2">
              <w:rPr>
                <w:rFonts w:ascii="Cambria" w:eastAsiaTheme="minorHAnsi" w:hAnsi="Cambria" w:cs="Cambria"/>
                <w:sz w:val="14"/>
                <w:szCs w:val="14"/>
              </w:rPr>
              <w:t> </w:t>
            </w:r>
          </w:p>
        </w:tc>
        <w:tc>
          <w:tcPr>
            <w:tcW w:w="844" w:type="dxa"/>
            <w:noWrap/>
            <w:hideMark/>
          </w:tcPr>
          <w:p w14:paraId="2518F2A2" w14:textId="77777777" w:rsidR="0061369C" w:rsidRPr="00441BE2" w:rsidRDefault="0061369C">
            <w:pPr>
              <w:rPr>
                <w:rFonts w:eastAsiaTheme="minorHAnsi"/>
                <w:sz w:val="14"/>
                <w:szCs w:val="14"/>
              </w:rPr>
            </w:pPr>
            <w:r w:rsidRPr="00441BE2">
              <w:rPr>
                <w:rFonts w:eastAsiaTheme="minorHAnsi"/>
                <w:sz w:val="14"/>
                <w:szCs w:val="14"/>
              </w:rPr>
              <w:t>0%</w:t>
            </w:r>
          </w:p>
        </w:tc>
        <w:tc>
          <w:tcPr>
            <w:tcW w:w="1007" w:type="dxa"/>
            <w:noWrap/>
            <w:hideMark/>
          </w:tcPr>
          <w:p w14:paraId="492106DE" w14:textId="77777777" w:rsidR="0061369C" w:rsidRPr="00441BE2" w:rsidRDefault="0061369C">
            <w:pPr>
              <w:rPr>
                <w:rFonts w:eastAsiaTheme="minorHAnsi"/>
                <w:sz w:val="14"/>
                <w:szCs w:val="14"/>
              </w:rPr>
            </w:pPr>
            <w:r w:rsidRPr="00441BE2">
              <w:rPr>
                <w:rFonts w:eastAsiaTheme="minorHAnsi"/>
                <w:sz w:val="14"/>
                <w:szCs w:val="14"/>
              </w:rPr>
              <w:t>0%</w:t>
            </w:r>
          </w:p>
        </w:tc>
        <w:tc>
          <w:tcPr>
            <w:tcW w:w="1236" w:type="dxa"/>
          </w:tcPr>
          <w:p w14:paraId="13116092" w14:textId="77777777" w:rsidR="0061369C" w:rsidRPr="00441BE2" w:rsidRDefault="0061369C">
            <w:pPr>
              <w:rPr>
                <w:rFonts w:eastAsiaTheme="minorHAnsi"/>
                <w:sz w:val="14"/>
                <w:szCs w:val="14"/>
              </w:rPr>
            </w:pPr>
          </w:p>
        </w:tc>
        <w:tc>
          <w:tcPr>
            <w:tcW w:w="852" w:type="dxa"/>
          </w:tcPr>
          <w:p w14:paraId="1CB2866D" w14:textId="77777777" w:rsidR="0061369C" w:rsidRPr="00441BE2" w:rsidRDefault="0061369C">
            <w:pPr>
              <w:rPr>
                <w:rFonts w:eastAsiaTheme="minorHAnsi"/>
                <w:sz w:val="14"/>
                <w:szCs w:val="14"/>
              </w:rPr>
            </w:pPr>
          </w:p>
        </w:tc>
        <w:tc>
          <w:tcPr>
            <w:tcW w:w="776" w:type="dxa"/>
            <w:noWrap/>
            <w:hideMark/>
          </w:tcPr>
          <w:p w14:paraId="07DBBEB8" w14:textId="77777777" w:rsidR="0061369C" w:rsidRPr="00441BE2" w:rsidRDefault="0061369C">
            <w:pPr>
              <w:rPr>
                <w:rFonts w:eastAsiaTheme="minorHAnsi"/>
                <w:sz w:val="14"/>
                <w:szCs w:val="14"/>
              </w:rPr>
            </w:pPr>
            <w:r w:rsidRPr="00441BE2">
              <w:rPr>
                <w:rFonts w:ascii="Cambria" w:eastAsiaTheme="minorHAnsi" w:hAnsi="Cambria" w:cs="Cambria"/>
                <w:sz w:val="14"/>
                <w:szCs w:val="14"/>
              </w:rPr>
              <w:t> </w:t>
            </w:r>
          </w:p>
        </w:tc>
        <w:tc>
          <w:tcPr>
            <w:tcW w:w="850" w:type="dxa"/>
            <w:noWrap/>
            <w:hideMark/>
          </w:tcPr>
          <w:p w14:paraId="14305863" w14:textId="77777777" w:rsidR="0061369C" w:rsidRPr="00441BE2" w:rsidRDefault="0061369C">
            <w:pPr>
              <w:rPr>
                <w:rFonts w:eastAsiaTheme="minorHAnsi"/>
                <w:sz w:val="14"/>
                <w:szCs w:val="14"/>
              </w:rPr>
            </w:pPr>
            <w:r w:rsidRPr="00441BE2">
              <w:rPr>
                <w:rFonts w:ascii="Cambria" w:eastAsiaTheme="minorHAnsi" w:hAnsi="Cambria" w:cs="Cambria"/>
                <w:sz w:val="14"/>
                <w:szCs w:val="14"/>
              </w:rPr>
              <w:t> </w:t>
            </w:r>
          </w:p>
        </w:tc>
        <w:tc>
          <w:tcPr>
            <w:tcW w:w="992" w:type="dxa"/>
            <w:noWrap/>
            <w:hideMark/>
          </w:tcPr>
          <w:p w14:paraId="1DBB82A4" w14:textId="77777777" w:rsidR="0061369C" w:rsidRPr="00441BE2" w:rsidRDefault="0061369C">
            <w:pPr>
              <w:rPr>
                <w:rFonts w:eastAsiaTheme="minorHAnsi"/>
                <w:sz w:val="14"/>
                <w:szCs w:val="14"/>
              </w:rPr>
            </w:pPr>
            <w:r w:rsidRPr="00441BE2">
              <w:rPr>
                <w:rFonts w:ascii="Cambria" w:eastAsiaTheme="minorHAnsi" w:hAnsi="Cambria" w:cs="Cambria"/>
                <w:sz w:val="14"/>
                <w:szCs w:val="14"/>
              </w:rPr>
              <w:t> </w:t>
            </w:r>
          </w:p>
        </w:tc>
        <w:tc>
          <w:tcPr>
            <w:tcW w:w="993" w:type="dxa"/>
            <w:noWrap/>
            <w:hideMark/>
          </w:tcPr>
          <w:p w14:paraId="3D8F9BA7" w14:textId="77777777" w:rsidR="0061369C" w:rsidRPr="00441BE2" w:rsidRDefault="0061369C">
            <w:pPr>
              <w:rPr>
                <w:rFonts w:eastAsiaTheme="minorHAnsi"/>
                <w:sz w:val="14"/>
                <w:szCs w:val="14"/>
              </w:rPr>
            </w:pPr>
            <w:r w:rsidRPr="00441BE2">
              <w:rPr>
                <w:rFonts w:eastAsiaTheme="minorHAnsi"/>
                <w:sz w:val="14"/>
                <w:szCs w:val="14"/>
              </w:rPr>
              <w:t>0%</w:t>
            </w:r>
          </w:p>
        </w:tc>
        <w:tc>
          <w:tcPr>
            <w:tcW w:w="1134" w:type="dxa"/>
            <w:noWrap/>
            <w:hideMark/>
          </w:tcPr>
          <w:p w14:paraId="495339D9" w14:textId="77777777" w:rsidR="0061369C" w:rsidRPr="00441BE2" w:rsidRDefault="0061369C">
            <w:pPr>
              <w:rPr>
                <w:rFonts w:eastAsiaTheme="minorHAnsi"/>
                <w:sz w:val="14"/>
                <w:szCs w:val="14"/>
              </w:rPr>
            </w:pPr>
            <w:r w:rsidRPr="00441BE2">
              <w:rPr>
                <w:rFonts w:ascii="Cambria" w:eastAsiaTheme="minorHAnsi" w:hAnsi="Cambria" w:cs="Cambria"/>
                <w:sz w:val="14"/>
                <w:szCs w:val="14"/>
              </w:rPr>
              <w:t> </w:t>
            </w:r>
          </w:p>
        </w:tc>
      </w:tr>
      <w:tr w:rsidR="0061369C" w:rsidRPr="00604C42" w14:paraId="6BE9F679" w14:textId="77777777" w:rsidTr="009062C3">
        <w:trPr>
          <w:trHeight w:val="213"/>
        </w:trPr>
        <w:tc>
          <w:tcPr>
            <w:tcW w:w="1052" w:type="dxa"/>
            <w:noWrap/>
            <w:hideMark/>
          </w:tcPr>
          <w:p w14:paraId="402AE8DB" w14:textId="77777777" w:rsidR="0061369C" w:rsidRPr="00441BE2" w:rsidRDefault="0061369C">
            <w:pPr>
              <w:rPr>
                <w:rFonts w:eastAsiaTheme="minorHAnsi"/>
                <w:sz w:val="14"/>
                <w:szCs w:val="14"/>
              </w:rPr>
            </w:pPr>
            <w:r w:rsidRPr="00441BE2">
              <w:rPr>
                <w:rFonts w:ascii="Cambria" w:eastAsiaTheme="minorHAnsi" w:hAnsi="Cambria" w:cs="Cambria"/>
                <w:sz w:val="14"/>
                <w:szCs w:val="14"/>
              </w:rPr>
              <w:t> </w:t>
            </w:r>
          </w:p>
        </w:tc>
        <w:tc>
          <w:tcPr>
            <w:tcW w:w="1045" w:type="dxa"/>
            <w:hideMark/>
          </w:tcPr>
          <w:p w14:paraId="4933F51F" w14:textId="77777777" w:rsidR="0061369C" w:rsidRPr="00441BE2" w:rsidRDefault="0061369C">
            <w:pPr>
              <w:rPr>
                <w:rFonts w:eastAsiaTheme="minorHAnsi"/>
                <w:b/>
                <w:bCs/>
                <w:sz w:val="14"/>
                <w:szCs w:val="14"/>
              </w:rPr>
            </w:pPr>
            <w:r w:rsidRPr="00441BE2">
              <w:rPr>
                <w:rFonts w:ascii="Cambria" w:eastAsiaTheme="minorHAnsi" w:hAnsi="Cambria" w:cs="Cambria"/>
                <w:b/>
                <w:bCs/>
                <w:sz w:val="14"/>
                <w:szCs w:val="14"/>
              </w:rPr>
              <w:t> </w:t>
            </w:r>
          </w:p>
        </w:tc>
        <w:tc>
          <w:tcPr>
            <w:tcW w:w="1253" w:type="dxa"/>
            <w:hideMark/>
          </w:tcPr>
          <w:p w14:paraId="694F7EC0" w14:textId="77777777" w:rsidR="0061369C" w:rsidRPr="00441BE2" w:rsidRDefault="0061369C">
            <w:pPr>
              <w:rPr>
                <w:rFonts w:eastAsiaTheme="minorHAnsi"/>
                <w:b/>
                <w:bCs/>
                <w:sz w:val="14"/>
                <w:szCs w:val="14"/>
              </w:rPr>
            </w:pPr>
            <w:r w:rsidRPr="00441BE2">
              <w:rPr>
                <w:rFonts w:ascii="Cambria" w:eastAsiaTheme="minorHAnsi" w:hAnsi="Cambria" w:cs="Cambria"/>
                <w:b/>
                <w:bCs/>
                <w:sz w:val="14"/>
                <w:szCs w:val="14"/>
              </w:rPr>
              <w:t> </w:t>
            </w:r>
          </w:p>
        </w:tc>
        <w:tc>
          <w:tcPr>
            <w:tcW w:w="896" w:type="dxa"/>
            <w:noWrap/>
            <w:hideMark/>
          </w:tcPr>
          <w:p w14:paraId="29BE7972" w14:textId="77777777" w:rsidR="0061369C" w:rsidRPr="00441BE2" w:rsidRDefault="0061369C">
            <w:pPr>
              <w:rPr>
                <w:rFonts w:eastAsiaTheme="minorHAnsi"/>
                <w:sz w:val="14"/>
                <w:szCs w:val="14"/>
              </w:rPr>
            </w:pPr>
            <w:r w:rsidRPr="00441BE2">
              <w:rPr>
                <w:rFonts w:ascii="Cambria" w:eastAsiaTheme="minorHAnsi" w:hAnsi="Cambria" w:cs="Cambria"/>
                <w:sz w:val="14"/>
                <w:szCs w:val="14"/>
              </w:rPr>
              <w:t> </w:t>
            </w:r>
          </w:p>
        </w:tc>
        <w:tc>
          <w:tcPr>
            <w:tcW w:w="757" w:type="dxa"/>
            <w:noWrap/>
            <w:hideMark/>
          </w:tcPr>
          <w:p w14:paraId="0B45E142" w14:textId="77777777" w:rsidR="0061369C" w:rsidRPr="00441BE2" w:rsidRDefault="0061369C">
            <w:pPr>
              <w:rPr>
                <w:rFonts w:eastAsiaTheme="minorHAnsi"/>
                <w:sz w:val="14"/>
                <w:szCs w:val="14"/>
              </w:rPr>
            </w:pPr>
            <w:r w:rsidRPr="00441BE2">
              <w:rPr>
                <w:rFonts w:ascii="Cambria" w:eastAsiaTheme="minorHAnsi" w:hAnsi="Cambria" w:cs="Cambria"/>
                <w:sz w:val="14"/>
                <w:szCs w:val="14"/>
              </w:rPr>
              <w:t> </w:t>
            </w:r>
          </w:p>
        </w:tc>
        <w:tc>
          <w:tcPr>
            <w:tcW w:w="837" w:type="dxa"/>
            <w:noWrap/>
            <w:hideMark/>
          </w:tcPr>
          <w:p w14:paraId="12DF6876" w14:textId="77777777" w:rsidR="0061369C" w:rsidRPr="00441BE2" w:rsidRDefault="0061369C">
            <w:pPr>
              <w:rPr>
                <w:rFonts w:eastAsiaTheme="minorHAnsi"/>
                <w:sz w:val="14"/>
                <w:szCs w:val="14"/>
              </w:rPr>
            </w:pPr>
            <w:r w:rsidRPr="00441BE2">
              <w:rPr>
                <w:rFonts w:ascii="Cambria" w:eastAsiaTheme="minorHAnsi" w:hAnsi="Cambria" w:cs="Cambria"/>
                <w:sz w:val="14"/>
                <w:szCs w:val="14"/>
              </w:rPr>
              <w:t> </w:t>
            </w:r>
          </w:p>
        </w:tc>
        <w:tc>
          <w:tcPr>
            <w:tcW w:w="928" w:type="dxa"/>
            <w:noWrap/>
            <w:hideMark/>
          </w:tcPr>
          <w:p w14:paraId="1FB73549" w14:textId="77777777" w:rsidR="0061369C" w:rsidRPr="00441BE2" w:rsidRDefault="0061369C">
            <w:pPr>
              <w:rPr>
                <w:rFonts w:eastAsiaTheme="minorHAnsi"/>
                <w:sz w:val="14"/>
                <w:szCs w:val="14"/>
              </w:rPr>
            </w:pPr>
            <w:r w:rsidRPr="00441BE2">
              <w:rPr>
                <w:rFonts w:ascii="Cambria" w:eastAsiaTheme="minorHAnsi" w:hAnsi="Cambria" w:cs="Cambria"/>
                <w:sz w:val="14"/>
                <w:szCs w:val="14"/>
              </w:rPr>
              <w:t> </w:t>
            </w:r>
          </w:p>
        </w:tc>
        <w:tc>
          <w:tcPr>
            <w:tcW w:w="844" w:type="dxa"/>
            <w:noWrap/>
            <w:hideMark/>
          </w:tcPr>
          <w:p w14:paraId="5283F0C2" w14:textId="77777777" w:rsidR="0061369C" w:rsidRPr="00441BE2" w:rsidRDefault="0061369C">
            <w:pPr>
              <w:rPr>
                <w:rFonts w:eastAsiaTheme="minorHAnsi"/>
                <w:sz w:val="14"/>
                <w:szCs w:val="14"/>
              </w:rPr>
            </w:pPr>
            <w:r w:rsidRPr="00441BE2">
              <w:rPr>
                <w:rFonts w:eastAsiaTheme="minorHAnsi"/>
                <w:sz w:val="14"/>
                <w:szCs w:val="14"/>
              </w:rPr>
              <w:t>0%</w:t>
            </w:r>
          </w:p>
        </w:tc>
        <w:tc>
          <w:tcPr>
            <w:tcW w:w="1007" w:type="dxa"/>
            <w:noWrap/>
            <w:hideMark/>
          </w:tcPr>
          <w:p w14:paraId="2AB82802" w14:textId="77777777" w:rsidR="0061369C" w:rsidRPr="00441BE2" w:rsidRDefault="0061369C">
            <w:pPr>
              <w:rPr>
                <w:rFonts w:eastAsiaTheme="minorHAnsi"/>
                <w:sz w:val="14"/>
                <w:szCs w:val="14"/>
              </w:rPr>
            </w:pPr>
            <w:r w:rsidRPr="00441BE2">
              <w:rPr>
                <w:rFonts w:eastAsiaTheme="minorHAnsi"/>
                <w:sz w:val="14"/>
                <w:szCs w:val="14"/>
              </w:rPr>
              <w:t>0%</w:t>
            </w:r>
          </w:p>
        </w:tc>
        <w:tc>
          <w:tcPr>
            <w:tcW w:w="1236" w:type="dxa"/>
          </w:tcPr>
          <w:p w14:paraId="75E38CEB" w14:textId="77777777" w:rsidR="0061369C" w:rsidRPr="00441BE2" w:rsidRDefault="0061369C">
            <w:pPr>
              <w:rPr>
                <w:rFonts w:eastAsiaTheme="minorHAnsi"/>
                <w:sz w:val="14"/>
                <w:szCs w:val="14"/>
              </w:rPr>
            </w:pPr>
          </w:p>
        </w:tc>
        <w:tc>
          <w:tcPr>
            <w:tcW w:w="852" w:type="dxa"/>
          </w:tcPr>
          <w:p w14:paraId="35A21C6A" w14:textId="77777777" w:rsidR="0061369C" w:rsidRPr="00441BE2" w:rsidRDefault="0061369C">
            <w:pPr>
              <w:rPr>
                <w:rFonts w:eastAsiaTheme="minorHAnsi"/>
                <w:sz w:val="14"/>
                <w:szCs w:val="14"/>
              </w:rPr>
            </w:pPr>
          </w:p>
        </w:tc>
        <w:tc>
          <w:tcPr>
            <w:tcW w:w="776" w:type="dxa"/>
            <w:noWrap/>
            <w:hideMark/>
          </w:tcPr>
          <w:p w14:paraId="2728F0E4" w14:textId="77777777" w:rsidR="0061369C" w:rsidRPr="00441BE2" w:rsidRDefault="0061369C">
            <w:pPr>
              <w:rPr>
                <w:rFonts w:eastAsiaTheme="minorHAnsi"/>
                <w:sz w:val="14"/>
                <w:szCs w:val="14"/>
              </w:rPr>
            </w:pPr>
            <w:r w:rsidRPr="00441BE2">
              <w:rPr>
                <w:rFonts w:ascii="Cambria" w:eastAsiaTheme="minorHAnsi" w:hAnsi="Cambria" w:cs="Cambria"/>
                <w:sz w:val="14"/>
                <w:szCs w:val="14"/>
              </w:rPr>
              <w:t> </w:t>
            </w:r>
          </w:p>
        </w:tc>
        <w:tc>
          <w:tcPr>
            <w:tcW w:w="850" w:type="dxa"/>
            <w:noWrap/>
            <w:hideMark/>
          </w:tcPr>
          <w:p w14:paraId="68AE2142" w14:textId="77777777" w:rsidR="0061369C" w:rsidRPr="00441BE2" w:rsidRDefault="0061369C">
            <w:pPr>
              <w:rPr>
                <w:rFonts w:eastAsiaTheme="minorHAnsi"/>
                <w:sz w:val="14"/>
                <w:szCs w:val="14"/>
              </w:rPr>
            </w:pPr>
            <w:r w:rsidRPr="00441BE2">
              <w:rPr>
                <w:rFonts w:ascii="Cambria" w:eastAsiaTheme="minorHAnsi" w:hAnsi="Cambria" w:cs="Cambria"/>
                <w:sz w:val="14"/>
                <w:szCs w:val="14"/>
              </w:rPr>
              <w:t> </w:t>
            </w:r>
          </w:p>
        </w:tc>
        <w:tc>
          <w:tcPr>
            <w:tcW w:w="992" w:type="dxa"/>
            <w:noWrap/>
            <w:hideMark/>
          </w:tcPr>
          <w:p w14:paraId="7B3ED749" w14:textId="77777777" w:rsidR="0061369C" w:rsidRPr="00441BE2" w:rsidRDefault="0061369C">
            <w:pPr>
              <w:rPr>
                <w:rFonts w:eastAsiaTheme="minorHAnsi"/>
                <w:sz w:val="14"/>
                <w:szCs w:val="14"/>
              </w:rPr>
            </w:pPr>
            <w:r w:rsidRPr="00441BE2">
              <w:rPr>
                <w:rFonts w:ascii="Cambria" w:eastAsiaTheme="minorHAnsi" w:hAnsi="Cambria" w:cs="Cambria"/>
                <w:sz w:val="14"/>
                <w:szCs w:val="14"/>
              </w:rPr>
              <w:t> </w:t>
            </w:r>
          </w:p>
        </w:tc>
        <w:tc>
          <w:tcPr>
            <w:tcW w:w="993" w:type="dxa"/>
            <w:noWrap/>
            <w:hideMark/>
          </w:tcPr>
          <w:p w14:paraId="34D60474" w14:textId="77777777" w:rsidR="0061369C" w:rsidRPr="00441BE2" w:rsidRDefault="0061369C">
            <w:pPr>
              <w:rPr>
                <w:rFonts w:eastAsiaTheme="minorHAnsi"/>
                <w:sz w:val="14"/>
                <w:szCs w:val="14"/>
              </w:rPr>
            </w:pPr>
            <w:r w:rsidRPr="00441BE2">
              <w:rPr>
                <w:rFonts w:eastAsiaTheme="minorHAnsi"/>
                <w:sz w:val="14"/>
                <w:szCs w:val="14"/>
              </w:rPr>
              <w:t>0%</w:t>
            </w:r>
          </w:p>
        </w:tc>
        <w:tc>
          <w:tcPr>
            <w:tcW w:w="1134" w:type="dxa"/>
            <w:noWrap/>
            <w:hideMark/>
          </w:tcPr>
          <w:p w14:paraId="1175B694" w14:textId="77777777" w:rsidR="0061369C" w:rsidRPr="00441BE2" w:rsidRDefault="0061369C">
            <w:pPr>
              <w:rPr>
                <w:rFonts w:eastAsiaTheme="minorHAnsi"/>
                <w:sz w:val="14"/>
                <w:szCs w:val="14"/>
              </w:rPr>
            </w:pPr>
            <w:r w:rsidRPr="00441BE2">
              <w:rPr>
                <w:rFonts w:ascii="Cambria" w:eastAsiaTheme="minorHAnsi" w:hAnsi="Cambria" w:cs="Cambria"/>
                <w:sz w:val="14"/>
                <w:szCs w:val="14"/>
              </w:rPr>
              <w:t> </w:t>
            </w:r>
          </w:p>
        </w:tc>
      </w:tr>
      <w:tr w:rsidR="0061369C" w:rsidRPr="00604C42" w14:paraId="5F210702" w14:textId="77777777" w:rsidTr="009062C3">
        <w:trPr>
          <w:trHeight w:val="222"/>
        </w:trPr>
        <w:tc>
          <w:tcPr>
            <w:tcW w:w="1052" w:type="dxa"/>
            <w:noWrap/>
            <w:hideMark/>
          </w:tcPr>
          <w:p w14:paraId="09A16E54" w14:textId="77777777" w:rsidR="0061369C" w:rsidRPr="00441BE2" w:rsidRDefault="0061369C">
            <w:pPr>
              <w:rPr>
                <w:rFonts w:eastAsiaTheme="minorHAnsi"/>
                <w:b/>
                <w:bCs/>
                <w:sz w:val="14"/>
                <w:szCs w:val="14"/>
              </w:rPr>
            </w:pPr>
            <w:r w:rsidRPr="00441BE2">
              <w:rPr>
                <w:rFonts w:ascii="Cambria" w:eastAsiaTheme="minorHAnsi" w:hAnsi="Cambria" w:cs="Cambria"/>
                <w:b/>
                <w:bCs/>
                <w:sz w:val="14"/>
                <w:szCs w:val="14"/>
              </w:rPr>
              <w:t> </w:t>
            </w:r>
          </w:p>
        </w:tc>
        <w:tc>
          <w:tcPr>
            <w:tcW w:w="1045" w:type="dxa"/>
            <w:noWrap/>
            <w:hideMark/>
          </w:tcPr>
          <w:p w14:paraId="1112556D" w14:textId="77777777" w:rsidR="0061369C" w:rsidRPr="00441BE2" w:rsidRDefault="0061369C">
            <w:pPr>
              <w:rPr>
                <w:rFonts w:eastAsiaTheme="minorHAnsi"/>
                <w:b/>
                <w:bCs/>
                <w:sz w:val="14"/>
                <w:szCs w:val="14"/>
              </w:rPr>
            </w:pPr>
            <w:r w:rsidRPr="00441BE2">
              <w:rPr>
                <w:rFonts w:ascii="Cambria" w:eastAsiaTheme="minorHAnsi" w:hAnsi="Cambria" w:cs="Cambria"/>
                <w:b/>
                <w:bCs/>
                <w:sz w:val="14"/>
                <w:szCs w:val="14"/>
              </w:rPr>
              <w:t> </w:t>
            </w:r>
          </w:p>
        </w:tc>
        <w:tc>
          <w:tcPr>
            <w:tcW w:w="1253" w:type="dxa"/>
            <w:noWrap/>
            <w:hideMark/>
          </w:tcPr>
          <w:p w14:paraId="0763DFF6" w14:textId="77777777" w:rsidR="0061369C" w:rsidRPr="00441BE2" w:rsidRDefault="0061369C">
            <w:pPr>
              <w:rPr>
                <w:rFonts w:eastAsiaTheme="minorHAnsi"/>
                <w:b/>
                <w:bCs/>
                <w:sz w:val="14"/>
                <w:szCs w:val="14"/>
              </w:rPr>
            </w:pPr>
            <w:r w:rsidRPr="00441BE2">
              <w:rPr>
                <w:rFonts w:ascii="Cambria" w:eastAsiaTheme="minorHAnsi" w:hAnsi="Cambria" w:cs="Cambria"/>
                <w:b/>
                <w:bCs/>
                <w:sz w:val="14"/>
                <w:szCs w:val="14"/>
              </w:rPr>
              <w:t> </w:t>
            </w:r>
          </w:p>
        </w:tc>
        <w:tc>
          <w:tcPr>
            <w:tcW w:w="896" w:type="dxa"/>
            <w:noWrap/>
            <w:hideMark/>
          </w:tcPr>
          <w:p w14:paraId="1D939E09" w14:textId="77777777" w:rsidR="0061369C" w:rsidRPr="00441BE2" w:rsidRDefault="0061369C">
            <w:pPr>
              <w:rPr>
                <w:rFonts w:eastAsiaTheme="minorHAnsi"/>
                <w:b/>
                <w:bCs/>
                <w:sz w:val="14"/>
                <w:szCs w:val="14"/>
              </w:rPr>
            </w:pPr>
            <w:r w:rsidRPr="00441BE2">
              <w:rPr>
                <w:rFonts w:ascii="Cambria" w:eastAsiaTheme="minorHAnsi" w:hAnsi="Cambria" w:cs="Cambria"/>
                <w:b/>
                <w:bCs/>
                <w:sz w:val="14"/>
                <w:szCs w:val="14"/>
              </w:rPr>
              <w:t> </w:t>
            </w:r>
          </w:p>
        </w:tc>
        <w:tc>
          <w:tcPr>
            <w:tcW w:w="757" w:type="dxa"/>
            <w:noWrap/>
            <w:hideMark/>
          </w:tcPr>
          <w:p w14:paraId="4322858D" w14:textId="77777777" w:rsidR="0061369C" w:rsidRPr="00441BE2" w:rsidRDefault="0061369C">
            <w:pPr>
              <w:rPr>
                <w:rFonts w:eastAsiaTheme="minorHAnsi"/>
                <w:b/>
                <w:bCs/>
                <w:sz w:val="14"/>
                <w:szCs w:val="14"/>
              </w:rPr>
            </w:pPr>
            <w:r w:rsidRPr="00441BE2">
              <w:rPr>
                <w:rFonts w:ascii="Cambria" w:eastAsiaTheme="minorHAnsi" w:hAnsi="Cambria" w:cs="Cambria"/>
                <w:b/>
                <w:bCs/>
                <w:sz w:val="14"/>
                <w:szCs w:val="14"/>
              </w:rPr>
              <w:t> </w:t>
            </w:r>
          </w:p>
        </w:tc>
        <w:tc>
          <w:tcPr>
            <w:tcW w:w="837" w:type="dxa"/>
            <w:noWrap/>
            <w:hideMark/>
          </w:tcPr>
          <w:p w14:paraId="1E6A5A9A" w14:textId="77777777" w:rsidR="0061369C" w:rsidRPr="00441BE2" w:rsidRDefault="0061369C">
            <w:pPr>
              <w:rPr>
                <w:rFonts w:eastAsiaTheme="minorHAnsi"/>
                <w:b/>
                <w:bCs/>
                <w:sz w:val="14"/>
                <w:szCs w:val="14"/>
              </w:rPr>
            </w:pPr>
            <w:r w:rsidRPr="00441BE2">
              <w:rPr>
                <w:rFonts w:ascii="Cambria" w:eastAsiaTheme="minorHAnsi" w:hAnsi="Cambria" w:cs="Cambria"/>
                <w:b/>
                <w:bCs/>
                <w:sz w:val="14"/>
                <w:szCs w:val="14"/>
              </w:rPr>
              <w:t> </w:t>
            </w:r>
          </w:p>
        </w:tc>
        <w:tc>
          <w:tcPr>
            <w:tcW w:w="928" w:type="dxa"/>
            <w:noWrap/>
            <w:hideMark/>
          </w:tcPr>
          <w:p w14:paraId="71227A64" w14:textId="77777777" w:rsidR="0061369C" w:rsidRPr="00441BE2" w:rsidRDefault="0061369C">
            <w:pPr>
              <w:rPr>
                <w:rFonts w:eastAsiaTheme="minorHAnsi"/>
                <w:b/>
                <w:bCs/>
                <w:sz w:val="14"/>
                <w:szCs w:val="14"/>
              </w:rPr>
            </w:pPr>
            <w:r w:rsidRPr="00441BE2">
              <w:rPr>
                <w:rFonts w:eastAsiaTheme="minorHAnsi"/>
                <w:b/>
                <w:bCs/>
                <w:sz w:val="14"/>
                <w:szCs w:val="14"/>
              </w:rPr>
              <w:t>0%</w:t>
            </w:r>
          </w:p>
        </w:tc>
        <w:tc>
          <w:tcPr>
            <w:tcW w:w="844" w:type="dxa"/>
            <w:noWrap/>
            <w:hideMark/>
          </w:tcPr>
          <w:p w14:paraId="52BE5439" w14:textId="77777777" w:rsidR="0061369C" w:rsidRPr="00441BE2" w:rsidRDefault="0061369C">
            <w:pPr>
              <w:rPr>
                <w:rFonts w:eastAsiaTheme="minorHAnsi"/>
                <w:b/>
                <w:bCs/>
                <w:sz w:val="14"/>
                <w:szCs w:val="14"/>
              </w:rPr>
            </w:pPr>
            <w:r w:rsidRPr="00441BE2">
              <w:rPr>
                <w:rFonts w:eastAsiaTheme="minorHAnsi"/>
                <w:b/>
                <w:bCs/>
                <w:sz w:val="14"/>
                <w:szCs w:val="14"/>
              </w:rPr>
              <w:t>0%</w:t>
            </w:r>
          </w:p>
        </w:tc>
        <w:tc>
          <w:tcPr>
            <w:tcW w:w="1007" w:type="dxa"/>
            <w:noWrap/>
            <w:hideMark/>
          </w:tcPr>
          <w:p w14:paraId="6AB1FF52" w14:textId="77777777" w:rsidR="0061369C" w:rsidRPr="00441BE2" w:rsidRDefault="0061369C">
            <w:pPr>
              <w:rPr>
                <w:rFonts w:eastAsiaTheme="minorHAnsi"/>
                <w:b/>
                <w:bCs/>
                <w:sz w:val="14"/>
                <w:szCs w:val="14"/>
              </w:rPr>
            </w:pPr>
            <w:r w:rsidRPr="00441BE2">
              <w:rPr>
                <w:rFonts w:eastAsiaTheme="minorHAnsi"/>
                <w:b/>
                <w:bCs/>
                <w:sz w:val="14"/>
                <w:szCs w:val="14"/>
              </w:rPr>
              <w:t>0%</w:t>
            </w:r>
          </w:p>
        </w:tc>
        <w:tc>
          <w:tcPr>
            <w:tcW w:w="1236" w:type="dxa"/>
          </w:tcPr>
          <w:p w14:paraId="499CED37" w14:textId="77777777" w:rsidR="0061369C" w:rsidRPr="00441BE2" w:rsidRDefault="0061369C">
            <w:pPr>
              <w:rPr>
                <w:rFonts w:eastAsiaTheme="minorHAnsi"/>
                <w:b/>
                <w:bCs/>
                <w:sz w:val="14"/>
                <w:szCs w:val="14"/>
              </w:rPr>
            </w:pPr>
          </w:p>
        </w:tc>
        <w:tc>
          <w:tcPr>
            <w:tcW w:w="852" w:type="dxa"/>
          </w:tcPr>
          <w:p w14:paraId="24453D8F" w14:textId="77777777" w:rsidR="0061369C" w:rsidRPr="00441BE2" w:rsidRDefault="0061369C">
            <w:pPr>
              <w:rPr>
                <w:rFonts w:eastAsiaTheme="minorHAnsi"/>
                <w:b/>
                <w:bCs/>
                <w:sz w:val="14"/>
                <w:szCs w:val="14"/>
              </w:rPr>
            </w:pPr>
          </w:p>
        </w:tc>
        <w:tc>
          <w:tcPr>
            <w:tcW w:w="776" w:type="dxa"/>
            <w:noWrap/>
            <w:hideMark/>
          </w:tcPr>
          <w:p w14:paraId="0F5763FB" w14:textId="77777777" w:rsidR="0061369C" w:rsidRPr="00441BE2" w:rsidRDefault="0061369C">
            <w:pPr>
              <w:rPr>
                <w:rFonts w:eastAsiaTheme="minorHAnsi"/>
                <w:b/>
                <w:bCs/>
                <w:sz w:val="14"/>
                <w:szCs w:val="14"/>
              </w:rPr>
            </w:pPr>
            <w:r w:rsidRPr="00441BE2">
              <w:rPr>
                <w:rFonts w:ascii="Cambria" w:eastAsiaTheme="minorHAnsi" w:hAnsi="Cambria" w:cs="Cambria"/>
                <w:b/>
                <w:bCs/>
                <w:sz w:val="14"/>
                <w:szCs w:val="14"/>
              </w:rPr>
              <w:t> </w:t>
            </w:r>
          </w:p>
        </w:tc>
        <w:tc>
          <w:tcPr>
            <w:tcW w:w="850" w:type="dxa"/>
            <w:noWrap/>
            <w:hideMark/>
          </w:tcPr>
          <w:p w14:paraId="26A33D2C" w14:textId="77777777" w:rsidR="0061369C" w:rsidRPr="00441BE2" w:rsidRDefault="0061369C">
            <w:pPr>
              <w:rPr>
                <w:rFonts w:eastAsiaTheme="minorHAnsi"/>
                <w:b/>
                <w:bCs/>
                <w:sz w:val="14"/>
                <w:szCs w:val="14"/>
              </w:rPr>
            </w:pPr>
            <w:r w:rsidRPr="00441BE2">
              <w:rPr>
                <w:rFonts w:ascii="Cambria" w:eastAsiaTheme="minorHAnsi" w:hAnsi="Cambria" w:cs="Cambria"/>
                <w:b/>
                <w:bCs/>
                <w:sz w:val="14"/>
                <w:szCs w:val="14"/>
              </w:rPr>
              <w:t> </w:t>
            </w:r>
          </w:p>
        </w:tc>
        <w:tc>
          <w:tcPr>
            <w:tcW w:w="992" w:type="dxa"/>
            <w:noWrap/>
            <w:hideMark/>
          </w:tcPr>
          <w:p w14:paraId="5F6E822C" w14:textId="77777777" w:rsidR="0061369C" w:rsidRPr="00441BE2" w:rsidRDefault="0061369C">
            <w:pPr>
              <w:rPr>
                <w:rFonts w:eastAsiaTheme="minorHAnsi"/>
                <w:b/>
                <w:bCs/>
                <w:sz w:val="14"/>
                <w:szCs w:val="14"/>
              </w:rPr>
            </w:pPr>
            <w:r w:rsidRPr="00441BE2">
              <w:rPr>
                <w:rFonts w:eastAsiaTheme="minorHAnsi"/>
                <w:b/>
                <w:bCs/>
                <w:sz w:val="14"/>
                <w:szCs w:val="14"/>
              </w:rPr>
              <w:t>0%</w:t>
            </w:r>
          </w:p>
        </w:tc>
        <w:tc>
          <w:tcPr>
            <w:tcW w:w="993" w:type="dxa"/>
            <w:noWrap/>
            <w:hideMark/>
          </w:tcPr>
          <w:p w14:paraId="2D84ACE0" w14:textId="77777777" w:rsidR="0061369C" w:rsidRPr="00441BE2" w:rsidRDefault="0061369C">
            <w:pPr>
              <w:rPr>
                <w:rFonts w:eastAsiaTheme="minorHAnsi"/>
                <w:b/>
                <w:bCs/>
                <w:sz w:val="14"/>
                <w:szCs w:val="14"/>
              </w:rPr>
            </w:pPr>
            <w:r w:rsidRPr="00441BE2">
              <w:rPr>
                <w:rFonts w:eastAsiaTheme="minorHAnsi"/>
                <w:b/>
                <w:bCs/>
                <w:sz w:val="14"/>
                <w:szCs w:val="14"/>
              </w:rPr>
              <w:t>0%</w:t>
            </w:r>
          </w:p>
        </w:tc>
        <w:tc>
          <w:tcPr>
            <w:tcW w:w="1134" w:type="dxa"/>
            <w:noWrap/>
            <w:hideMark/>
          </w:tcPr>
          <w:p w14:paraId="55E8CD83" w14:textId="77777777" w:rsidR="0061369C" w:rsidRPr="00441BE2" w:rsidRDefault="0061369C">
            <w:pPr>
              <w:rPr>
                <w:rFonts w:eastAsiaTheme="minorHAnsi"/>
                <w:b/>
                <w:bCs/>
                <w:sz w:val="14"/>
                <w:szCs w:val="14"/>
              </w:rPr>
            </w:pPr>
            <w:r w:rsidRPr="00441BE2">
              <w:rPr>
                <w:rFonts w:eastAsiaTheme="minorHAnsi"/>
                <w:b/>
                <w:bCs/>
                <w:sz w:val="14"/>
                <w:szCs w:val="14"/>
              </w:rPr>
              <w:t>0</w:t>
            </w:r>
          </w:p>
        </w:tc>
      </w:tr>
    </w:tbl>
    <w:tbl>
      <w:tblPr>
        <w:tblpPr w:leftFromText="180" w:rightFromText="180" w:vertAnchor="text" w:horzAnchor="margin" w:tblpXSpec="center" w:tblpY="9"/>
        <w:tblW w:w="14400" w:type="dxa"/>
        <w:tblLook w:val="04A0" w:firstRow="1" w:lastRow="0" w:firstColumn="1" w:lastColumn="0" w:noHBand="0" w:noVBand="1"/>
      </w:tblPr>
      <w:tblGrid>
        <w:gridCol w:w="2400"/>
        <w:gridCol w:w="2249"/>
        <w:gridCol w:w="2551"/>
        <w:gridCol w:w="2249"/>
        <w:gridCol w:w="2551"/>
        <w:gridCol w:w="2400"/>
      </w:tblGrid>
      <w:tr w:rsidR="0061369C" w:rsidRPr="00604C42" w14:paraId="5633D7A3" w14:textId="77777777" w:rsidTr="005D0CAC">
        <w:trPr>
          <w:trHeight w:val="330"/>
        </w:trPr>
        <w:tc>
          <w:tcPr>
            <w:tcW w:w="2400" w:type="dxa"/>
            <w:vMerge w:val="restart"/>
            <w:tcBorders>
              <w:top w:val="single" w:sz="4" w:space="0" w:color="FF0000"/>
              <w:left w:val="single" w:sz="4" w:space="0" w:color="FF0000"/>
              <w:bottom w:val="single" w:sz="4" w:space="0" w:color="FF0000"/>
              <w:right w:val="nil"/>
            </w:tcBorders>
            <w:noWrap/>
            <w:vAlign w:val="bottom"/>
            <w:hideMark/>
          </w:tcPr>
          <w:p w14:paraId="1116D190" w14:textId="77777777" w:rsidR="0061369C" w:rsidRPr="00441BE2" w:rsidRDefault="0061369C">
            <w:pPr>
              <w:spacing w:after="0"/>
              <w:jc w:val="center"/>
              <w:rPr>
                <w:rFonts w:cs="Calibri"/>
                <w:b/>
                <w:bCs/>
                <w:color w:val="000000"/>
                <w:sz w:val="16"/>
                <w:szCs w:val="16"/>
                <w:lang w:eastAsia="en-AU"/>
              </w:rPr>
            </w:pPr>
            <w:r w:rsidRPr="00441BE2">
              <w:rPr>
                <w:rFonts w:cs="Calibri"/>
                <w:b/>
                <w:bCs/>
                <w:color w:val="000000"/>
                <w:sz w:val="16"/>
                <w:szCs w:val="16"/>
                <w:lang w:eastAsia="en-AU"/>
              </w:rPr>
              <w:t>Employment type</w:t>
            </w:r>
          </w:p>
        </w:tc>
        <w:tc>
          <w:tcPr>
            <w:tcW w:w="4800" w:type="dxa"/>
            <w:gridSpan w:val="2"/>
            <w:tcBorders>
              <w:top w:val="single" w:sz="12" w:space="0" w:color="FF0000"/>
              <w:left w:val="single" w:sz="12" w:space="0" w:color="FF0000"/>
              <w:bottom w:val="single" w:sz="4" w:space="0" w:color="FF0000"/>
              <w:right w:val="single" w:sz="4" w:space="0" w:color="FF0000"/>
            </w:tcBorders>
            <w:noWrap/>
            <w:vAlign w:val="bottom"/>
            <w:hideMark/>
          </w:tcPr>
          <w:p w14:paraId="33724220" w14:textId="77777777" w:rsidR="0061369C" w:rsidRPr="00441BE2" w:rsidRDefault="0061369C">
            <w:pPr>
              <w:spacing w:after="0"/>
              <w:jc w:val="center"/>
              <w:rPr>
                <w:rFonts w:cs="Calibri"/>
                <w:b/>
                <w:bCs/>
                <w:color w:val="000000"/>
                <w:sz w:val="16"/>
                <w:szCs w:val="16"/>
                <w:lang w:eastAsia="en-AU"/>
              </w:rPr>
            </w:pPr>
            <w:r w:rsidRPr="00441BE2">
              <w:rPr>
                <w:rFonts w:cs="Calibri"/>
                <w:b/>
                <w:bCs/>
                <w:color w:val="000000"/>
                <w:sz w:val="16"/>
                <w:szCs w:val="16"/>
                <w:lang w:eastAsia="en-AU"/>
              </w:rPr>
              <w:t>LIDP commitment</w:t>
            </w:r>
          </w:p>
        </w:tc>
        <w:tc>
          <w:tcPr>
            <w:tcW w:w="4800" w:type="dxa"/>
            <w:gridSpan w:val="2"/>
            <w:tcBorders>
              <w:top w:val="single" w:sz="12" w:space="0" w:color="00B050"/>
              <w:left w:val="single" w:sz="12" w:space="0" w:color="00B050"/>
              <w:bottom w:val="single" w:sz="4" w:space="0" w:color="FF0000"/>
              <w:right w:val="single" w:sz="12" w:space="0" w:color="00B050"/>
            </w:tcBorders>
            <w:noWrap/>
            <w:vAlign w:val="bottom"/>
            <w:hideMark/>
          </w:tcPr>
          <w:p w14:paraId="415FA409" w14:textId="77777777" w:rsidR="0061369C" w:rsidRPr="00441BE2" w:rsidRDefault="0061369C">
            <w:pPr>
              <w:spacing w:after="0"/>
              <w:jc w:val="center"/>
              <w:rPr>
                <w:rFonts w:cs="Calibri"/>
                <w:b/>
                <w:bCs/>
                <w:color w:val="000000"/>
                <w:sz w:val="16"/>
                <w:szCs w:val="16"/>
                <w:lang w:eastAsia="en-AU"/>
              </w:rPr>
            </w:pPr>
            <w:r w:rsidRPr="00441BE2">
              <w:rPr>
                <w:rFonts w:cs="Calibri"/>
                <w:b/>
                <w:bCs/>
                <w:color w:val="000000"/>
                <w:sz w:val="16"/>
                <w:szCs w:val="16"/>
                <w:lang w:eastAsia="en-AU"/>
              </w:rPr>
              <w:t>Achieved / secured</w:t>
            </w:r>
          </w:p>
        </w:tc>
        <w:tc>
          <w:tcPr>
            <w:tcW w:w="2400" w:type="dxa"/>
            <w:vMerge w:val="restart"/>
            <w:tcBorders>
              <w:top w:val="single" w:sz="4" w:space="0" w:color="808080"/>
              <w:left w:val="single" w:sz="12" w:space="0" w:color="00B050"/>
              <w:bottom w:val="single" w:sz="4" w:space="0" w:color="808080"/>
              <w:right w:val="nil"/>
            </w:tcBorders>
            <w:vAlign w:val="center"/>
            <w:hideMark/>
          </w:tcPr>
          <w:p w14:paraId="0D24C204" w14:textId="77777777" w:rsidR="0061369C" w:rsidRPr="00441BE2" w:rsidRDefault="0061369C">
            <w:pPr>
              <w:spacing w:after="0"/>
              <w:jc w:val="center"/>
              <w:rPr>
                <w:rFonts w:cs="Arial"/>
                <w:b/>
                <w:bCs/>
                <w:color w:val="000000"/>
                <w:sz w:val="16"/>
                <w:szCs w:val="16"/>
                <w:lang w:eastAsia="en-AU"/>
              </w:rPr>
            </w:pPr>
            <w:r w:rsidRPr="00441BE2">
              <w:rPr>
                <w:rFonts w:cs="Arial"/>
                <w:b/>
                <w:bCs/>
                <w:color w:val="000000"/>
                <w:sz w:val="16"/>
                <w:szCs w:val="16"/>
                <w:lang w:eastAsia="en-AU"/>
              </w:rPr>
              <w:t>Progress / Comments</w:t>
            </w:r>
          </w:p>
        </w:tc>
      </w:tr>
      <w:tr w:rsidR="0061369C" w:rsidRPr="00604C42" w14:paraId="3AC76690" w14:textId="77777777" w:rsidTr="005D0CAC">
        <w:trPr>
          <w:trHeight w:val="315"/>
        </w:trPr>
        <w:tc>
          <w:tcPr>
            <w:tcW w:w="2400" w:type="dxa"/>
            <w:vMerge/>
            <w:tcBorders>
              <w:top w:val="single" w:sz="4" w:space="0" w:color="FF0000"/>
              <w:left w:val="single" w:sz="4" w:space="0" w:color="FF0000"/>
              <w:bottom w:val="single" w:sz="4" w:space="0" w:color="FF0000"/>
              <w:right w:val="nil"/>
            </w:tcBorders>
            <w:vAlign w:val="center"/>
            <w:hideMark/>
          </w:tcPr>
          <w:p w14:paraId="1DE46D4C" w14:textId="77777777" w:rsidR="0061369C" w:rsidRPr="00441BE2" w:rsidRDefault="0061369C">
            <w:pPr>
              <w:spacing w:after="0"/>
              <w:rPr>
                <w:rFonts w:cs="Calibri"/>
                <w:b/>
                <w:bCs/>
                <w:color w:val="000000"/>
                <w:sz w:val="16"/>
                <w:szCs w:val="16"/>
                <w:lang w:eastAsia="en-AU"/>
              </w:rPr>
            </w:pPr>
          </w:p>
        </w:tc>
        <w:tc>
          <w:tcPr>
            <w:tcW w:w="2249" w:type="dxa"/>
            <w:tcBorders>
              <w:top w:val="nil"/>
              <w:left w:val="single" w:sz="12" w:space="0" w:color="FF0000"/>
              <w:bottom w:val="single" w:sz="4" w:space="0" w:color="FF0000"/>
              <w:right w:val="single" w:sz="4" w:space="0" w:color="FF0000"/>
            </w:tcBorders>
            <w:noWrap/>
            <w:vAlign w:val="bottom"/>
            <w:hideMark/>
          </w:tcPr>
          <w:p w14:paraId="5F41B15B" w14:textId="77777777" w:rsidR="0061369C" w:rsidRPr="00441BE2" w:rsidRDefault="0061369C">
            <w:pPr>
              <w:spacing w:after="0"/>
              <w:rPr>
                <w:rFonts w:cs="Calibri"/>
                <w:b/>
                <w:bCs/>
                <w:color w:val="000000"/>
                <w:sz w:val="16"/>
                <w:szCs w:val="16"/>
                <w:lang w:eastAsia="en-AU"/>
              </w:rPr>
            </w:pPr>
            <w:r w:rsidRPr="00441BE2">
              <w:rPr>
                <w:rFonts w:cs="Calibri"/>
                <w:b/>
                <w:bCs/>
                <w:color w:val="000000"/>
                <w:sz w:val="16"/>
                <w:szCs w:val="16"/>
                <w:lang w:eastAsia="en-AU"/>
              </w:rPr>
              <w:t>Created</w:t>
            </w:r>
          </w:p>
        </w:tc>
        <w:tc>
          <w:tcPr>
            <w:tcW w:w="2551" w:type="dxa"/>
            <w:tcBorders>
              <w:top w:val="nil"/>
              <w:left w:val="nil"/>
              <w:bottom w:val="single" w:sz="4" w:space="0" w:color="FF0000"/>
              <w:right w:val="nil"/>
            </w:tcBorders>
            <w:noWrap/>
            <w:vAlign w:val="bottom"/>
            <w:hideMark/>
          </w:tcPr>
          <w:p w14:paraId="763DEB76" w14:textId="77777777" w:rsidR="0061369C" w:rsidRPr="00441BE2" w:rsidRDefault="0061369C">
            <w:pPr>
              <w:spacing w:after="0"/>
              <w:rPr>
                <w:rFonts w:cs="Calibri"/>
                <w:b/>
                <w:bCs/>
                <w:color w:val="000000"/>
                <w:sz w:val="16"/>
                <w:szCs w:val="16"/>
                <w:lang w:eastAsia="en-AU"/>
              </w:rPr>
            </w:pPr>
            <w:r w:rsidRPr="00441BE2">
              <w:rPr>
                <w:rFonts w:cs="Calibri"/>
                <w:b/>
                <w:bCs/>
                <w:color w:val="000000"/>
                <w:sz w:val="16"/>
                <w:szCs w:val="16"/>
                <w:lang w:eastAsia="en-AU"/>
              </w:rPr>
              <w:t>Retained</w:t>
            </w:r>
          </w:p>
        </w:tc>
        <w:tc>
          <w:tcPr>
            <w:tcW w:w="2249" w:type="dxa"/>
            <w:tcBorders>
              <w:top w:val="nil"/>
              <w:left w:val="single" w:sz="12" w:space="0" w:color="00B050"/>
              <w:bottom w:val="single" w:sz="4" w:space="0" w:color="FF0000"/>
              <w:right w:val="single" w:sz="4" w:space="0" w:color="FF0000"/>
            </w:tcBorders>
            <w:noWrap/>
            <w:vAlign w:val="bottom"/>
            <w:hideMark/>
          </w:tcPr>
          <w:p w14:paraId="407F144A" w14:textId="77777777" w:rsidR="0061369C" w:rsidRPr="00441BE2" w:rsidRDefault="0061369C">
            <w:pPr>
              <w:spacing w:after="0"/>
              <w:rPr>
                <w:rFonts w:cs="Calibri"/>
                <w:b/>
                <w:bCs/>
                <w:color w:val="000000"/>
                <w:sz w:val="16"/>
                <w:szCs w:val="16"/>
                <w:lang w:eastAsia="en-AU"/>
              </w:rPr>
            </w:pPr>
            <w:r w:rsidRPr="00441BE2">
              <w:rPr>
                <w:rFonts w:cs="Calibri"/>
                <w:b/>
                <w:bCs/>
                <w:color w:val="000000"/>
                <w:sz w:val="16"/>
                <w:szCs w:val="16"/>
                <w:lang w:eastAsia="en-AU"/>
              </w:rPr>
              <w:t>Created</w:t>
            </w:r>
          </w:p>
        </w:tc>
        <w:tc>
          <w:tcPr>
            <w:tcW w:w="2551" w:type="dxa"/>
            <w:tcBorders>
              <w:top w:val="nil"/>
              <w:left w:val="nil"/>
              <w:bottom w:val="single" w:sz="4" w:space="0" w:color="FF0000"/>
              <w:right w:val="single" w:sz="12" w:space="0" w:color="00B050"/>
            </w:tcBorders>
            <w:noWrap/>
            <w:vAlign w:val="bottom"/>
            <w:hideMark/>
          </w:tcPr>
          <w:p w14:paraId="663A2FA0" w14:textId="77777777" w:rsidR="0061369C" w:rsidRPr="00441BE2" w:rsidRDefault="0061369C">
            <w:pPr>
              <w:spacing w:after="0"/>
              <w:rPr>
                <w:rFonts w:cs="Calibri"/>
                <w:b/>
                <w:bCs/>
                <w:color w:val="000000"/>
                <w:sz w:val="16"/>
                <w:szCs w:val="16"/>
                <w:lang w:eastAsia="en-AU"/>
              </w:rPr>
            </w:pPr>
            <w:r w:rsidRPr="00441BE2">
              <w:rPr>
                <w:rFonts w:cs="Calibri"/>
                <w:b/>
                <w:bCs/>
                <w:color w:val="000000"/>
                <w:sz w:val="16"/>
                <w:szCs w:val="16"/>
                <w:lang w:eastAsia="en-AU"/>
              </w:rPr>
              <w:t>Retained</w:t>
            </w:r>
          </w:p>
        </w:tc>
        <w:tc>
          <w:tcPr>
            <w:tcW w:w="2400" w:type="dxa"/>
            <w:vMerge/>
            <w:tcBorders>
              <w:top w:val="single" w:sz="4" w:space="0" w:color="808080"/>
              <w:left w:val="single" w:sz="12" w:space="0" w:color="00B050"/>
              <w:bottom w:val="single" w:sz="4" w:space="0" w:color="808080"/>
              <w:right w:val="nil"/>
            </w:tcBorders>
            <w:vAlign w:val="center"/>
            <w:hideMark/>
          </w:tcPr>
          <w:p w14:paraId="6141F7AC" w14:textId="77777777" w:rsidR="0061369C" w:rsidRPr="00441BE2" w:rsidRDefault="0061369C">
            <w:pPr>
              <w:spacing w:after="0"/>
              <w:rPr>
                <w:rFonts w:cs="Arial"/>
                <w:b/>
                <w:bCs/>
                <w:color w:val="000000"/>
                <w:sz w:val="16"/>
                <w:szCs w:val="16"/>
                <w:lang w:eastAsia="en-AU"/>
              </w:rPr>
            </w:pPr>
          </w:p>
        </w:tc>
      </w:tr>
      <w:tr w:rsidR="0061369C" w:rsidRPr="00604C42" w14:paraId="21289AAF" w14:textId="77777777" w:rsidTr="005D0CAC">
        <w:trPr>
          <w:trHeight w:val="315"/>
        </w:trPr>
        <w:tc>
          <w:tcPr>
            <w:tcW w:w="2400" w:type="dxa"/>
            <w:tcBorders>
              <w:top w:val="nil"/>
              <w:left w:val="single" w:sz="4" w:space="0" w:color="FF0000"/>
              <w:bottom w:val="single" w:sz="4" w:space="0" w:color="FF0000"/>
              <w:right w:val="nil"/>
            </w:tcBorders>
            <w:vAlign w:val="center"/>
            <w:hideMark/>
          </w:tcPr>
          <w:p w14:paraId="0EB67D6E" w14:textId="77777777" w:rsidR="0061369C" w:rsidRPr="00441BE2" w:rsidRDefault="0061369C">
            <w:pPr>
              <w:spacing w:after="0"/>
              <w:rPr>
                <w:rFonts w:cs="Calibri"/>
                <w:color w:val="000000"/>
                <w:sz w:val="16"/>
                <w:szCs w:val="16"/>
                <w:lang w:eastAsia="en-AU"/>
              </w:rPr>
            </w:pPr>
            <w:r w:rsidRPr="00441BE2">
              <w:rPr>
                <w:rFonts w:cs="Calibri"/>
                <w:color w:val="000000"/>
                <w:sz w:val="16"/>
                <w:szCs w:val="16"/>
                <w:lang w:eastAsia="en-AU"/>
              </w:rPr>
              <w:t>Apprentices</w:t>
            </w:r>
          </w:p>
        </w:tc>
        <w:tc>
          <w:tcPr>
            <w:tcW w:w="2249" w:type="dxa"/>
            <w:tcBorders>
              <w:top w:val="nil"/>
              <w:left w:val="single" w:sz="12" w:space="0" w:color="FF0000"/>
              <w:bottom w:val="single" w:sz="4" w:space="0" w:color="FF0000"/>
              <w:right w:val="single" w:sz="4" w:space="0" w:color="FF0000"/>
            </w:tcBorders>
            <w:noWrap/>
            <w:vAlign w:val="bottom"/>
            <w:hideMark/>
          </w:tcPr>
          <w:p w14:paraId="09F693A5" w14:textId="77777777" w:rsidR="0061369C" w:rsidRPr="00441BE2" w:rsidRDefault="0061369C">
            <w:pPr>
              <w:spacing w:after="0"/>
              <w:rPr>
                <w:rFonts w:cs="Calibri"/>
                <w:color w:val="000000"/>
                <w:sz w:val="16"/>
                <w:szCs w:val="16"/>
                <w:lang w:eastAsia="en-AU"/>
              </w:rPr>
            </w:pPr>
            <w:r w:rsidRPr="00441BE2">
              <w:rPr>
                <w:rFonts w:ascii="Cambria" w:hAnsi="Cambria" w:cs="Cambria"/>
                <w:color w:val="000000"/>
                <w:sz w:val="16"/>
                <w:szCs w:val="16"/>
                <w:lang w:eastAsia="en-AU"/>
              </w:rPr>
              <w:t> </w:t>
            </w:r>
          </w:p>
        </w:tc>
        <w:tc>
          <w:tcPr>
            <w:tcW w:w="2551" w:type="dxa"/>
            <w:tcBorders>
              <w:top w:val="nil"/>
              <w:left w:val="nil"/>
              <w:bottom w:val="single" w:sz="4" w:space="0" w:color="FF0000"/>
              <w:right w:val="nil"/>
            </w:tcBorders>
            <w:noWrap/>
            <w:vAlign w:val="bottom"/>
            <w:hideMark/>
          </w:tcPr>
          <w:p w14:paraId="538ADAA3" w14:textId="77777777" w:rsidR="0061369C" w:rsidRPr="00441BE2" w:rsidRDefault="0061369C">
            <w:pPr>
              <w:spacing w:after="0"/>
              <w:rPr>
                <w:rFonts w:cs="Calibri"/>
                <w:color w:val="000000"/>
                <w:sz w:val="16"/>
                <w:szCs w:val="16"/>
                <w:lang w:eastAsia="en-AU"/>
              </w:rPr>
            </w:pPr>
            <w:r w:rsidRPr="00441BE2">
              <w:rPr>
                <w:rFonts w:ascii="Cambria" w:hAnsi="Cambria" w:cs="Cambria"/>
                <w:color w:val="000000"/>
                <w:sz w:val="16"/>
                <w:szCs w:val="16"/>
                <w:lang w:eastAsia="en-AU"/>
              </w:rPr>
              <w:t> </w:t>
            </w:r>
          </w:p>
        </w:tc>
        <w:tc>
          <w:tcPr>
            <w:tcW w:w="2249" w:type="dxa"/>
            <w:tcBorders>
              <w:top w:val="nil"/>
              <w:left w:val="single" w:sz="12" w:space="0" w:color="00B050"/>
              <w:bottom w:val="single" w:sz="4" w:space="0" w:color="FF0000"/>
              <w:right w:val="single" w:sz="4" w:space="0" w:color="FF0000"/>
            </w:tcBorders>
            <w:noWrap/>
            <w:vAlign w:val="bottom"/>
            <w:hideMark/>
          </w:tcPr>
          <w:p w14:paraId="10F273D0" w14:textId="77777777" w:rsidR="0061369C" w:rsidRPr="00441BE2" w:rsidRDefault="0061369C">
            <w:pPr>
              <w:spacing w:after="0"/>
              <w:rPr>
                <w:rFonts w:cs="Calibri"/>
                <w:color w:val="000000"/>
                <w:sz w:val="16"/>
                <w:szCs w:val="16"/>
                <w:lang w:eastAsia="en-AU"/>
              </w:rPr>
            </w:pPr>
            <w:r w:rsidRPr="00441BE2">
              <w:rPr>
                <w:rFonts w:ascii="Cambria" w:hAnsi="Cambria" w:cs="Cambria"/>
                <w:color w:val="000000"/>
                <w:sz w:val="16"/>
                <w:szCs w:val="16"/>
                <w:lang w:eastAsia="en-AU"/>
              </w:rPr>
              <w:t> </w:t>
            </w:r>
          </w:p>
        </w:tc>
        <w:tc>
          <w:tcPr>
            <w:tcW w:w="2551" w:type="dxa"/>
            <w:tcBorders>
              <w:top w:val="nil"/>
              <w:left w:val="nil"/>
              <w:bottom w:val="single" w:sz="4" w:space="0" w:color="FF0000"/>
              <w:right w:val="single" w:sz="12" w:space="0" w:color="00B050"/>
            </w:tcBorders>
            <w:noWrap/>
            <w:vAlign w:val="bottom"/>
            <w:hideMark/>
          </w:tcPr>
          <w:p w14:paraId="4051A8D0" w14:textId="77777777" w:rsidR="0061369C" w:rsidRPr="00441BE2" w:rsidRDefault="0061369C">
            <w:pPr>
              <w:spacing w:after="0"/>
              <w:rPr>
                <w:rFonts w:cs="Calibri"/>
                <w:color w:val="000000"/>
                <w:sz w:val="16"/>
                <w:szCs w:val="16"/>
                <w:lang w:eastAsia="en-AU"/>
              </w:rPr>
            </w:pPr>
            <w:r w:rsidRPr="00441BE2">
              <w:rPr>
                <w:rFonts w:ascii="Cambria" w:hAnsi="Cambria" w:cs="Cambria"/>
                <w:color w:val="000000"/>
                <w:sz w:val="16"/>
                <w:szCs w:val="16"/>
                <w:lang w:eastAsia="en-AU"/>
              </w:rPr>
              <w:t> </w:t>
            </w:r>
          </w:p>
        </w:tc>
        <w:tc>
          <w:tcPr>
            <w:tcW w:w="2400" w:type="dxa"/>
            <w:tcBorders>
              <w:top w:val="nil"/>
              <w:left w:val="nil"/>
              <w:bottom w:val="single" w:sz="4" w:space="0" w:color="808080"/>
              <w:right w:val="nil"/>
            </w:tcBorders>
            <w:noWrap/>
            <w:vAlign w:val="bottom"/>
            <w:hideMark/>
          </w:tcPr>
          <w:p w14:paraId="17C5FA86" w14:textId="77777777" w:rsidR="0061369C" w:rsidRPr="00441BE2" w:rsidRDefault="0061369C">
            <w:pPr>
              <w:spacing w:after="0"/>
              <w:rPr>
                <w:rFonts w:cs="Calibri"/>
                <w:color w:val="000000"/>
                <w:sz w:val="16"/>
                <w:szCs w:val="16"/>
                <w:lang w:eastAsia="en-AU"/>
              </w:rPr>
            </w:pPr>
            <w:r w:rsidRPr="00441BE2">
              <w:rPr>
                <w:rFonts w:ascii="Cambria" w:hAnsi="Cambria" w:cs="Cambria"/>
                <w:color w:val="000000"/>
                <w:sz w:val="16"/>
                <w:szCs w:val="16"/>
                <w:lang w:eastAsia="en-AU"/>
              </w:rPr>
              <w:t> </w:t>
            </w:r>
          </w:p>
        </w:tc>
      </w:tr>
      <w:tr w:rsidR="0061369C" w:rsidRPr="00604C42" w14:paraId="2344E527" w14:textId="77777777" w:rsidTr="005D0CAC">
        <w:trPr>
          <w:trHeight w:val="315"/>
        </w:trPr>
        <w:tc>
          <w:tcPr>
            <w:tcW w:w="2400" w:type="dxa"/>
            <w:tcBorders>
              <w:top w:val="nil"/>
              <w:left w:val="single" w:sz="4" w:space="0" w:color="FF0000"/>
              <w:bottom w:val="single" w:sz="4" w:space="0" w:color="FF0000"/>
              <w:right w:val="nil"/>
            </w:tcBorders>
            <w:vAlign w:val="center"/>
            <w:hideMark/>
          </w:tcPr>
          <w:p w14:paraId="2DC2E14D" w14:textId="77777777" w:rsidR="0061369C" w:rsidRPr="00441BE2" w:rsidRDefault="0061369C">
            <w:pPr>
              <w:spacing w:after="0"/>
              <w:rPr>
                <w:rFonts w:cs="Calibri"/>
                <w:color w:val="000000"/>
                <w:sz w:val="16"/>
                <w:szCs w:val="16"/>
                <w:lang w:eastAsia="en-AU"/>
              </w:rPr>
            </w:pPr>
            <w:r w:rsidRPr="00441BE2">
              <w:rPr>
                <w:rFonts w:cs="Calibri"/>
                <w:color w:val="000000"/>
                <w:sz w:val="16"/>
                <w:szCs w:val="16"/>
                <w:lang w:eastAsia="en-AU"/>
              </w:rPr>
              <w:t>Trainees</w:t>
            </w:r>
          </w:p>
        </w:tc>
        <w:tc>
          <w:tcPr>
            <w:tcW w:w="2249" w:type="dxa"/>
            <w:tcBorders>
              <w:top w:val="nil"/>
              <w:left w:val="single" w:sz="12" w:space="0" w:color="FF0000"/>
              <w:bottom w:val="single" w:sz="4" w:space="0" w:color="FF0000"/>
              <w:right w:val="single" w:sz="4" w:space="0" w:color="FF0000"/>
            </w:tcBorders>
            <w:noWrap/>
            <w:vAlign w:val="bottom"/>
            <w:hideMark/>
          </w:tcPr>
          <w:p w14:paraId="284A0384" w14:textId="77777777" w:rsidR="0061369C" w:rsidRPr="00441BE2" w:rsidRDefault="0061369C">
            <w:pPr>
              <w:spacing w:after="0"/>
              <w:rPr>
                <w:rFonts w:cs="Calibri"/>
                <w:color w:val="000000"/>
                <w:sz w:val="16"/>
                <w:szCs w:val="16"/>
                <w:lang w:eastAsia="en-AU"/>
              </w:rPr>
            </w:pPr>
            <w:r w:rsidRPr="00441BE2">
              <w:rPr>
                <w:rFonts w:ascii="Cambria" w:hAnsi="Cambria" w:cs="Cambria"/>
                <w:color w:val="000000"/>
                <w:sz w:val="16"/>
                <w:szCs w:val="16"/>
                <w:lang w:eastAsia="en-AU"/>
              </w:rPr>
              <w:t> </w:t>
            </w:r>
          </w:p>
        </w:tc>
        <w:tc>
          <w:tcPr>
            <w:tcW w:w="2551" w:type="dxa"/>
            <w:tcBorders>
              <w:top w:val="nil"/>
              <w:left w:val="nil"/>
              <w:bottom w:val="single" w:sz="4" w:space="0" w:color="FF0000"/>
              <w:right w:val="nil"/>
            </w:tcBorders>
            <w:noWrap/>
            <w:vAlign w:val="bottom"/>
            <w:hideMark/>
          </w:tcPr>
          <w:p w14:paraId="3A75AFCD" w14:textId="77777777" w:rsidR="0061369C" w:rsidRPr="00441BE2" w:rsidRDefault="0061369C">
            <w:pPr>
              <w:spacing w:after="0"/>
              <w:rPr>
                <w:rFonts w:cs="Calibri"/>
                <w:color w:val="000000"/>
                <w:sz w:val="16"/>
                <w:szCs w:val="16"/>
                <w:lang w:eastAsia="en-AU"/>
              </w:rPr>
            </w:pPr>
            <w:r w:rsidRPr="00441BE2">
              <w:rPr>
                <w:rFonts w:ascii="Cambria" w:hAnsi="Cambria" w:cs="Cambria"/>
                <w:color w:val="000000"/>
                <w:sz w:val="16"/>
                <w:szCs w:val="16"/>
                <w:lang w:eastAsia="en-AU"/>
              </w:rPr>
              <w:t> </w:t>
            </w:r>
          </w:p>
        </w:tc>
        <w:tc>
          <w:tcPr>
            <w:tcW w:w="2249" w:type="dxa"/>
            <w:tcBorders>
              <w:top w:val="nil"/>
              <w:left w:val="single" w:sz="12" w:space="0" w:color="00B050"/>
              <w:bottom w:val="single" w:sz="4" w:space="0" w:color="FF0000"/>
              <w:right w:val="single" w:sz="4" w:space="0" w:color="FF0000"/>
            </w:tcBorders>
            <w:noWrap/>
            <w:vAlign w:val="bottom"/>
            <w:hideMark/>
          </w:tcPr>
          <w:p w14:paraId="4FE624F0" w14:textId="77777777" w:rsidR="0061369C" w:rsidRPr="00441BE2" w:rsidRDefault="0061369C">
            <w:pPr>
              <w:spacing w:after="0"/>
              <w:rPr>
                <w:rFonts w:cs="Calibri"/>
                <w:color w:val="000000"/>
                <w:sz w:val="16"/>
                <w:szCs w:val="16"/>
                <w:lang w:eastAsia="en-AU"/>
              </w:rPr>
            </w:pPr>
            <w:r w:rsidRPr="00441BE2">
              <w:rPr>
                <w:rFonts w:ascii="Cambria" w:hAnsi="Cambria" w:cs="Cambria"/>
                <w:color w:val="000000"/>
                <w:sz w:val="16"/>
                <w:szCs w:val="16"/>
                <w:lang w:eastAsia="en-AU"/>
              </w:rPr>
              <w:t> </w:t>
            </w:r>
          </w:p>
        </w:tc>
        <w:tc>
          <w:tcPr>
            <w:tcW w:w="2551" w:type="dxa"/>
            <w:tcBorders>
              <w:top w:val="nil"/>
              <w:left w:val="nil"/>
              <w:bottom w:val="single" w:sz="4" w:space="0" w:color="FF0000"/>
              <w:right w:val="single" w:sz="12" w:space="0" w:color="00B050"/>
            </w:tcBorders>
            <w:noWrap/>
            <w:vAlign w:val="bottom"/>
            <w:hideMark/>
          </w:tcPr>
          <w:p w14:paraId="4B23E061" w14:textId="77777777" w:rsidR="0061369C" w:rsidRPr="00441BE2" w:rsidRDefault="0061369C">
            <w:pPr>
              <w:spacing w:after="0"/>
              <w:rPr>
                <w:rFonts w:cs="Calibri"/>
                <w:color w:val="000000"/>
                <w:sz w:val="16"/>
                <w:szCs w:val="16"/>
                <w:lang w:eastAsia="en-AU"/>
              </w:rPr>
            </w:pPr>
            <w:r w:rsidRPr="00441BE2">
              <w:rPr>
                <w:rFonts w:ascii="Cambria" w:hAnsi="Cambria" w:cs="Cambria"/>
                <w:color w:val="000000"/>
                <w:sz w:val="16"/>
                <w:szCs w:val="16"/>
                <w:lang w:eastAsia="en-AU"/>
              </w:rPr>
              <w:t> </w:t>
            </w:r>
          </w:p>
        </w:tc>
        <w:tc>
          <w:tcPr>
            <w:tcW w:w="2400" w:type="dxa"/>
            <w:tcBorders>
              <w:top w:val="nil"/>
              <w:left w:val="nil"/>
              <w:bottom w:val="single" w:sz="4" w:space="0" w:color="808080"/>
              <w:right w:val="nil"/>
            </w:tcBorders>
            <w:noWrap/>
            <w:vAlign w:val="bottom"/>
            <w:hideMark/>
          </w:tcPr>
          <w:p w14:paraId="3A63D73C" w14:textId="77777777" w:rsidR="0061369C" w:rsidRPr="00441BE2" w:rsidRDefault="0061369C">
            <w:pPr>
              <w:spacing w:after="0"/>
              <w:rPr>
                <w:rFonts w:cs="Calibri"/>
                <w:color w:val="000000"/>
                <w:sz w:val="16"/>
                <w:szCs w:val="16"/>
                <w:lang w:eastAsia="en-AU"/>
              </w:rPr>
            </w:pPr>
            <w:r w:rsidRPr="00441BE2">
              <w:rPr>
                <w:rFonts w:ascii="Cambria" w:hAnsi="Cambria" w:cs="Cambria"/>
                <w:color w:val="000000"/>
                <w:sz w:val="16"/>
                <w:szCs w:val="16"/>
                <w:lang w:eastAsia="en-AU"/>
              </w:rPr>
              <w:t> </w:t>
            </w:r>
          </w:p>
        </w:tc>
      </w:tr>
      <w:tr w:rsidR="0061369C" w:rsidRPr="00604C42" w14:paraId="2AF88B5C" w14:textId="77777777" w:rsidTr="005D0CAC">
        <w:trPr>
          <w:trHeight w:val="315"/>
        </w:trPr>
        <w:tc>
          <w:tcPr>
            <w:tcW w:w="2400" w:type="dxa"/>
            <w:tcBorders>
              <w:top w:val="nil"/>
              <w:left w:val="single" w:sz="4" w:space="0" w:color="FF0000"/>
              <w:bottom w:val="single" w:sz="4" w:space="0" w:color="FF0000"/>
              <w:right w:val="nil"/>
            </w:tcBorders>
            <w:vAlign w:val="center"/>
            <w:hideMark/>
          </w:tcPr>
          <w:p w14:paraId="2517C02B" w14:textId="77777777" w:rsidR="0061369C" w:rsidRPr="00441BE2" w:rsidRDefault="0061369C">
            <w:pPr>
              <w:spacing w:after="0"/>
              <w:rPr>
                <w:rFonts w:cs="Calibri"/>
                <w:color w:val="000000"/>
                <w:sz w:val="16"/>
                <w:szCs w:val="16"/>
                <w:lang w:eastAsia="en-AU"/>
              </w:rPr>
            </w:pPr>
            <w:r w:rsidRPr="00441BE2">
              <w:rPr>
                <w:rFonts w:cs="Calibri"/>
                <w:color w:val="000000"/>
                <w:sz w:val="16"/>
                <w:szCs w:val="16"/>
                <w:lang w:eastAsia="en-AU"/>
              </w:rPr>
              <w:t>Cadets</w:t>
            </w:r>
          </w:p>
        </w:tc>
        <w:tc>
          <w:tcPr>
            <w:tcW w:w="2249" w:type="dxa"/>
            <w:tcBorders>
              <w:top w:val="nil"/>
              <w:left w:val="single" w:sz="12" w:space="0" w:color="FF0000"/>
              <w:bottom w:val="single" w:sz="4" w:space="0" w:color="FF0000"/>
              <w:right w:val="single" w:sz="4" w:space="0" w:color="FF0000"/>
            </w:tcBorders>
            <w:noWrap/>
            <w:vAlign w:val="bottom"/>
            <w:hideMark/>
          </w:tcPr>
          <w:p w14:paraId="1B33F18A" w14:textId="77777777" w:rsidR="0061369C" w:rsidRPr="00441BE2" w:rsidRDefault="0061369C">
            <w:pPr>
              <w:spacing w:after="0"/>
              <w:rPr>
                <w:rFonts w:cs="Calibri"/>
                <w:color w:val="000000"/>
                <w:sz w:val="16"/>
                <w:szCs w:val="16"/>
                <w:lang w:eastAsia="en-AU"/>
              </w:rPr>
            </w:pPr>
            <w:r w:rsidRPr="00441BE2">
              <w:rPr>
                <w:rFonts w:ascii="Cambria" w:hAnsi="Cambria" w:cs="Cambria"/>
                <w:color w:val="000000"/>
                <w:sz w:val="16"/>
                <w:szCs w:val="16"/>
                <w:lang w:eastAsia="en-AU"/>
              </w:rPr>
              <w:t> </w:t>
            </w:r>
          </w:p>
        </w:tc>
        <w:tc>
          <w:tcPr>
            <w:tcW w:w="2551" w:type="dxa"/>
            <w:tcBorders>
              <w:top w:val="nil"/>
              <w:left w:val="nil"/>
              <w:bottom w:val="single" w:sz="4" w:space="0" w:color="FF0000"/>
              <w:right w:val="nil"/>
            </w:tcBorders>
            <w:noWrap/>
            <w:vAlign w:val="bottom"/>
            <w:hideMark/>
          </w:tcPr>
          <w:p w14:paraId="32C5EC49" w14:textId="77777777" w:rsidR="0061369C" w:rsidRPr="00441BE2" w:rsidRDefault="0061369C">
            <w:pPr>
              <w:spacing w:after="0"/>
              <w:rPr>
                <w:rFonts w:cs="Calibri"/>
                <w:color w:val="000000"/>
                <w:sz w:val="16"/>
                <w:szCs w:val="16"/>
                <w:lang w:eastAsia="en-AU"/>
              </w:rPr>
            </w:pPr>
            <w:r w:rsidRPr="00441BE2">
              <w:rPr>
                <w:rFonts w:ascii="Cambria" w:hAnsi="Cambria" w:cs="Cambria"/>
                <w:color w:val="000000"/>
                <w:sz w:val="16"/>
                <w:szCs w:val="16"/>
                <w:lang w:eastAsia="en-AU"/>
              </w:rPr>
              <w:t> </w:t>
            </w:r>
          </w:p>
        </w:tc>
        <w:tc>
          <w:tcPr>
            <w:tcW w:w="2249" w:type="dxa"/>
            <w:tcBorders>
              <w:top w:val="nil"/>
              <w:left w:val="single" w:sz="12" w:space="0" w:color="00B050"/>
              <w:bottom w:val="single" w:sz="4" w:space="0" w:color="FF0000"/>
              <w:right w:val="single" w:sz="4" w:space="0" w:color="FF0000"/>
            </w:tcBorders>
            <w:noWrap/>
            <w:vAlign w:val="bottom"/>
            <w:hideMark/>
          </w:tcPr>
          <w:p w14:paraId="6E068C5A" w14:textId="77777777" w:rsidR="0061369C" w:rsidRPr="00441BE2" w:rsidRDefault="0061369C">
            <w:pPr>
              <w:spacing w:after="0"/>
              <w:rPr>
                <w:rFonts w:cs="Calibri"/>
                <w:color w:val="000000"/>
                <w:sz w:val="16"/>
                <w:szCs w:val="16"/>
                <w:lang w:eastAsia="en-AU"/>
              </w:rPr>
            </w:pPr>
            <w:r w:rsidRPr="00441BE2">
              <w:rPr>
                <w:rFonts w:ascii="Cambria" w:hAnsi="Cambria" w:cs="Cambria"/>
                <w:color w:val="000000"/>
                <w:sz w:val="16"/>
                <w:szCs w:val="16"/>
                <w:lang w:eastAsia="en-AU"/>
              </w:rPr>
              <w:t> </w:t>
            </w:r>
          </w:p>
        </w:tc>
        <w:tc>
          <w:tcPr>
            <w:tcW w:w="2551" w:type="dxa"/>
            <w:tcBorders>
              <w:top w:val="nil"/>
              <w:left w:val="nil"/>
              <w:bottom w:val="single" w:sz="4" w:space="0" w:color="FF0000"/>
              <w:right w:val="single" w:sz="12" w:space="0" w:color="00B050"/>
            </w:tcBorders>
            <w:noWrap/>
            <w:vAlign w:val="bottom"/>
            <w:hideMark/>
          </w:tcPr>
          <w:p w14:paraId="0C433EC0" w14:textId="77777777" w:rsidR="0061369C" w:rsidRPr="00441BE2" w:rsidRDefault="0061369C">
            <w:pPr>
              <w:spacing w:after="0"/>
              <w:rPr>
                <w:rFonts w:cs="Calibri"/>
                <w:color w:val="000000"/>
                <w:sz w:val="16"/>
                <w:szCs w:val="16"/>
                <w:lang w:eastAsia="en-AU"/>
              </w:rPr>
            </w:pPr>
            <w:r w:rsidRPr="00441BE2">
              <w:rPr>
                <w:rFonts w:ascii="Cambria" w:hAnsi="Cambria" w:cs="Cambria"/>
                <w:color w:val="000000"/>
                <w:sz w:val="16"/>
                <w:szCs w:val="16"/>
                <w:lang w:eastAsia="en-AU"/>
              </w:rPr>
              <w:t> </w:t>
            </w:r>
          </w:p>
        </w:tc>
        <w:tc>
          <w:tcPr>
            <w:tcW w:w="2400" w:type="dxa"/>
            <w:tcBorders>
              <w:top w:val="nil"/>
              <w:left w:val="nil"/>
              <w:bottom w:val="single" w:sz="4" w:space="0" w:color="808080"/>
              <w:right w:val="nil"/>
            </w:tcBorders>
            <w:noWrap/>
            <w:vAlign w:val="bottom"/>
            <w:hideMark/>
          </w:tcPr>
          <w:p w14:paraId="0ACB0E84" w14:textId="77777777" w:rsidR="0061369C" w:rsidRPr="00441BE2" w:rsidRDefault="0061369C">
            <w:pPr>
              <w:spacing w:after="0"/>
              <w:rPr>
                <w:rFonts w:cs="Calibri"/>
                <w:color w:val="000000"/>
                <w:sz w:val="16"/>
                <w:szCs w:val="16"/>
                <w:lang w:eastAsia="en-AU"/>
              </w:rPr>
            </w:pPr>
            <w:r w:rsidRPr="00441BE2">
              <w:rPr>
                <w:rFonts w:ascii="Cambria" w:hAnsi="Cambria" w:cs="Cambria"/>
                <w:color w:val="000000"/>
                <w:sz w:val="16"/>
                <w:szCs w:val="16"/>
                <w:lang w:eastAsia="en-AU"/>
              </w:rPr>
              <w:t> </w:t>
            </w:r>
          </w:p>
        </w:tc>
      </w:tr>
      <w:tr w:rsidR="0061369C" w:rsidRPr="00604C42" w14:paraId="2A3F56A9" w14:textId="77777777" w:rsidTr="005D0CAC">
        <w:trPr>
          <w:trHeight w:val="315"/>
        </w:trPr>
        <w:tc>
          <w:tcPr>
            <w:tcW w:w="2400" w:type="dxa"/>
            <w:tcBorders>
              <w:top w:val="nil"/>
              <w:left w:val="single" w:sz="4" w:space="0" w:color="FF0000"/>
              <w:bottom w:val="single" w:sz="4" w:space="0" w:color="FF0000"/>
              <w:right w:val="nil"/>
            </w:tcBorders>
            <w:vAlign w:val="center"/>
            <w:hideMark/>
          </w:tcPr>
          <w:p w14:paraId="1C07251C" w14:textId="77777777" w:rsidR="0061369C" w:rsidRPr="00441BE2" w:rsidRDefault="0061369C">
            <w:pPr>
              <w:spacing w:after="0"/>
              <w:rPr>
                <w:rFonts w:cs="Calibri"/>
                <w:color w:val="000000"/>
                <w:sz w:val="16"/>
                <w:szCs w:val="16"/>
                <w:lang w:eastAsia="en-AU"/>
              </w:rPr>
            </w:pPr>
            <w:r w:rsidRPr="00441BE2">
              <w:rPr>
                <w:rFonts w:cs="Calibri"/>
                <w:color w:val="000000"/>
                <w:sz w:val="16"/>
                <w:szCs w:val="16"/>
                <w:lang w:eastAsia="en-AU"/>
              </w:rPr>
              <w:t>Standard Employees</w:t>
            </w:r>
          </w:p>
        </w:tc>
        <w:tc>
          <w:tcPr>
            <w:tcW w:w="2249" w:type="dxa"/>
            <w:tcBorders>
              <w:top w:val="nil"/>
              <w:left w:val="single" w:sz="12" w:space="0" w:color="FF0000"/>
              <w:bottom w:val="single" w:sz="4" w:space="0" w:color="FF0000"/>
              <w:right w:val="single" w:sz="4" w:space="0" w:color="FF0000"/>
            </w:tcBorders>
            <w:noWrap/>
            <w:vAlign w:val="bottom"/>
            <w:hideMark/>
          </w:tcPr>
          <w:p w14:paraId="59277119" w14:textId="77777777" w:rsidR="0061369C" w:rsidRPr="00441BE2" w:rsidRDefault="0061369C">
            <w:pPr>
              <w:spacing w:after="0"/>
              <w:rPr>
                <w:rFonts w:cs="Calibri"/>
                <w:color w:val="000000"/>
                <w:sz w:val="16"/>
                <w:szCs w:val="16"/>
                <w:lang w:eastAsia="en-AU"/>
              </w:rPr>
            </w:pPr>
            <w:r w:rsidRPr="00441BE2">
              <w:rPr>
                <w:rFonts w:ascii="Cambria" w:hAnsi="Cambria" w:cs="Cambria"/>
                <w:color w:val="000000"/>
                <w:sz w:val="16"/>
                <w:szCs w:val="16"/>
                <w:lang w:eastAsia="en-AU"/>
              </w:rPr>
              <w:t> </w:t>
            </w:r>
          </w:p>
        </w:tc>
        <w:tc>
          <w:tcPr>
            <w:tcW w:w="2551" w:type="dxa"/>
            <w:tcBorders>
              <w:top w:val="nil"/>
              <w:left w:val="nil"/>
              <w:bottom w:val="single" w:sz="4" w:space="0" w:color="FF0000"/>
              <w:right w:val="nil"/>
            </w:tcBorders>
            <w:noWrap/>
            <w:vAlign w:val="bottom"/>
            <w:hideMark/>
          </w:tcPr>
          <w:p w14:paraId="592AA253" w14:textId="77777777" w:rsidR="0061369C" w:rsidRPr="00441BE2" w:rsidRDefault="0061369C">
            <w:pPr>
              <w:spacing w:after="0"/>
              <w:rPr>
                <w:rFonts w:cs="Calibri"/>
                <w:color w:val="000000"/>
                <w:sz w:val="16"/>
                <w:szCs w:val="16"/>
                <w:lang w:eastAsia="en-AU"/>
              </w:rPr>
            </w:pPr>
            <w:r w:rsidRPr="00441BE2">
              <w:rPr>
                <w:rFonts w:ascii="Cambria" w:hAnsi="Cambria" w:cs="Cambria"/>
                <w:color w:val="000000"/>
                <w:sz w:val="16"/>
                <w:szCs w:val="16"/>
                <w:lang w:eastAsia="en-AU"/>
              </w:rPr>
              <w:t> </w:t>
            </w:r>
          </w:p>
        </w:tc>
        <w:tc>
          <w:tcPr>
            <w:tcW w:w="2249" w:type="dxa"/>
            <w:tcBorders>
              <w:top w:val="nil"/>
              <w:left w:val="single" w:sz="12" w:space="0" w:color="00B050"/>
              <w:bottom w:val="single" w:sz="4" w:space="0" w:color="FF0000"/>
              <w:right w:val="single" w:sz="4" w:space="0" w:color="FF0000"/>
            </w:tcBorders>
            <w:noWrap/>
            <w:vAlign w:val="bottom"/>
            <w:hideMark/>
          </w:tcPr>
          <w:p w14:paraId="53A2269D" w14:textId="77777777" w:rsidR="0061369C" w:rsidRPr="00441BE2" w:rsidRDefault="0061369C">
            <w:pPr>
              <w:spacing w:after="0"/>
              <w:rPr>
                <w:rFonts w:cs="Calibri"/>
                <w:color w:val="000000"/>
                <w:sz w:val="16"/>
                <w:szCs w:val="16"/>
                <w:lang w:eastAsia="en-AU"/>
              </w:rPr>
            </w:pPr>
            <w:r w:rsidRPr="00441BE2">
              <w:rPr>
                <w:rFonts w:ascii="Cambria" w:hAnsi="Cambria" w:cs="Cambria"/>
                <w:color w:val="000000"/>
                <w:sz w:val="16"/>
                <w:szCs w:val="16"/>
                <w:lang w:eastAsia="en-AU"/>
              </w:rPr>
              <w:t> </w:t>
            </w:r>
          </w:p>
        </w:tc>
        <w:tc>
          <w:tcPr>
            <w:tcW w:w="2551" w:type="dxa"/>
            <w:tcBorders>
              <w:top w:val="nil"/>
              <w:left w:val="nil"/>
              <w:bottom w:val="single" w:sz="4" w:space="0" w:color="FF0000"/>
              <w:right w:val="single" w:sz="12" w:space="0" w:color="00B050"/>
            </w:tcBorders>
            <w:noWrap/>
            <w:vAlign w:val="bottom"/>
            <w:hideMark/>
          </w:tcPr>
          <w:p w14:paraId="0EB0346C" w14:textId="77777777" w:rsidR="0061369C" w:rsidRPr="00441BE2" w:rsidRDefault="0061369C">
            <w:pPr>
              <w:spacing w:after="0"/>
              <w:rPr>
                <w:rFonts w:cs="Calibri"/>
                <w:color w:val="000000"/>
                <w:sz w:val="16"/>
                <w:szCs w:val="16"/>
                <w:lang w:eastAsia="en-AU"/>
              </w:rPr>
            </w:pPr>
            <w:r w:rsidRPr="00441BE2">
              <w:rPr>
                <w:rFonts w:ascii="Cambria" w:hAnsi="Cambria" w:cs="Cambria"/>
                <w:color w:val="000000"/>
                <w:sz w:val="16"/>
                <w:szCs w:val="16"/>
                <w:lang w:eastAsia="en-AU"/>
              </w:rPr>
              <w:t> </w:t>
            </w:r>
          </w:p>
        </w:tc>
        <w:tc>
          <w:tcPr>
            <w:tcW w:w="2400" w:type="dxa"/>
            <w:tcBorders>
              <w:top w:val="nil"/>
              <w:left w:val="nil"/>
              <w:bottom w:val="single" w:sz="4" w:space="0" w:color="808080"/>
              <w:right w:val="nil"/>
            </w:tcBorders>
            <w:noWrap/>
            <w:vAlign w:val="bottom"/>
            <w:hideMark/>
          </w:tcPr>
          <w:p w14:paraId="18D7CF7B" w14:textId="77777777" w:rsidR="0061369C" w:rsidRPr="00441BE2" w:rsidRDefault="0061369C">
            <w:pPr>
              <w:spacing w:after="0"/>
              <w:rPr>
                <w:rFonts w:cs="Calibri"/>
                <w:color w:val="000000"/>
                <w:sz w:val="16"/>
                <w:szCs w:val="16"/>
                <w:lang w:eastAsia="en-AU"/>
              </w:rPr>
            </w:pPr>
            <w:r w:rsidRPr="00441BE2">
              <w:rPr>
                <w:rFonts w:ascii="Cambria" w:hAnsi="Cambria" w:cs="Cambria"/>
                <w:color w:val="000000"/>
                <w:sz w:val="16"/>
                <w:szCs w:val="16"/>
                <w:lang w:eastAsia="en-AU"/>
              </w:rPr>
              <w:t> </w:t>
            </w:r>
          </w:p>
        </w:tc>
      </w:tr>
      <w:tr w:rsidR="0061369C" w:rsidRPr="00604C42" w14:paraId="6295CB87" w14:textId="77777777" w:rsidTr="005D0CAC">
        <w:trPr>
          <w:trHeight w:val="330"/>
        </w:trPr>
        <w:tc>
          <w:tcPr>
            <w:tcW w:w="2400" w:type="dxa"/>
            <w:tcBorders>
              <w:top w:val="nil"/>
              <w:left w:val="single" w:sz="4" w:space="0" w:color="FF0000"/>
              <w:bottom w:val="single" w:sz="4" w:space="0" w:color="FF0000"/>
              <w:right w:val="nil"/>
            </w:tcBorders>
            <w:shd w:val="clear" w:color="000000" w:fill="F2F2F2"/>
            <w:vAlign w:val="center"/>
            <w:hideMark/>
          </w:tcPr>
          <w:p w14:paraId="5AEC54FB" w14:textId="77777777" w:rsidR="0061369C" w:rsidRPr="00441BE2" w:rsidRDefault="0061369C">
            <w:pPr>
              <w:spacing w:after="0"/>
              <w:rPr>
                <w:rFonts w:cs="Calibri"/>
                <w:b/>
                <w:bCs/>
                <w:i/>
                <w:iCs/>
                <w:color w:val="000000"/>
                <w:sz w:val="16"/>
                <w:szCs w:val="16"/>
                <w:lang w:eastAsia="en-AU"/>
              </w:rPr>
            </w:pPr>
            <w:r w:rsidRPr="00441BE2">
              <w:rPr>
                <w:rFonts w:cs="Calibri"/>
                <w:b/>
                <w:bCs/>
                <w:i/>
                <w:iCs/>
                <w:color w:val="000000"/>
                <w:sz w:val="16"/>
                <w:szCs w:val="16"/>
                <w:lang w:eastAsia="en-AU"/>
              </w:rPr>
              <w:t>Grand Total</w:t>
            </w:r>
          </w:p>
        </w:tc>
        <w:tc>
          <w:tcPr>
            <w:tcW w:w="2249" w:type="dxa"/>
            <w:tcBorders>
              <w:top w:val="nil"/>
              <w:left w:val="single" w:sz="12" w:space="0" w:color="FF0000"/>
              <w:bottom w:val="single" w:sz="12" w:space="0" w:color="FF0000"/>
              <w:right w:val="single" w:sz="4" w:space="0" w:color="FF0000"/>
            </w:tcBorders>
            <w:shd w:val="clear" w:color="000000" w:fill="F2F2F2"/>
            <w:noWrap/>
            <w:vAlign w:val="center"/>
            <w:hideMark/>
          </w:tcPr>
          <w:p w14:paraId="3784F4E1" w14:textId="77777777" w:rsidR="0061369C" w:rsidRPr="00441BE2" w:rsidRDefault="0061369C">
            <w:pPr>
              <w:spacing w:after="0"/>
              <w:jc w:val="center"/>
              <w:rPr>
                <w:rFonts w:cs="Calibri"/>
                <w:b/>
                <w:bCs/>
                <w:i/>
                <w:iCs/>
                <w:color w:val="000000"/>
                <w:sz w:val="16"/>
                <w:szCs w:val="16"/>
                <w:lang w:eastAsia="en-AU"/>
              </w:rPr>
            </w:pPr>
            <w:r w:rsidRPr="00441BE2">
              <w:rPr>
                <w:rFonts w:cs="Calibri"/>
                <w:b/>
                <w:bCs/>
                <w:i/>
                <w:iCs/>
                <w:color w:val="000000"/>
                <w:sz w:val="16"/>
                <w:szCs w:val="16"/>
                <w:lang w:eastAsia="en-AU"/>
              </w:rPr>
              <w:t>0</w:t>
            </w:r>
          </w:p>
        </w:tc>
        <w:tc>
          <w:tcPr>
            <w:tcW w:w="2551" w:type="dxa"/>
            <w:tcBorders>
              <w:top w:val="nil"/>
              <w:left w:val="nil"/>
              <w:bottom w:val="single" w:sz="12" w:space="0" w:color="FF0000"/>
              <w:right w:val="nil"/>
            </w:tcBorders>
            <w:shd w:val="clear" w:color="000000" w:fill="F2F2F2"/>
            <w:noWrap/>
            <w:vAlign w:val="center"/>
            <w:hideMark/>
          </w:tcPr>
          <w:p w14:paraId="02B33176" w14:textId="77777777" w:rsidR="0061369C" w:rsidRPr="00441BE2" w:rsidRDefault="0061369C">
            <w:pPr>
              <w:spacing w:after="0"/>
              <w:jc w:val="center"/>
              <w:rPr>
                <w:rFonts w:cs="Calibri"/>
                <w:b/>
                <w:bCs/>
                <w:i/>
                <w:iCs/>
                <w:color w:val="000000"/>
                <w:sz w:val="16"/>
                <w:szCs w:val="16"/>
                <w:lang w:eastAsia="en-AU"/>
              </w:rPr>
            </w:pPr>
            <w:r w:rsidRPr="00441BE2">
              <w:rPr>
                <w:rFonts w:cs="Calibri"/>
                <w:b/>
                <w:bCs/>
                <w:i/>
                <w:iCs/>
                <w:color w:val="000000"/>
                <w:sz w:val="16"/>
                <w:szCs w:val="16"/>
                <w:lang w:eastAsia="en-AU"/>
              </w:rPr>
              <w:t>0</w:t>
            </w:r>
          </w:p>
        </w:tc>
        <w:tc>
          <w:tcPr>
            <w:tcW w:w="2249" w:type="dxa"/>
            <w:tcBorders>
              <w:top w:val="nil"/>
              <w:left w:val="single" w:sz="12" w:space="0" w:color="00B050"/>
              <w:bottom w:val="single" w:sz="12" w:space="0" w:color="00B050"/>
              <w:right w:val="single" w:sz="4" w:space="0" w:color="FF0000"/>
            </w:tcBorders>
            <w:shd w:val="clear" w:color="000000" w:fill="F2F2F2"/>
            <w:noWrap/>
            <w:vAlign w:val="center"/>
            <w:hideMark/>
          </w:tcPr>
          <w:p w14:paraId="2F7D278D" w14:textId="77777777" w:rsidR="0061369C" w:rsidRPr="00441BE2" w:rsidRDefault="0061369C">
            <w:pPr>
              <w:spacing w:after="0"/>
              <w:jc w:val="center"/>
              <w:rPr>
                <w:rFonts w:cs="Calibri"/>
                <w:b/>
                <w:bCs/>
                <w:i/>
                <w:iCs/>
                <w:color w:val="000000"/>
                <w:sz w:val="16"/>
                <w:szCs w:val="16"/>
                <w:lang w:eastAsia="en-AU"/>
              </w:rPr>
            </w:pPr>
            <w:r w:rsidRPr="00441BE2">
              <w:rPr>
                <w:rFonts w:cs="Calibri"/>
                <w:b/>
                <w:bCs/>
                <w:i/>
                <w:iCs/>
                <w:color w:val="000000"/>
                <w:sz w:val="16"/>
                <w:szCs w:val="16"/>
                <w:lang w:eastAsia="en-AU"/>
              </w:rPr>
              <w:t>0</w:t>
            </w:r>
          </w:p>
        </w:tc>
        <w:tc>
          <w:tcPr>
            <w:tcW w:w="2551" w:type="dxa"/>
            <w:tcBorders>
              <w:top w:val="nil"/>
              <w:left w:val="nil"/>
              <w:bottom w:val="single" w:sz="12" w:space="0" w:color="00B050"/>
              <w:right w:val="single" w:sz="12" w:space="0" w:color="00B050"/>
            </w:tcBorders>
            <w:shd w:val="clear" w:color="000000" w:fill="F2F2F2"/>
            <w:noWrap/>
            <w:vAlign w:val="center"/>
            <w:hideMark/>
          </w:tcPr>
          <w:p w14:paraId="6F632217" w14:textId="77777777" w:rsidR="0061369C" w:rsidRPr="00441BE2" w:rsidRDefault="0061369C">
            <w:pPr>
              <w:spacing w:after="0"/>
              <w:jc w:val="center"/>
              <w:rPr>
                <w:rFonts w:cs="Calibri"/>
                <w:b/>
                <w:bCs/>
                <w:i/>
                <w:iCs/>
                <w:color w:val="000000"/>
                <w:sz w:val="16"/>
                <w:szCs w:val="16"/>
                <w:lang w:eastAsia="en-AU"/>
              </w:rPr>
            </w:pPr>
            <w:r w:rsidRPr="00441BE2">
              <w:rPr>
                <w:rFonts w:cs="Calibri"/>
                <w:b/>
                <w:bCs/>
                <w:i/>
                <w:iCs/>
                <w:color w:val="000000"/>
                <w:sz w:val="16"/>
                <w:szCs w:val="16"/>
                <w:lang w:eastAsia="en-AU"/>
              </w:rPr>
              <w:t>0</w:t>
            </w:r>
          </w:p>
        </w:tc>
        <w:tc>
          <w:tcPr>
            <w:tcW w:w="2400" w:type="dxa"/>
            <w:tcBorders>
              <w:top w:val="nil"/>
              <w:left w:val="nil"/>
              <w:bottom w:val="single" w:sz="4" w:space="0" w:color="808080"/>
              <w:right w:val="nil"/>
            </w:tcBorders>
            <w:noWrap/>
            <w:vAlign w:val="bottom"/>
            <w:hideMark/>
          </w:tcPr>
          <w:p w14:paraId="491FC357" w14:textId="77777777" w:rsidR="0061369C" w:rsidRPr="00441BE2" w:rsidRDefault="0061369C">
            <w:pPr>
              <w:spacing w:after="0"/>
              <w:rPr>
                <w:rFonts w:cs="Calibri"/>
                <w:color w:val="000000"/>
                <w:sz w:val="16"/>
                <w:szCs w:val="16"/>
                <w:lang w:eastAsia="en-AU"/>
              </w:rPr>
            </w:pPr>
            <w:r w:rsidRPr="00441BE2">
              <w:rPr>
                <w:rFonts w:ascii="Cambria" w:hAnsi="Cambria" w:cs="Cambria"/>
                <w:color w:val="000000"/>
                <w:sz w:val="16"/>
                <w:szCs w:val="16"/>
                <w:lang w:eastAsia="en-AU"/>
              </w:rPr>
              <w:t> </w:t>
            </w:r>
          </w:p>
        </w:tc>
      </w:tr>
    </w:tbl>
    <w:p w14:paraId="27ADDB9A" w14:textId="77777777" w:rsidR="0061369C" w:rsidRPr="00441BE2" w:rsidRDefault="0061369C" w:rsidP="0061369C">
      <w:pPr>
        <w:rPr>
          <w:noProof/>
          <w:lang w:eastAsia="en-AU"/>
        </w:rPr>
        <w:sectPr w:rsidR="0061369C" w:rsidRPr="00441BE2">
          <w:pgSz w:w="16838" w:h="11906" w:orient="landscape"/>
          <w:pgMar w:top="1056" w:right="1440" w:bottom="1440" w:left="1440" w:header="709" w:footer="136" w:gutter="0"/>
          <w:cols w:space="708"/>
          <w:titlePg/>
          <w:docGrid w:linePitch="360"/>
        </w:sectPr>
      </w:pPr>
    </w:p>
    <w:p w14:paraId="608C04CD" w14:textId="610A32F4" w:rsidR="000A0C98" w:rsidRPr="00042ADB" w:rsidRDefault="000A0C98" w:rsidP="00803862">
      <w:pPr>
        <w:pStyle w:val="Heading2"/>
        <w:numPr>
          <w:ilvl w:val="0"/>
          <w:numId w:val="0"/>
        </w:numPr>
        <w:rPr>
          <w:sz w:val="24"/>
          <w:szCs w:val="24"/>
        </w:rPr>
      </w:pPr>
      <w:bookmarkStart w:id="4325" w:name="_Appendix_4:_Deemed"/>
      <w:bookmarkStart w:id="4326" w:name="_Appendix_3:_Deemed"/>
      <w:bookmarkStart w:id="4327" w:name="_Appendix_3:_Deemed_1"/>
      <w:bookmarkStart w:id="4328" w:name="_Toc109758859"/>
      <w:bookmarkStart w:id="4329" w:name="_Toc104552805"/>
      <w:bookmarkStart w:id="4330" w:name="_Toc110586908"/>
      <w:bookmarkStart w:id="4331" w:name="_Toc207868016"/>
      <w:bookmarkEnd w:id="4325"/>
      <w:bookmarkEnd w:id="4326"/>
      <w:bookmarkEnd w:id="4327"/>
      <w:r w:rsidRPr="00042ADB">
        <w:rPr>
          <w:sz w:val="24"/>
          <w:szCs w:val="24"/>
        </w:rPr>
        <w:t xml:space="preserve">Appendix </w:t>
      </w:r>
      <w:r w:rsidR="00483C87" w:rsidRPr="00042ADB">
        <w:rPr>
          <w:sz w:val="24"/>
          <w:szCs w:val="24"/>
        </w:rPr>
        <w:t>3</w:t>
      </w:r>
      <w:r w:rsidRPr="00042ADB">
        <w:rPr>
          <w:sz w:val="24"/>
          <w:szCs w:val="24"/>
        </w:rPr>
        <w:t>: Deemed Hours Formula (updated)</w:t>
      </w:r>
      <w:bookmarkEnd w:id="4328"/>
      <w:bookmarkEnd w:id="4329"/>
      <w:bookmarkEnd w:id="4330"/>
      <w:bookmarkEnd w:id="4331"/>
    </w:p>
    <w:p w14:paraId="76A1081B" w14:textId="0A259B65" w:rsidR="000A0C98" w:rsidRPr="00D70E8A" w:rsidRDefault="000A0C98" w:rsidP="000A0C98">
      <w:pPr>
        <w:jc w:val="both"/>
        <w:rPr>
          <w:rFonts w:cstheme="minorHAnsi"/>
          <w:b/>
          <w:bCs/>
          <w:szCs w:val="18"/>
          <w:lang w:val="en-US"/>
        </w:rPr>
      </w:pPr>
      <w:r w:rsidRPr="00D70E8A">
        <w:rPr>
          <w:rFonts w:cstheme="minorHAnsi"/>
          <w:b/>
          <w:bCs/>
          <w:szCs w:val="18"/>
          <w:lang w:val="en-US"/>
        </w:rPr>
        <w:t>Note that suppliers are no longer required to use the Deemed Hours Formula, which was previously used to calculate the MPSG requirement for all applicable projects.</w:t>
      </w:r>
    </w:p>
    <w:p w14:paraId="1AC0F9A2" w14:textId="2BB295CA" w:rsidR="000A0C98" w:rsidRPr="00D70E8A" w:rsidRDefault="000A0C98" w:rsidP="000A0C98">
      <w:pPr>
        <w:jc w:val="both"/>
        <w:rPr>
          <w:rFonts w:cstheme="minorHAnsi"/>
          <w:szCs w:val="18"/>
        </w:rPr>
      </w:pPr>
      <w:r w:rsidRPr="00D70E8A">
        <w:rPr>
          <w:rFonts w:cstheme="minorHAnsi"/>
          <w:szCs w:val="18"/>
          <w:lang w:val="en-US"/>
        </w:rPr>
        <w:t>The Deemed Hours Formula</w:t>
      </w:r>
      <w:r>
        <w:rPr>
          <w:rFonts w:cstheme="minorHAnsi"/>
          <w:szCs w:val="18"/>
          <w:lang w:val="en-US"/>
        </w:rPr>
        <w:t xml:space="preserve"> can be </w:t>
      </w:r>
      <w:r w:rsidRPr="00D70E8A">
        <w:rPr>
          <w:rFonts w:cstheme="minorHAnsi"/>
          <w:szCs w:val="18"/>
          <w:lang w:val="en-US"/>
        </w:rPr>
        <w:t xml:space="preserve">used to estimate a project’s total labour hours, based on the type and contract value of a project. </w:t>
      </w:r>
      <w:r w:rsidR="007F1932" w:rsidRPr="00042ADB">
        <w:rPr>
          <w:rFonts w:cstheme="minorHAnsi"/>
          <w:szCs w:val="18"/>
          <w:lang w:val="en-US"/>
        </w:rPr>
        <w:t>Suppliers may wish to use the deemed hours formula to estimate their employment numbers for the project or to sense check the employment numbers they have estimated using a separate methodology</w:t>
      </w:r>
      <w:r w:rsidRPr="00D70E8A">
        <w:rPr>
          <w:rFonts w:cstheme="minorHAnsi"/>
          <w:szCs w:val="18"/>
          <w:lang w:val="en-US"/>
        </w:rPr>
        <w:t xml:space="preserve">. Please note that this formula provides an indicative estimate of job numbers only and the individual nature of each project will </w:t>
      </w:r>
      <w:r w:rsidR="00143E46" w:rsidRPr="00D70E8A">
        <w:rPr>
          <w:rFonts w:cstheme="minorHAnsi"/>
          <w:szCs w:val="18"/>
          <w:lang w:val="en-US"/>
        </w:rPr>
        <w:t>impact on</w:t>
      </w:r>
      <w:r w:rsidRPr="00D70E8A">
        <w:rPr>
          <w:rFonts w:cstheme="minorHAnsi"/>
          <w:szCs w:val="18"/>
          <w:lang w:val="en-US"/>
        </w:rPr>
        <w:t xml:space="preserve"> job numbers.</w:t>
      </w:r>
    </w:p>
    <w:p w14:paraId="78357F36" w14:textId="41208EFE" w:rsidR="000A0C98" w:rsidRPr="00D70E8A" w:rsidRDefault="000A0C98" w:rsidP="000A0C98">
      <w:pPr>
        <w:jc w:val="both"/>
        <w:rPr>
          <w:rFonts w:cstheme="minorHAnsi"/>
          <w:b/>
          <w:szCs w:val="18"/>
        </w:rPr>
      </w:pPr>
      <w:r w:rsidRPr="00D70E8A">
        <w:rPr>
          <w:rFonts w:cstheme="minorHAnsi"/>
          <w:szCs w:val="18"/>
          <w:lang w:val="en-US"/>
        </w:rPr>
        <w:t xml:space="preserve">The ratios and rates used within the </w:t>
      </w:r>
      <w:r>
        <w:rPr>
          <w:rFonts w:cstheme="minorHAnsi"/>
          <w:szCs w:val="18"/>
          <w:lang w:val="en-US"/>
        </w:rPr>
        <w:t xml:space="preserve">updated </w:t>
      </w:r>
      <w:r w:rsidRPr="00D70E8A">
        <w:rPr>
          <w:rFonts w:cstheme="minorHAnsi"/>
          <w:szCs w:val="18"/>
          <w:lang w:val="en-US"/>
        </w:rPr>
        <w:t xml:space="preserve">Deemed Hours Formula vary with the type of project. Separate labour ratios and hourly rates are provided for building construction projects, civil and infrastructure projects, and for mixed building </w:t>
      </w:r>
      <w:r w:rsidRPr="00D70E8A">
        <w:rPr>
          <w:rFonts w:cstheme="minorHAnsi"/>
          <w:szCs w:val="18"/>
        </w:rPr>
        <w:t>and infrastructure construction projects based on industry data as detailed in the table below.</w:t>
      </w:r>
    </w:p>
    <w:tbl>
      <w:tblPr>
        <w:tblStyle w:val="ListTable3"/>
        <w:tblW w:w="9072" w:type="dxa"/>
        <w:tblInd w:w="-5" w:type="dxa"/>
        <w:tblLook w:val="04A0" w:firstRow="1" w:lastRow="0" w:firstColumn="1" w:lastColumn="0" w:noHBand="0" w:noVBand="1"/>
      </w:tblPr>
      <w:tblGrid>
        <w:gridCol w:w="2302"/>
        <w:gridCol w:w="3227"/>
        <w:gridCol w:w="1775"/>
        <w:gridCol w:w="1768"/>
      </w:tblGrid>
      <w:tr w:rsidR="001E3BD1" w:rsidRPr="00604C42" w14:paraId="5EF5BE57" w14:textId="77777777" w:rsidTr="00731F32">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302" w:type="dxa"/>
            <w:tcBorders>
              <w:top w:val="single" w:sz="4" w:space="0" w:color="201547" w:themeColor="text1"/>
              <w:left w:val="single" w:sz="4" w:space="0" w:color="201547" w:themeColor="text1"/>
              <w:bottom w:val="single" w:sz="4" w:space="0" w:color="201547" w:themeColor="text1"/>
            </w:tcBorders>
            <w:shd w:val="clear" w:color="auto" w:fill="707068" w:themeFill="background2" w:themeFillShade="80"/>
            <w:hideMark/>
          </w:tcPr>
          <w:p w14:paraId="375E1FC5" w14:textId="77777777" w:rsidR="000A0C98" w:rsidRPr="00D70E8A" w:rsidRDefault="000A0C98">
            <w:pPr>
              <w:rPr>
                <w:color w:val="FFFFFF" w:themeColor="background1"/>
              </w:rPr>
            </w:pPr>
            <w:r w:rsidRPr="00D70E8A">
              <w:rPr>
                <w:color w:val="FFFFFF" w:themeColor="background1"/>
              </w:rPr>
              <w:t>Project Type</w:t>
            </w:r>
          </w:p>
        </w:tc>
        <w:tc>
          <w:tcPr>
            <w:tcW w:w="3227" w:type="dxa"/>
            <w:tcBorders>
              <w:top w:val="single" w:sz="4" w:space="0" w:color="201547" w:themeColor="text1"/>
              <w:left w:val="nil"/>
              <w:bottom w:val="single" w:sz="4" w:space="0" w:color="201547" w:themeColor="text1"/>
              <w:right w:val="nil"/>
            </w:tcBorders>
            <w:shd w:val="clear" w:color="auto" w:fill="707068" w:themeFill="background2" w:themeFillShade="80"/>
            <w:hideMark/>
          </w:tcPr>
          <w:p w14:paraId="30F5AACC" w14:textId="77777777" w:rsidR="000A0C98" w:rsidRPr="00D70E8A" w:rsidRDefault="000A0C98">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D70E8A">
              <w:rPr>
                <w:color w:val="FFFFFF" w:themeColor="background1"/>
              </w:rPr>
              <w:t>Project Description</w:t>
            </w:r>
          </w:p>
        </w:tc>
        <w:tc>
          <w:tcPr>
            <w:tcW w:w="1775" w:type="dxa"/>
            <w:tcBorders>
              <w:top w:val="single" w:sz="4" w:space="0" w:color="201547" w:themeColor="text1"/>
              <w:left w:val="nil"/>
              <w:bottom w:val="single" w:sz="4" w:space="0" w:color="201547" w:themeColor="text1"/>
              <w:right w:val="nil"/>
            </w:tcBorders>
            <w:shd w:val="clear" w:color="auto" w:fill="707068" w:themeFill="background2" w:themeFillShade="80"/>
            <w:hideMark/>
          </w:tcPr>
          <w:p w14:paraId="5BA632F8" w14:textId="77777777" w:rsidR="000A0C98" w:rsidRPr="00D70E8A" w:rsidRDefault="000A0C98">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D70E8A">
              <w:rPr>
                <w:color w:val="FFFFFF" w:themeColor="background1"/>
              </w:rPr>
              <w:t>Deemed Labour Ratio</w:t>
            </w:r>
          </w:p>
        </w:tc>
        <w:tc>
          <w:tcPr>
            <w:tcW w:w="1768" w:type="dxa"/>
            <w:tcBorders>
              <w:top w:val="single" w:sz="4" w:space="0" w:color="201547" w:themeColor="text1"/>
              <w:left w:val="nil"/>
              <w:bottom w:val="single" w:sz="4" w:space="0" w:color="201547" w:themeColor="text1"/>
              <w:right w:val="single" w:sz="4" w:space="0" w:color="201547" w:themeColor="text1"/>
            </w:tcBorders>
            <w:shd w:val="clear" w:color="auto" w:fill="707068" w:themeFill="background2" w:themeFillShade="80"/>
            <w:hideMark/>
          </w:tcPr>
          <w:p w14:paraId="11FE2C4A" w14:textId="77777777" w:rsidR="000A0C98" w:rsidRPr="00D70E8A" w:rsidRDefault="000A0C98">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D70E8A">
              <w:rPr>
                <w:color w:val="FFFFFF" w:themeColor="background1"/>
              </w:rPr>
              <w:t>Deemed Hourly Rate</w:t>
            </w:r>
          </w:p>
        </w:tc>
      </w:tr>
      <w:tr w:rsidR="003504C0" w:rsidRPr="00604C42" w14:paraId="0F1DD6B5" w14:textId="77777777" w:rsidTr="00731F3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02" w:type="dxa"/>
            <w:tcBorders>
              <w:left w:val="single" w:sz="4" w:space="0" w:color="201547" w:themeColor="text1"/>
            </w:tcBorders>
            <w:hideMark/>
          </w:tcPr>
          <w:p w14:paraId="1493F6EF" w14:textId="77777777" w:rsidR="000A0C98" w:rsidRPr="00D70E8A" w:rsidRDefault="000A0C98">
            <w:r w:rsidRPr="00D70E8A">
              <w:t>Building construction projects</w:t>
            </w:r>
          </w:p>
        </w:tc>
        <w:tc>
          <w:tcPr>
            <w:tcW w:w="3227" w:type="dxa"/>
            <w:tcBorders>
              <w:left w:val="nil"/>
              <w:right w:val="nil"/>
            </w:tcBorders>
            <w:hideMark/>
          </w:tcPr>
          <w:p w14:paraId="0B74F4D0" w14:textId="28342139" w:rsidR="000A0C98" w:rsidRDefault="000A0C98">
            <w:pPr>
              <w:cnfStyle w:val="000000100000" w:firstRow="0" w:lastRow="0" w:firstColumn="0" w:lastColumn="0" w:oddVBand="0" w:evenVBand="0" w:oddHBand="1" w:evenHBand="0" w:firstRowFirstColumn="0" w:firstRowLastColumn="0" w:lastRowFirstColumn="0" w:lastRowLastColumn="0"/>
            </w:pPr>
            <w:r w:rsidRPr="00D70E8A">
              <w:t>Building construction projects include commercial building projects, schools, education, hospitals, police, fire and ambulance stations, civic buildings, courts and similar structures.</w:t>
            </w:r>
          </w:p>
          <w:p w14:paraId="20E075B4" w14:textId="77777777" w:rsidR="000A0C98" w:rsidRPr="00D70E8A" w:rsidRDefault="000A0C98">
            <w:pPr>
              <w:cnfStyle w:val="000000100000" w:firstRow="0" w:lastRow="0" w:firstColumn="0" w:lastColumn="0" w:oddVBand="0" w:evenVBand="0" w:oddHBand="1" w:evenHBand="0" w:firstRowFirstColumn="0" w:firstRowLastColumn="0" w:lastRowFirstColumn="0" w:lastRowLastColumn="0"/>
            </w:pPr>
          </w:p>
        </w:tc>
        <w:tc>
          <w:tcPr>
            <w:tcW w:w="1775" w:type="dxa"/>
            <w:tcBorders>
              <w:left w:val="nil"/>
              <w:right w:val="nil"/>
            </w:tcBorders>
            <w:hideMark/>
          </w:tcPr>
          <w:p w14:paraId="5E103F53" w14:textId="77777777" w:rsidR="000A0C98" w:rsidRPr="00D70E8A" w:rsidRDefault="000A0C98">
            <w:pPr>
              <w:cnfStyle w:val="000000100000" w:firstRow="0" w:lastRow="0" w:firstColumn="0" w:lastColumn="0" w:oddVBand="0" w:evenVBand="0" w:oddHBand="1" w:evenHBand="0" w:firstRowFirstColumn="0" w:firstRowLastColumn="0" w:lastRowFirstColumn="0" w:lastRowLastColumn="0"/>
            </w:pPr>
            <w:r w:rsidRPr="00D70E8A">
              <w:t>40 per cent</w:t>
            </w:r>
          </w:p>
        </w:tc>
        <w:tc>
          <w:tcPr>
            <w:tcW w:w="1768" w:type="dxa"/>
            <w:tcBorders>
              <w:left w:val="nil"/>
              <w:right w:val="single" w:sz="4" w:space="0" w:color="201547" w:themeColor="text1"/>
            </w:tcBorders>
            <w:hideMark/>
          </w:tcPr>
          <w:p w14:paraId="305A3130" w14:textId="77777777" w:rsidR="000A0C98" w:rsidRPr="00D70E8A" w:rsidRDefault="000A0C98">
            <w:pPr>
              <w:cnfStyle w:val="000000100000" w:firstRow="0" w:lastRow="0" w:firstColumn="0" w:lastColumn="0" w:oddVBand="0" w:evenVBand="0" w:oddHBand="1" w:evenHBand="0" w:firstRowFirstColumn="0" w:firstRowLastColumn="0" w:lastRowFirstColumn="0" w:lastRowLastColumn="0"/>
            </w:pPr>
            <w:r w:rsidRPr="00D70E8A">
              <w:t>$85.00</w:t>
            </w:r>
          </w:p>
        </w:tc>
      </w:tr>
      <w:tr w:rsidR="00000F41" w:rsidRPr="00604C42" w14:paraId="2BEC7DD4" w14:textId="77777777" w:rsidTr="00731F32">
        <w:trPr>
          <w:cantSplit/>
        </w:trPr>
        <w:tc>
          <w:tcPr>
            <w:cnfStyle w:val="001000000000" w:firstRow="0" w:lastRow="0" w:firstColumn="1" w:lastColumn="0" w:oddVBand="0" w:evenVBand="0" w:oddHBand="0" w:evenHBand="0" w:firstRowFirstColumn="0" w:firstRowLastColumn="0" w:lastRowFirstColumn="0" w:lastRowLastColumn="0"/>
            <w:tcW w:w="2302" w:type="dxa"/>
            <w:tcBorders>
              <w:top w:val="nil"/>
              <w:left w:val="single" w:sz="4" w:space="0" w:color="201547" w:themeColor="text1"/>
              <w:bottom w:val="single" w:sz="4" w:space="0" w:color="201547" w:themeColor="text1"/>
            </w:tcBorders>
            <w:hideMark/>
          </w:tcPr>
          <w:p w14:paraId="06C2902F" w14:textId="77777777" w:rsidR="000A0C98" w:rsidRPr="00D70E8A" w:rsidRDefault="000A0C98">
            <w:r w:rsidRPr="00D70E8A">
              <w:t>Civil and infrastructure construction projects</w:t>
            </w:r>
          </w:p>
        </w:tc>
        <w:tc>
          <w:tcPr>
            <w:tcW w:w="3227" w:type="dxa"/>
            <w:tcBorders>
              <w:top w:val="nil"/>
              <w:left w:val="nil"/>
              <w:bottom w:val="single" w:sz="4" w:space="0" w:color="201547" w:themeColor="text1"/>
              <w:right w:val="nil"/>
            </w:tcBorders>
            <w:hideMark/>
          </w:tcPr>
          <w:p w14:paraId="712217EA" w14:textId="37E41D80" w:rsidR="000A0C98" w:rsidRDefault="000A0C98">
            <w:pPr>
              <w:cnfStyle w:val="000000000000" w:firstRow="0" w:lastRow="0" w:firstColumn="0" w:lastColumn="0" w:oddVBand="0" w:evenVBand="0" w:oddHBand="0" w:evenHBand="0" w:firstRowFirstColumn="0" w:firstRowLastColumn="0" w:lastRowFirstColumn="0" w:lastRowLastColumn="0"/>
            </w:pPr>
            <w:r w:rsidRPr="00D70E8A">
              <w:t xml:space="preserve">Civil and infrastructure projects include engineering-based projects that include, but </w:t>
            </w:r>
            <w:r w:rsidR="00434190">
              <w:t xml:space="preserve">are </w:t>
            </w:r>
            <w:r w:rsidRPr="00D70E8A">
              <w:t>not limited to, roads, bridges, tunnels, train and tramway works, water and sewerage treatment plants, water and sewerage reticulation pipelines and similar works.</w:t>
            </w:r>
          </w:p>
          <w:p w14:paraId="43FC58BB" w14:textId="77777777" w:rsidR="000A0C98" w:rsidRPr="00D70E8A" w:rsidRDefault="000A0C98">
            <w:pPr>
              <w:cnfStyle w:val="000000000000" w:firstRow="0" w:lastRow="0" w:firstColumn="0" w:lastColumn="0" w:oddVBand="0" w:evenVBand="0" w:oddHBand="0" w:evenHBand="0" w:firstRowFirstColumn="0" w:firstRowLastColumn="0" w:lastRowFirstColumn="0" w:lastRowLastColumn="0"/>
            </w:pPr>
          </w:p>
        </w:tc>
        <w:tc>
          <w:tcPr>
            <w:tcW w:w="1775" w:type="dxa"/>
            <w:tcBorders>
              <w:top w:val="nil"/>
              <w:left w:val="nil"/>
              <w:bottom w:val="single" w:sz="4" w:space="0" w:color="201547" w:themeColor="text1"/>
              <w:right w:val="nil"/>
            </w:tcBorders>
            <w:hideMark/>
          </w:tcPr>
          <w:p w14:paraId="42E4C6FD" w14:textId="77777777" w:rsidR="000A0C98" w:rsidRPr="00D70E8A" w:rsidRDefault="000A0C98">
            <w:pPr>
              <w:cnfStyle w:val="000000000000" w:firstRow="0" w:lastRow="0" w:firstColumn="0" w:lastColumn="0" w:oddVBand="0" w:evenVBand="0" w:oddHBand="0" w:evenHBand="0" w:firstRowFirstColumn="0" w:firstRowLastColumn="0" w:lastRowFirstColumn="0" w:lastRowLastColumn="0"/>
            </w:pPr>
            <w:r w:rsidRPr="00D70E8A">
              <w:t>15 per cent</w:t>
            </w:r>
          </w:p>
        </w:tc>
        <w:tc>
          <w:tcPr>
            <w:tcW w:w="1768" w:type="dxa"/>
            <w:tcBorders>
              <w:top w:val="nil"/>
              <w:left w:val="nil"/>
              <w:bottom w:val="single" w:sz="4" w:space="0" w:color="201547" w:themeColor="text1"/>
              <w:right w:val="single" w:sz="4" w:space="0" w:color="201547" w:themeColor="text1"/>
            </w:tcBorders>
            <w:hideMark/>
          </w:tcPr>
          <w:p w14:paraId="5DB2B592" w14:textId="77777777" w:rsidR="000A0C98" w:rsidRPr="00D70E8A" w:rsidRDefault="000A0C98">
            <w:pPr>
              <w:cnfStyle w:val="000000000000" w:firstRow="0" w:lastRow="0" w:firstColumn="0" w:lastColumn="0" w:oddVBand="0" w:evenVBand="0" w:oddHBand="0" w:evenHBand="0" w:firstRowFirstColumn="0" w:firstRowLastColumn="0" w:lastRowFirstColumn="0" w:lastRowLastColumn="0"/>
            </w:pPr>
            <w:r w:rsidRPr="00D70E8A">
              <w:t>$95.00</w:t>
            </w:r>
          </w:p>
        </w:tc>
      </w:tr>
      <w:tr w:rsidR="003D6469" w:rsidRPr="00604C42" w14:paraId="1F2228E3" w14:textId="77777777" w:rsidTr="00731F3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02" w:type="dxa"/>
            <w:tcBorders>
              <w:left w:val="single" w:sz="4" w:space="0" w:color="201547" w:themeColor="text1"/>
              <w:bottom w:val="single" w:sz="4" w:space="0" w:color="auto"/>
            </w:tcBorders>
            <w:hideMark/>
          </w:tcPr>
          <w:p w14:paraId="2AA3F50D" w14:textId="77777777" w:rsidR="000A0C98" w:rsidRPr="00D70E8A" w:rsidRDefault="000A0C98">
            <w:r w:rsidRPr="00D70E8A">
              <w:t>Building and infrastructure construction (mixed) projects</w:t>
            </w:r>
          </w:p>
        </w:tc>
        <w:tc>
          <w:tcPr>
            <w:tcW w:w="3227" w:type="dxa"/>
            <w:tcBorders>
              <w:left w:val="nil"/>
              <w:bottom w:val="single" w:sz="4" w:space="0" w:color="auto"/>
              <w:right w:val="nil"/>
            </w:tcBorders>
            <w:hideMark/>
          </w:tcPr>
          <w:p w14:paraId="6EFCAEB0" w14:textId="1D9A66EC" w:rsidR="000A0C98" w:rsidRDefault="000A0C98">
            <w:pPr>
              <w:cnfStyle w:val="000000100000" w:firstRow="0" w:lastRow="0" w:firstColumn="0" w:lastColumn="0" w:oddVBand="0" w:evenVBand="0" w:oddHBand="1" w:evenHBand="0" w:firstRowFirstColumn="0" w:firstRowLastColumn="0" w:lastRowFirstColumn="0" w:lastRowLastColumn="0"/>
            </w:pPr>
            <w:r w:rsidRPr="00D70E8A">
              <w:t>Building and infrastructure construction (mixed) projects are where the specified works are civil/infrastructure in nature but include significant building construction elements such rail upgrades or projects that include stations, or water treatment plants that include facility buildings or sheds.</w:t>
            </w:r>
          </w:p>
          <w:p w14:paraId="6EC69444" w14:textId="77777777" w:rsidR="000A0C98" w:rsidRPr="00D70E8A" w:rsidRDefault="000A0C98">
            <w:pPr>
              <w:cnfStyle w:val="000000100000" w:firstRow="0" w:lastRow="0" w:firstColumn="0" w:lastColumn="0" w:oddVBand="0" w:evenVBand="0" w:oddHBand="1" w:evenHBand="0" w:firstRowFirstColumn="0" w:firstRowLastColumn="0" w:lastRowFirstColumn="0" w:lastRowLastColumn="0"/>
            </w:pPr>
          </w:p>
        </w:tc>
        <w:tc>
          <w:tcPr>
            <w:tcW w:w="1775" w:type="dxa"/>
            <w:tcBorders>
              <w:left w:val="nil"/>
              <w:bottom w:val="single" w:sz="4" w:space="0" w:color="auto"/>
              <w:right w:val="nil"/>
            </w:tcBorders>
            <w:hideMark/>
          </w:tcPr>
          <w:p w14:paraId="5332D822" w14:textId="77777777" w:rsidR="000A0C98" w:rsidRPr="00D70E8A" w:rsidRDefault="000A0C98">
            <w:pPr>
              <w:cnfStyle w:val="000000100000" w:firstRow="0" w:lastRow="0" w:firstColumn="0" w:lastColumn="0" w:oddVBand="0" w:evenVBand="0" w:oddHBand="1" w:evenHBand="0" w:firstRowFirstColumn="0" w:firstRowLastColumn="0" w:lastRowFirstColumn="0" w:lastRowLastColumn="0"/>
            </w:pPr>
            <w:r w:rsidRPr="00D70E8A">
              <w:t>25 per cent</w:t>
            </w:r>
          </w:p>
        </w:tc>
        <w:tc>
          <w:tcPr>
            <w:tcW w:w="1768" w:type="dxa"/>
            <w:tcBorders>
              <w:left w:val="nil"/>
              <w:bottom w:val="single" w:sz="4" w:space="0" w:color="auto"/>
              <w:right w:val="single" w:sz="4" w:space="0" w:color="201547" w:themeColor="text1"/>
            </w:tcBorders>
            <w:hideMark/>
          </w:tcPr>
          <w:p w14:paraId="609A6BB0" w14:textId="77777777" w:rsidR="000A0C98" w:rsidRPr="00D70E8A" w:rsidRDefault="000A0C98">
            <w:pPr>
              <w:cnfStyle w:val="000000100000" w:firstRow="0" w:lastRow="0" w:firstColumn="0" w:lastColumn="0" w:oddVBand="0" w:evenVBand="0" w:oddHBand="1" w:evenHBand="0" w:firstRowFirstColumn="0" w:firstRowLastColumn="0" w:lastRowFirstColumn="0" w:lastRowLastColumn="0"/>
            </w:pPr>
            <w:r w:rsidRPr="00D70E8A">
              <w:t>$90.00</w:t>
            </w:r>
          </w:p>
        </w:tc>
      </w:tr>
    </w:tbl>
    <w:p w14:paraId="7DA8D7E8" w14:textId="456CB375" w:rsidR="00423AF2" w:rsidRDefault="000A0C98" w:rsidP="00FE6B75">
      <w:pPr>
        <w:jc w:val="both"/>
        <w:rPr>
          <w:rFonts w:cstheme="minorHAnsi"/>
          <w:b/>
          <w:bCs/>
          <w:szCs w:val="18"/>
        </w:rPr>
      </w:pPr>
      <w:r w:rsidRPr="00D70E8A">
        <w:rPr>
          <w:rFonts w:cstheme="minorHAnsi"/>
          <w:szCs w:val="18"/>
          <w:lang w:val="en-US"/>
        </w:rPr>
        <w:t>Use the above project definitions to choose the deemed labour ratios and hourly rates for your specific construction project.</w:t>
      </w:r>
    </w:p>
    <w:p w14:paraId="46B49211" w14:textId="77777777" w:rsidR="00A9747D" w:rsidRDefault="00A9747D" w:rsidP="00731F32">
      <w:pPr>
        <w:spacing w:after="240"/>
        <w:rPr>
          <w:rFonts w:cstheme="minorHAnsi"/>
          <w:b/>
          <w:bCs/>
          <w:szCs w:val="18"/>
        </w:rPr>
      </w:pPr>
    </w:p>
    <w:p w14:paraId="3771DBAD" w14:textId="77777777" w:rsidR="00A9747D" w:rsidRDefault="00A9747D" w:rsidP="00731F32">
      <w:pPr>
        <w:spacing w:after="240"/>
        <w:rPr>
          <w:rFonts w:cstheme="minorHAnsi"/>
          <w:b/>
          <w:bCs/>
          <w:szCs w:val="18"/>
        </w:rPr>
      </w:pPr>
    </w:p>
    <w:p w14:paraId="7080DA9C" w14:textId="3180DB82" w:rsidR="000A0C98" w:rsidRPr="00D70E8A" w:rsidRDefault="000A0C98" w:rsidP="00731F32">
      <w:pPr>
        <w:spacing w:after="240"/>
        <w:rPr>
          <w:rFonts w:cstheme="minorHAnsi"/>
          <w:b/>
          <w:bCs/>
          <w:szCs w:val="18"/>
        </w:rPr>
      </w:pPr>
      <w:r w:rsidRPr="00D70E8A">
        <w:rPr>
          <w:rFonts w:cstheme="minorHAnsi"/>
          <w:b/>
          <w:bCs/>
          <w:szCs w:val="18"/>
        </w:rPr>
        <w:t>Figure 1: Deemed Hours F</w:t>
      </w:r>
      <w:r>
        <w:rPr>
          <w:rFonts w:cstheme="minorHAnsi"/>
          <w:b/>
          <w:bCs/>
          <w:szCs w:val="18"/>
        </w:rPr>
        <w:t>ormula</w:t>
      </w:r>
    </w:p>
    <w:p w14:paraId="78977A92" w14:textId="77777777" w:rsidR="000A0C98" w:rsidRPr="00D70E8A" w:rsidRDefault="00696AEE" w:rsidP="000A0C98">
      <w:pPr>
        <w:rPr>
          <w:sz w:val="20"/>
          <w:szCs w:val="22"/>
        </w:rPr>
      </w:pPr>
      <m:oMathPara>
        <m:oMath>
          <m:f>
            <m:fPr>
              <m:ctrlPr>
                <w:rPr>
                  <w:rFonts w:ascii="Cambria Math" w:hAnsi="Cambria Math"/>
                  <w:i/>
                  <w:sz w:val="20"/>
                  <w:szCs w:val="22"/>
                </w:rPr>
              </m:ctrlPr>
            </m:fPr>
            <m:num>
              <m:r>
                <w:rPr>
                  <w:rFonts w:ascii="Cambria Math" w:hAnsi="Cambria Math"/>
                  <w:sz w:val="20"/>
                  <w:szCs w:val="22"/>
                </w:rPr>
                <m:t>Total</m:t>
              </m:r>
              <m:r>
                <w:rPr>
                  <w:rFonts w:ascii="Cambria Math" w:hAnsi="Cambria Math"/>
                  <w:sz w:val="20"/>
                  <w:szCs w:val="22"/>
                </w:rPr>
                <m:t xml:space="preserve"> </m:t>
              </m:r>
              <m:r>
                <w:rPr>
                  <w:rFonts w:ascii="Cambria Math" w:hAnsi="Cambria Math"/>
                  <w:sz w:val="20"/>
                  <w:szCs w:val="22"/>
                </w:rPr>
                <m:t>Contract</m:t>
              </m:r>
              <m:r>
                <w:rPr>
                  <w:rFonts w:ascii="Cambria Math" w:hAnsi="Cambria Math"/>
                  <w:sz w:val="20"/>
                  <w:szCs w:val="22"/>
                </w:rPr>
                <m:t xml:space="preserve"> </m:t>
              </m:r>
              <m:r>
                <w:rPr>
                  <w:rFonts w:ascii="Cambria Math" w:hAnsi="Cambria Math"/>
                  <w:sz w:val="20"/>
                  <w:szCs w:val="22"/>
                </w:rPr>
                <m:t>Sum</m:t>
              </m:r>
              <m:r>
                <w:rPr>
                  <w:rFonts w:ascii="Cambria Math" w:hAnsi="Cambria Math"/>
                  <w:sz w:val="20"/>
                  <w:szCs w:val="22"/>
                </w:rPr>
                <m:t>×</m:t>
              </m:r>
              <m:r>
                <w:rPr>
                  <w:rFonts w:ascii="Cambria Math" w:hAnsi="Cambria Math"/>
                  <w:sz w:val="20"/>
                  <w:szCs w:val="22"/>
                </w:rPr>
                <m:t>Deemed</m:t>
              </m:r>
              <m:r>
                <w:rPr>
                  <w:rFonts w:ascii="Cambria Math" w:hAnsi="Cambria Math"/>
                  <w:sz w:val="20"/>
                  <w:szCs w:val="22"/>
                </w:rPr>
                <m:t xml:space="preserve"> </m:t>
              </m:r>
              <m:r>
                <w:rPr>
                  <w:rFonts w:ascii="Cambria Math" w:hAnsi="Cambria Math"/>
                  <w:sz w:val="20"/>
                  <w:szCs w:val="22"/>
                </w:rPr>
                <m:t>Labour</m:t>
              </m:r>
              <m:r>
                <w:rPr>
                  <w:rFonts w:ascii="Cambria Math" w:hAnsi="Cambria Math"/>
                  <w:sz w:val="20"/>
                  <w:szCs w:val="22"/>
                </w:rPr>
                <m:t xml:space="preserve"> </m:t>
              </m:r>
              <m:r>
                <w:rPr>
                  <w:rFonts w:ascii="Cambria Math" w:hAnsi="Cambria Math"/>
                  <w:sz w:val="20"/>
                  <w:szCs w:val="22"/>
                </w:rPr>
                <m:t>Ratio</m:t>
              </m:r>
            </m:num>
            <m:den>
              <m:r>
                <w:rPr>
                  <w:rFonts w:ascii="Cambria Math" w:hAnsi="Cambria Math"/>
                  <w:sz w:val="20"/>
                  <w:szCs w:val="22"/>
                </w:rPr>
                <m:t>Deemed</m:t>
              </m:r>
              <m:r>
                <w:rPr>
                  <w:rFonts w:ascii="Cambria Math" w:hAnsi="Cambria Math"/>
                  <w:sz w:val="20"/>
                  <w:szCs w:val="22"/>
                </w:rPr>
                <m:t xml:space="preserve"> </m:t>
              </m:r>
              <m:r>
                <w:rPr>
                  <w:rFonts w:ascii="Cambria Math" w:hAnsi="Cambria Math"/>
                  <w:sz w:val="20"/>
                  <w:szCs w:val="22"/>
                </w:rPr>
                <m:t>Hourly</m:t>
              </m:r>
              <m:r>
                <w:rPr>
                  <w:rFonts w:ascii="Cambria Math" w:hAnsi="Cambria Math"/>
                  <w:sz w:val="20"/>
                  <w:szCs w:val="22"/>
                </w:rPr>
                <m:t xml:space="preserve"> </m:t>
              </m:r>
              <m:r>
                <w:rPr>
                  <w:rFonts w:ascii="Cambria Math" w:hAnsi="Cambria Math"/>
                  <w:sz w:val="20"/>
                  <w:szCs w:val="22"/>
                </w:rPr>
                <m:t>Rate</m:t>
              </m:r>
            </m:den>
          </m:f>
          <m:r>
            <w:rPr>
              <w:rFonts w:ascii="Cambria Math" w:hAnsi="Cambria Math"/>
              <w:sz w:val="20"/>
              <w:szCs w:val="22"/>
            </w:rPr>
            <m:t>=</m:t>
          </m:r>
          <m:r>
            <m:rPr>
              <m:sty m:val="bi"/>
            </m:rPr>
            <w:rPr>
              <w:rFonts w:ascii="Cambria Math" w:hAnsi="Cambria Math"/>
              <w:sz w:val="20"/>
              <w:szCs w:val="22"/>
            </w:rPr>
            <m:t>Total</m:t>
          </m:r>
          <m:r>
            <m:rPr>
              <m:sty m:val="bi"/>
            </m:rPr>
            <w:rPr>
              <w:rFonts w:ascii="Cambria Math" w:hAnsi="Cambria Math"/>
              <w:sz w:val="20"/>
              <w:szCs w:val="22"/>
            </w:rPr>
            <m:t xml:space="preserve"> </m:t>
          </m:r>
          <m:r>
            <m:rPr>
              <m:sty m:val="bi"/>
            </m:rPr>
            <w:rPr>
              <w:rFonts w:ascii="Cambria Math" w:hAnsi="Cambria Math"/>
              <w:sz w:val="20"/>
              <w:szCs w:val="22"/>
            </w:rPr>
            <m:t>Labour</m:t>
          </m:r>
          <m:r>
            <m:rPr>
              <m:sty m:val="bi"/>
            </m:rPr>
            <w:rPr>
              <w:rFonts w:ascii="Cambria Math" w:hAnsi="Cambria Math"/>
              <w:sz w:val="20"/>
              <w:szCs w:val="22"/>
            </w:rPr>
            <m:t xml:space="preserve"> </m:t>
          </m:r>
          <m:r>
            <m:rPr>
              <m:sty m:val="bi"/>
            </m:rPr>
            <w:rPr>
              <w:rFonts w:ascii="Cambria Math" w:hAnsi="Cambria Math"/>
              <w:sz w:val="20"/>
              <w:szCs w:val="22"/>
            </w:rPr>
            <m:t>Hours</m:t>
          </m:r>
        </m:oMath>
      </m:oMathPara>
    </w:p>
    <w:p w14:paraId="3C85E6CC" w14:textId="77777777" w:rsidR="00FE6B75" w:rsidRPr="00A9747D" w:rsidRDefault="000A0C98" w:rsidP="009F0B31">
      <w:pPr>
        <w:rPr>
          <w:sz w:val="20"/>
          <w:szCs w:val="22"/>
        </w:rPr>
      </w:pPr>
      <m:oMathPara>
        <m:oMath>
          <m:r>
            <m:rPr>
              <m:sty m:val="bi"/>
            </m:rPr>
            <w:rPr>
              <w:rFonts w:ascii="Cambria Math" w:hAnsi="Cambria Math"/>
              <w:sz w:val="20"/>
              <w:szCs w:val="22"/>
            </w:rPr>
            <m:t>Total Labour Hours</m:t>
          </m:r>
          <m:r>
            <w:rPr>
              <w:rFonts w:ascii="Cambria Math" w:hAnsi="Cambria Math"/>
              <w:sz w:val="20"/>
              <w:szCs w:val="22"/>
            </w:rPr>
            <m:t xml:space="preserve"> × 10%= Indicative MPSG Requiremen</m:t>
          </m:r>
        </m:oMath>
      </m:oMathPara>
    </w:p>
    <w:p w14:paraId="635EF9AF" w14:textId="77777777" w:rsidR="00A9747D" w:rsidRPr="00D70E8A" w:rsidRDefault="00A9747D" w:rsidP="00A9747D">
      <w:pPr>
        <w:spacing w:before="0"/>
        <w:jc w:val="both"/>
      </w:pPr>
      <w:r w:rsidRPr="00EF5DF6">
        <w:rPr>
          <w:rFonts w:cstheme="minorHAnsi"/>
          <w:b/>
          <w:bCs/>
          <w:szCs w:val="18"/>
        </w:rPr>
        <w:t>Deemed Hours</w:t>
      </w:r>
      <w:r>
        <w:rPr>
          <w:rFonts w:cstheme="minorHAnsi"/>
          <w:b/>
          <w:bCs/>
          <w:szCs w:val="18"/>
        </w:rPr>
        <w:t xml:space="preserve"> Formula</w:t>
      </w:r>
      <w:r w:rsidRPr="00604C42">
        <w:rPr>
          <w:b/>
          <w:bCs/>
          <w:lang w:eastAsia="en-AU"/>
        </w:rPr>
        <w:t xml:space="preserve"> </w:t>
      </w:r>
      <w:r w:rsidRPr="00D70E8A">
        <w:rPr>
          <w:b/>
          <w:bCs/>
          <w:lang w:eastAsia="en-AU"/>
        </w:rPr>
        <w:t xml:space="preserve">Example 1: </w:t>
      </w:r>
      <w:r w:rsidRPr="00D70E8A">
        <w:t>A building and infrastructure construction (mixed) project with a total project value of $150m:</w:t>
      </w:r>
    </w:p>
    <w:tbl>
      <w:tblPr>
        <w:tblStyle w:val="TableGrid"/>
        <w:tblW w:w="9067" w:type="dxa"/>
        <w:tblLook w:val="04A0" w:firstRow="1" w:lastRow="0" w:firstColumn="1" w:lastColumn="0" w:noHBand="0" w:noVBand="1"/>
      </w:tblPr>
      <w:tblGrid>
        <w:gridCol w:w="3022"/>
        <w:gridCol w:w="3022"/>
        <w:gridCol w:w="3023"/>
      </w:tblGrid>
      <w:tr w:rsidR="00A9747D" w:rsidRPr="00604C42" w14:paraId="37231BC1" w14:textId="77777777">
        <w:trPr>
          <w:trHeight w:val="226"/>
        </w:trPr>
        <w:tc>
          <w:tcPr>
            <w:tcW w:w="3022" w:type="dxa"/>
          </w:tcPr>
          <w:p w14:paraId="4D9D8AA9" w14:textId="77777777" w:rsidR="00A9747D" w:rsidRPr="00D70E8A" w:rsidRDefault="00A9747D">
            <w:pPr>
              <w:spacing w:before="0"/>
            </w:pPr>
          </w:p>
        </w:tc>
        <w:tc>
          <w:tcPr>
            <w:tcW w:w="3022" w:type="dxa"/>
            <w:shd w:val="clear" w:color="auto" w:fill="707068" w:themeFill="background2" w:themeFillShade="80"/>
          </w:tcPr>
          <w:p w14:paraId="2FDD584D" w14:textId="77777777" w:rsidR="00A9747D" w:rsidRPr="00D70E8A" w:rsidRDefault="00A9747D">
            <w:pPr>
              <w:spacing w:before="0"/>
              <w:rPr>
                <w:color w:val="FFFFFF" w:themeColor="background1"/>
              </w:rPr>
            </w:pPr>
            <w:r w:rsidRPr="00D70E8A">
              <w:rPr>
                <w:b/>
                <w:color w:val="FFFFFF" w:themeColor="background1"/>
              </w:rPr>
              <w:t xml:space="preserve">Rate </w:t>
            </w:r>
          </w:p>
        </w:tc>
        <w:tc>
          <w:tcPr>
            <w:tcW w:w="3023" w:type="dxa"/>
            <w:shd w:val="clear" w:color="auto" w:fill="707068" w:themeFill="background2" w:themeFillShade="80"/>
          </w:tcPr>
          <w:p w14:paraId="599152D2" w14:textId="77777777" w:rsidR="00A9747D" w:rsidRPr="00D70E8A" w:rsidRDefault="00A9747D">
            <w:pPr>
              <w:spacing w:before="0"/>
              <w:rPr>
                <w:color w:val="FFFFFF" w:themeColor="background1"/>
              </w:rPr>
            </w:pPr>
            <w:r w:rsidRPr="00D70E8A">
              <w:rPr>
                <w:b/>
                <w:color w:val="FFFFFF" w:themeColor="background1"/>
              </w:rPr>
              <w:t>Value</w:t>
            </w:r>
            <w:r>
              <w:rPr>
                <w:b/>
                <w:color w:val="FFFFFF" w:themeColor="background1"/>
              </w:rPr>
              <w:t xml:space="preserve"> / Hours</w:t>
            </w:r>
          </w:p>
        </w:tc>
      </w:tr>
      <w:tr w:rsidR="00A9747D" w:rsidRPr="00604C42" w14:paraId="4FCB57CB" w14:textId="77777777">
        <w:trPr>
          <w:trHeight w:val="453"/>
        </w:trPr>
        <w:tc>
          <w:tcPr>
            <w:tcW w:w="3022" w:type="dxa"/>
          </w:tcPr>
          <w:p w14:paraId="58EC904E" w14:textId="77777777" w:rsidR="00A9747D" w:rsidRPr="00D70E8A" w:rsidRDefault="00A9747D">
            <w:pPr>
              <w:spacing w:before="0"/>
            </w:pPr>
            <w:r w:rsidRPr="00D70E8A">
              <w:rPr>
                <w:bCs/>
              </w:rPr>
              <w:t>Total project value</w:t>
            </w:r>
          </w:p>
        </w:tc>
        <w:tc>
          <w:tcPr>
            <w:tcW w:w="3022" w:type="dxa"/>
            <w:shd w:val="clear" w:color="auto" w:fill="D9D9D6" w:themeFill="background2"/>
          </w:tcPr>
          <w:p w14:paraId="0668EE56" w14:textId="77777777" w:rsidR="00A9747D" w:rsidRPr="00D70E8A" w:rsidRDefault="00A9747D">
            <w:pPr>
              <w:spacing w:before="0"/>
            </w:pPr>
          </w:p>
        </w:tc>
        <w:tc>
          <w:tcPr>
            <w:tcW w:w="3023" w:type="dxa"/>
          </w:tcPr>
          <w:p w14:paraId="028BFF3C" w14:textId="77777777" w:rsidR="00A9747D" w:rsidRPr="00D70E8A" w:rsidRDefault="00A9747D">
            <w:pPr>
              <w:spacing w:before="0"/>
            </w:pPr>
            <w:r w:rsidRPr="00D70E8A">
              <w:rPr>
                <w:bCs/>
              </w:rPr>
              <w:t>$150,000,000</w:t>
            </w:r>
          </w:p>
        </w:tc>
      </w:tr>
      <w:tr w:rsidR="00A9747D" w:rsidRPr="00604C42" w14:paraId="45F4CC9F" w14:textId="77777777">
        <w:trPr>
          <w:trHeight w:val="453"/>
        </w:trPr>
        <w:tc>
          <w:tcPr>
            <w:tcW w:w="3022" w:type="dxa"/>
          </w:tcPr>
          <w:p w14:paraId="46F3ED07" w14:textId="77777777" w:rsidR="00A9747D" w:rsidRPr="00D70E8A" w:rsidRDefault="00A9747D">
            <w:pPr>
              <w:spacing w:before="0"/>
            </w:pPr>
            <w:r w:rsidRPr="00D70E8A">
              <w:rPr>
                <w:bCs/>
              </w:rPr>
              <w:t>Deemed labour ratio</w:t>
            </w:r>
          </w:p>
        </w:tc>
        <w:tc>
          <w:tcPr>
            <w:tcW w:w="3022" w:type="dxa"/>
          </w:tcPr>
          <w:p w14:paraId="16D8EDB4" w14:textId="77777777" w:rsidR="00A9747D" w:rsidRPr="00D70E8A" w:rsidRDefault="00A9747D">
            <w:pPr>
              <w:spacing w:before="0"/>
            </w:pPr>
            <w:r w:rsidRPr="00D70E8A">
              <w:rPr>
                <w:bCs/>
              </w:rPr>
              <w:t>25%</w:t>
            </w:r>
          </w:p>
        </w:tc>
        <w:tc>
          <w:tcPr>
            <w:tcW w:w="3023" w:type="dxa"/>
          </w:tcPr>
          <w:p w14:paraId="1B23C2CC" w14:textId="77777777" w:rsidR="00A9747D" w:rsidRPr="00D70E8A" w:rsidRDefault="00A9747D">
            <w:pPr>
              <w:spacing w:before="0"/>
            </w:pPr>
            <w:r w:rsidRPr="00D70E8A">
              <w:rPr>
                <w:bCs/>
              </w:rPr>
              <w:t>$37,500,000</w:t>
            </w:r>
          </w:p>
        </w:tc>
      </w:tr>
      <w:tr w:rsidR="00A9747D" w:rsidRPr="00604C42" w14:paraId="6118F497" w14:textId="77777777">
        <w:trPr>
          <w:trHeight w:val="681"/>
        </w:trPr>
        <w:tc>
          <w:tcPr>
            <w:tcW w:w="3022" w:type="dxa"/>
          </w:tcPr>
          <w:p w14:paraId="5B5AD8A9" w14:textId="77777777" w:rsidR="00A9747D" w:rsidRPr="00D70E8A" w:rsidRDefault="00A9747D">
            <w:pPr>
              <w:spacing w:before="0"/>
            </w:pPr>
            <w:r w:rsidRPr="00D70E8A">
              <w:t>Deemed labour hourly rate</w:t>
            </w:r>
          </w:p>
        </w:tc>
        <w:tc>
          <w:tcPr>
            <w:tcW w:w="3022" w:type="dxa"/>
          </w:tcPr>
          <w:p w14:paraId="4736B09F" w14:textId="77777777" w:rsidR="00A9747D" w:rsidRPr="00D70E8A" w:rsidRDefault="00A9747D">
            <w:pPr>
              <w:spacing w:before="0"/>
            </w:pPr>
            <w:r w:rsidRPr="00D70E8A">
              <w:t>$90 p/h</w:t>
            </w:r>
          </w:p>
        </w:tc>
        <w:tc>
          <w:tcPr>
            <w:tcW w:w="3023" w:type="dxa"/>
          </w:tcPr>
          <w:p w14:paraId="1822ACD0" w14:textId="43AE6B2C" w:rsidR="00A9747D" w:rsidRPr="00D70E8A" w:rsidRDefault="00A9747D">
            <w:pPr>
              <w:spacing w:before="0"/>
            </w:pPr>
            <w:r w:rsidRPr="00D70E8A">
              <w:t>416,667 hours</w:t>
            </w:r>
            <w:r w:rsidR="005A556E">
              <w:t xml:space="preserve"> </w:t>
            </w:r>
          </w:p>
          <w:p w14:paraId="054C745E" w14:textId="77777777" w:rsidR="00A9747D" w:rsidRPr="00D70E8A" w:rsidRDefault="00A9747D">
            <w:pPr>
              <w:spacing w:before="0"/>
            </w:pPr>
            <w:r w:rsidRPr="00D70E8A">
              <w:t>(total labour hours)</w:t>
            </w:r>
          </w:p>
        </w:tc>
      </w:tr>
      <w:tr w:rsidR="00A9747D" w:rsidRPr="00604C42" w14:paraId="7FDAA04C" w14:textId="77777777">
        <w:trPr>
          <w:trHeight w:val="681"/>
        </w:trPr>
        <w:tc>
          <w:tcPr>
            <w:tcW w:w="3022" w:type="dxa"/>
          </w:tcPr>
          <w:p w14:paraId="156C38C6" w14:textId="77777777" w:rsidR="00A9747D" w:rsidRPr="00D70E8A" w:rsidRDefault="00A9747D">
            <w:pPr>
              <w:spacing w:before="0"/>
            </w:pPr>
            <w:r w:rsidRPr="00D70E8A">
              <w:rPr>
                <w:b/>
              </w:rPr>
              <w:t>Indicative MPSG labour hours</w:t>
            </w:r>
          </w:p>
        </w:tc>
        <w:tc>
          <w:tcPr>
            <w:tcW w:w="3022" w:type="dxa"/>
          </w:tcPr>
          <w:p w14:paraId="73CAB754" w14:textId="77777777" w:rsidR="00A9747D" w:rsidRPr="00D70E8A" w:rsidRDefault="00A9747D">
            <w:pPr>
              <w:spacing w:before="0"/>
            </w:pPr>
            <w:r w:rsidRPr="00D70E8A">
              <w:rPr>
                <w:b/>
              </w:rPr>
              <w:t>10%</w:t>
            </w:r>
          </w:p>
        </w:tc>
        <w:tc>
          <w:tcPr>
            <w:tcW w:w="3023" w:type="dxa"/>
          </w:tcPr>
          <w:p w14:paraId="42E80295" w14:textId="77777777" w:rsidR="00A9747D" w:rsidRPr="00D70E8A" w:rsidRDefault="00A9747D">
            <w:pPr>
              <w:spacing w:before="0"/>
              <w:rPr>
                <w:b/>
              </w:rPr>
            </w:pPr>
            <w:r w:rsidRPr="00D70E8A">
              <w:rPr>
                <w:b/>
              </w:rPr>
              <w:t>41,667 hours</w:t>
            </w:r>
          </w:p>
          <w:p w14:paraId="59B7EBB7" w14:textId="77777777" w:rsidR="00A9747D" w:rsidRPr="00D70E8A" w:rsidRDefault="00A9747D">
            <w:pPr>
              <w:spacing w:before="0"/>
            </w:pPr>
            <w:r w:rsidRPr="00D70E8A">
              <w:rPr>
                <w:b/>
                <w:bCs/>
              </w:rPr>
              <w:t>(ATC labour hours)</w:t>
            </w:r>
          </w:p>
        </w:tc>
      </w:tr>
    </w:tbl>
    <w:p w14:paraId="01447521" w14:textId="77777777" w:rsidR="00A9747D" w:rsidRPr="00D70E8A" w:rsidRDefault="00A9747D" w:rsidP="00A9747D">
      <w:pPr>
        <w:spacing w:before="0"/>
      </w:pPr>
    </w:p>
    <w:p w14:paraId="3A4E2DA8" w14:textId="77777777" w:rsidR="00A9747D" w:rsidRPr="00D70E8A" w:rsidRDefault="00A9747D" w:rsidP="00A9747D">
      <w:pPr>
        <w:spacing w:before="0"/>
        <w:jc w:val="both"/>
      </w:pPr>
      <w:r w:rsidRPr="00EF5DF6">
        <w:rPr>
          <w:rFonts w:cstheme="minorHAnsi"/>
          <w:b/>
          <w:bCs/>
          <w:szCs w:val="18"/>
        </w:rPr>
        <w:t>Deemed Hours</w:t>
      </w:r>
      <w:r>
        <w:rPr>
          <w:rFonts w:cstheme="minorHAnsi"/>
          <w:b/>
          <w:bCs/>
          <w:szCs w:val="18"/>
        </w:rPr>
        <w:t xml:space="preserve"> Formula </w:t>
      </w:r>
      <w:r w:rsidRPr="00D70E8A">
        <w:rPr>
          <w:b/>
          <w:bCs/>
        </w:rPr>
        <w:t>Example 2:</w:t>
      </w:r>
      <w:r w:rsidRPr="00D70E8A">
        <w:t xml:space="preserve"> A civil and infrastructure construction project with a total project value of $400m:</w:t>
      </w:r>
    </w:p>
    <w:tbl>
      <w:tblPr>
        <w:tblStyle w:val="TableGrid"/>
        <w:tblW w:w="9072" w:type="dxa"/>
        <w:tblInd w:w="-5" w:type="dxa"/>
        <w:tblLook w:val="04A0" w:firstRow="1" w:lastRow="0" w:firstColumn="1" w:lastColumn="0" w:noHBand="0" w:noVBand="1"/>
      </w:tblPr>
      <w:tblGrid>
        <w:gridCol w:w="3024"/>
        <w:gridCol w:w="3024"/>
        <w:gridCol w:w="3024"/>
      </w:tblGrid>
      <w:tr w:rsidR="00A9747D" w:rsidRPr="00604C42" w14:paraId="4261A38C" w14:textId="77777777">
        <w:trPr>
          <w:trHeight w:val="243"/>
        </w:trPr>
        <w:tc>
          <w:tcPr>
            <w:tcW w:w="3024" w:type="dxa"/>
          </w:tcPr>
          <w:p w14:paraId="643A687C" w14:textId="77777777" w:rsidR="00A9747D" w:rsidRPr="00D70E8A" w:rsidRDefault="00A9747D">
            <w:pPr>
              <w:spacing w:before="0"/>
            </w:pPr>
          </w:p>
        </w:tc>
        <w:tc>
          <w:tcPr>
            <w:tcW w:w="3024" w:type="dxa"/>
            <w:shd w:val="clear" w:color="auto" w:fill="707068" w:themeFill="background2" w:themeFillShade="80"/>
          </w:tcPr>
          <w:p w14:paraId="2FC75C47" w14:textId="77777777" w:rsidR="00A9747D" w:rsidRPr="00D70E8A" w:rsidRDefault="00A9747D">
            <w:pPr>
              <w:spacing w:before="0"/>
              <w:rPr>
                <w:color w:val="FFFFFF" w:themeColor="background1"/>
              </w:rPr>
            </w:pPr>
            <w:r w:rsidRPr="00D70E8A">
              <w:rPr>
                <w:b/>
                <w:color w:val="FFFFFF" w:themeColor="background1"/>
              </w:rPr>
              <w:t xml:space="preserve">Rate </w:t>
            </w:r>
          </w:p>
        </w:tc>
        <w:tc>
          <w:tcPr>
            <w:tcW w:w="3024" w:type="dxa"/>
            <w:shd w:val="clear" w:color="auto" w:fill="707068" w:themeFill="background2" w:themeFillShade="80"/>
          </w:tcPr>
          <w:p w14:paraId="0E2BD39B" w14:textId="77777777" w:rsidR="00A9747D" w:rsidRPr="00D70E8A" w:rsidRDefault="00A9747D">
            <w:pPr>
              <w:spacing w:before="0"/>
              <w:rPr>
                <w:color w:val="FFFFFF" w:themeColor="background1"/>
              </w:rPr>
            </w:pPr>
            <w:r w:rsidRPr="00D70E8A">
              <w:rPr>
                <w:b/>
                <w:color w:val="FFFFFF" w:themeColor="background1"/>
              </w:rPr>
              <w:t>Value</w:t>
            </w:r>
            <w:r>
              <w:rPr>
                <w:b/>
                <w:color w:val="FFFFFF" w:themeColor="background1"/>
              </w:rPr>
              <w:t xml:space="preserve"> / Hours</w:t>
            </w:r>
          </w:p>
        </w:tc>
      </w:tr>
      <w:tr w:rsidR="00A9747D" w:rsidRPr="00604C42" w14:paraId="0441617E" w14:textId="77777777">
        <w:trPr>
          <w:trHeight w:val="486"/>
        </w:trPr>
        <w:tc>
          <w:tcPr>
            <w:tcW w:w="3024" w:type="dxa"/>
          </w:tcPr>
          <w:p w14:paraId="36CBFB37" w14:textId="77777777" w:rsidR="00A9747D" w:rsidRPr="00D70E8A" w:rsidRDefault="00A9747D">
            <w:pPr>
              <w:spacing w:before="0"/>
            </w:pPr>
            <w:r w:rsidRPr="00D70E8A">
              <w:rPr>
                <w:bCs/>
              </w:rPr>
              <w:t>Total project value</w:t>
            </w:r>
          </w:p>
        </w:tc>
        <w:tc>
          <w:tcPr>
            <w:tcW w:w="3024" w:type="dxa"/>
            <w:shd w:val="clear" w:color="auto" w:fill="D9D9D6" w:themeFill="background2"/>
          </w:tcPr>
          <w:p w14:paraId="4A714027" w14:textId="77777777" w:rsidR="00A9747D" w:rsidRPr="00D70E8A" w:rsidRDefault="00A9747D">
            <w:pPr>
              <w:spacing w:before="0"/>
            </w:pPr>
          </w:p>
        </w:tc>
        <w:tc>
          <w:tcPr>
            <w:tcW w:w="3024" w:type="dxa"/>
          </w:tcPr>
          <w:p w14:paraId="75B6E378" w14:textId="77777777" w:rsidR="00A9747D" w:rsidRPr="00D70E8A" w:rsidRDefault="00A9747D">
            <w:pPr>
              <w:spacing w:before="0"/>
            </w:pPr>
            <w:r w:rsidRPr="00D70E8A">
              <w:rPr>
                <w:bCs/>
              </w:rPr>
              <w:t>$400,000,000</w:t>
            </w:r>
          </w:p>
        </w:tc>
      </w:tr>
      <w:tr w:rsidR="00A9747D" w:rsidRPr="00604C42" w14:paraId="5350C501" w14:textId="77777777">
        <w:trPr>
          <w:trHeight w:val="486"/>
        </w:trPr>
        <w:tc>
          <w:tcPr>
            <w:tcW w:w="3024" w:type="dxa"/>
          </w:tcPr>
          <w:p w14:paraId="5B45CBA7" w14:textId="77777777" w:rsidR="00A9747D" w:rsidRPr="00D70E8A" w:rsidRDefault="00A9747D">
            <w:pPr>
              <w:spacing w:before="0"/>
            </w:pPr>
            <w:r w:rsidRPr="00D70E8A">
              <w:rPr>
                <w:bCs/>
              </w:rPr>
              <w:t>Deemed labour ratio</w:t>
            </w:r>
          </w:p>
        </w:tc>
        <w:tc>
          <w:tcPr>
            <w:tcW w:w="3024" w:type="dxa"/>
          </w:tcPr>
          <w:p w14:paraId="1FA2BE4E" w14:textId="77777777" w:rsidR="00A9747D" w:rsidRPr="00D70E8A" w:rsidRDefault="00A9747D">
            <w:pPr>
              <w:spacing w:before="0"/>
            </w:pPr>
            <w:r w:rsidRPr="00D70E8A">
              <w:rPr>
                <w:bCs/>
              </w:rPr>
              <w:t>15%</w:t>
            </w:r>
          </w:p>
        </w:tc>
        <w:tc>
          <w:tcPr>
            <w:tcW w:w="3024" w:type="dxa"/>
          </w:tcPr>
          <w:p w14:paraId="416B7ABF" w14:textId="77777777" w:rsidR="00A9747D" w:rsidRPr="00D70E8A" w:rsidRDefault="00A9747D">
            <w:pPr>
              <w:spacing w:before="0"/>
            </w:pPr>
            <w:r w:rsidRPr="00D70E8A">
              <w:rPr>
                <w:bCs/>
              </w:rPr>
              <w:t>$60,000,000</w:t>
            </w:r>
          </w:p>
        </w:tc>
      </w:tr>
      <w:tr w:rsidR="00A9747D" w:rsidRPr="00604C42" w14:paraId="36AB0077" w14:textId="77777777">
        <w:trPr>
          <w:trHeight w:val="732"/>
        </w:trPr>
        <w:tc>
          <w:tcPr>
            <w:tcW w:w="3024" w:type="dxa"/>
          </w:tcPr>
          <w:p w14:paraId="5CA2AC7A" w14:textId="77777777" w:rsidR="00A9747D" w:rsidRPr="00D70E8A" w:rsidRDefault="00A9747D">
            <w:pPr>
              <w:spacing w:before="0"/>
            </w:pPr>
            <w:r w:rsidRPr="00D70E8A">
              <w:rPr>
                <w:bCs/>
              </w:rPr>
              <w:t>Deemed labour hourly rate</w:t>
            </w:r>
          </w:p>
        </w:tc>
        <w:tc>
          <w:tcPr>
            <w:tcW w:w="3024" w:type="dxa"/>
          </w:tcPr>
          <w:p w14:paraId="67BF9A7C" w14:textId="77777777" w:rsidR="00A9747D" w:rsidRPr="00D70E8A" w:rsidRDefault="00A9747D">
            <w:pPr>
              <w:spacing w:before="0"/>
            </w:pPr>
            <w:r w:rsidRPr="00D70E8A">
              <w:rPr>
                <w:bCs/>
              </w:rPr>
              <w:t>$95 p/h</w:t>
            </w:r>
          </w:p>
        </w:tc>
        <w:tc>
          <w:tcPr>
            <w:tcW w:w="3024" w:type="dxa"/>
          </w:tcPr>
          <w:p w14:paraId="3C9682E7" w14:textId="05873CD2" w:rsidR="00A9747D" w:rsidRPr="00D70E8A" w:rsidRDefault="00A9747D">
            <w:pPr>
              <w:spacing w:before="0"/>
              <w:rPr>
                <w:bCs/>
              </w:rPr>
            </w:pPr>
            <w:r w:rsidRPr="00D70E8A">
              <w:rPr>
                <w:bCs/>
              </w:rPr>
              <w:t>631,579 hours</w:t>
            </w:r>
            <w:r w:rsidR="005A556E">
              <w:rPr>
                <w:bCs/>
              </w:rPr>
              <w:t xml:space="preserve"> </w:t>
            </w:r>
          </w:p>
          <w:p w14:paraId="7528BB6B" w14:textId="77777777" w:rsidR="00A9747D" w:rsidRPr="00D70E8A" w:rsidRDefault="00A9747D">
            <w:pPr>
              <w:spacing w:before="0"/>
            </w:pPr>
            <w:r w:rsidRPr="00D70E8A">
              <w:rPr>
                <w:bCs/>
              </w:rPr>
              <w:t>(total labour hours)</w:t>
            </w:r>
          </w:p>
        </w:tc>
      </w:tr>
      <w:tr w:rsidR="00A9747D" w:rsidRPr="00604C42" w14:paraId="2B19AF7D" w14:textId="77777777">
        <w:trPr>
          <w:trHeight w:val="732"/>
        </w:trPr>
        <w:tc>
          <w:tcPr>
            <w:tcW w:w="3024" w:type="dxa"/>
          </w:tcPr>
          <w:p w14:paraId="593DB42A" w14:textId="77777777" w:rsidR="00A9747D" w:rsidRPr="00D70E8A" w:rsidRDefault="00A9747D">
            <w:pPr>
              <w:spacing w:before="0"/>
              <w:rPr>
                <w:bCs/>
              </w:rPr>
            </w:pPr>
            <w:r w:rsidRPr="00D70E8A">
              <w:rPr>
                <w:b/>
              </w:rPr>
              <w:t>Indicative MPSG labour hours</w:t>
            </w:r>
          </w:p>
        </w:tc>
        <w:tc>
          <w:tcPr>
            <w:tcW w:w="3024" w:type="dxa"/>
          </w:tcPr>
          <w:p w14:paraId="2F358E6B" w14:textId="77777777" w:rsidR="00A9747D" w:rsidRPr="00D70E8A" w:rsidRDefault="00A9747D">
            <w:pPr>
              <w:spacing w:before="0"/>
              <w:rPr>
                <w:bCs/>
              </w:rPr>
            </w:pPr>
            <w:r w:rsidRPr="00D70E8A">
              <w:rPr>
                <w:b/>
              </w:rPr>
              <w:t>10%</w:t>
            </w:r>
          </w:p>
        </w:tc>
        <w:tc>
          <w:tcPr>
            <w:tcW w:w="3024" w:type="dxa"/>
          </w:tcPr>
          <w:p w14:paraId="34A56C93" w14:textId="77777777" w:rsidR="00A9747D" w:rsidRPr="00D70E8A" w:rsidRDefault="00A9747D">
            <w:pPr>
              <w:spacing w:before="0"/>
              <w:rPr>
                <w:b/>
              </w:rPr>
            </w:pPr>
            <w:r w:rsidRPr="00D70E8A">
              <w:rPr>
                <w:b/>
              </w:rPr>
              <w:t>63,158 hours</w:t>
            </w:r>
          </w:p>
          <w:p w14:paraId="494304BD" w14:textId="77777777" w:rsidR="00A9747D" w:rsidRPr="00D70E8A" w:rsidRDefault="00A9747D">
            <w:pPr>
              <w:spacing w:before="0"/>
              <w:rPr>
                <w:bCs/>
              </w:rPr>
            </w:pPr>
            <w:r w:rsidRPr="00D70E8A">
              <w:rPr>
                <w:b/>
                <w:bCs/>
              </w:rPr>
              <w:t>(ATC labour hours)</w:t>
            </w:r>
          </w:p>
        </w:tc>
      </w:tr>
    </w:tbl>
    <w:p w14:paraId="2A5FEEEE" w14:textId="5F0AEF53" w:rsidR="00A9747D" w:rsidRPr="00A9747D" w:rsidRDefault="00A9747D" w:rsidP="00A9747D">
      <w:pPr>
        <w:rPr>
          <w:sz w:val="20"/>
          <w:szCs w:val="22"/>
        </w:rPr>
        <w:sectPr w:rsidR="00A9747D" w:rsidRPr="00A9747D" w:rsidSect="00042ADB">
          <w:pgSz w:w="11906" w:h="16838"/>
          <w:pgMar w:top="1276" w:right="1440" w:bottom="1440" w:left="1440" w:header="708" w:footer="137" w:gutter="0"/>
          <w:cols w:space="708"/>
          <w:titlePg/>
          <w:docGrid w:linePitch="360"/>
        </w:sectPr>
      </w:pPr>
    </w:p>
    <w:p w14:paraId="0BA71E56" w14:textId="51F812F3" w:rsidR="00243C58" w:rsidRPr="00042ADB" w:rsidRDefault="00243C58" w:rsidP="00803862">
      <w:pPr>
        <w:pStyle w:val="Heading2"/>
        <w:numPr>
          <w:ilvl w:val="0"/>
          <w:numId w:val="0"/>
        </w:numPr>
        <w:rPr>
          <w:sz w:val="24"/>
          <w:szCs w:val="24"/>
        </w:rPr>
      </w:pPr>
      <w:bookmarkStart w:id="4332" w:name="_Appendix_4:_Statutory"/>
      <w:bookmarkStart w:id="4333" w:name="_Toc108428965"/>
      <w:bookmarkStart w:id="4334" w:name="_Toc110586909"/>
      <w:bookmarkStart w:id="4335" w:name="_Toc207868017"/>
      <w:bookmarkEnd w:id="4332"/>
      <w:r w:rsidRPr="00042ADB">
        <w:rPr>
          <w:sz w:val="24"/>
          <w:szCs w:val="24"/>
        </w:rPr>
        <w:t xml:space="preserve">Appendix </w:t>
      </w:r>
      <w:r w:rsidR="00E52D26" w:rsidRPr="00042ADB">
        <w:rPr>
          <w:sz w:val="24"/>
          <w:szCs w:val="24"/>
        </w:rPr>
        <w:t>4</w:t>
      </w:r>
      <w:r w:rsidRPr="00042ADB">
        <w:rPr>
          <w:sz w:val="24"/>
          <w:szCs w:val="24"/>
        </w:rPr>
        <w:t>: Statutory Declaration Template</w:t>
      </w:r>
      <w:bookmarkEnd w:id="4333"/>
      <w:bookmarkEnd w:id="4334"/>
      <w:bookmarkEnd w:id="4335"/>
    </w:p>
    <w:p w14:paraId="25437347" w14:textId="77777777" w:rsidR="00243C58" w:rsidRDefault="00243C58" w:rsidP="00243C58">
      <w:pPr>
        <w:spacing w:after="120"/>
        <w:rPr>
          <w:rFonts w:ascii="Yu Gothic" w:eastAsia="Yu Gothic" w:hAnsi="Yu Gothic" w:cstheme="minorHAnsi"/>
          <w:szCs w:val="18"/>
        </w:rPr>
      </w:pPr>
    </w:p>
    <w:p w14:paraId="27AA40D0" w14:textId="77777777" w:rsidR="00243C58" w:rsidRPr="00042ADB" w:rsidRDefault="00243C58" w:rsidP="00243C58">
      <w:pPr>
        <w:spacing w:after="120"/>
        <w:jc w:val="center"/>
        <w:rPr>
          <w:rFonts w:eastAsia="Yu Gothic" w:cstheme="minorHAnsi"/>
          <w:sz w:val="20"/>
        </w:rPr>
      </w:pPr>
      <w:r w:rsidRPr="00042ADB">
        <w:rPr>
          <w:rFonts w:eastAsia="Yu Gothic" w:cstheme="minorHAnsi"/>
          <w:sz w:val="20"/>
        </w:rPr>
        <w:t>State of Victoria</w:t>
      </w:r>
    </w:p>
    <w:p w14:paraId="4985331E" w14:textId="77777777" w:rsidR="00243C58" w:rsidRPr="00042ADB" w:rsidRDefault="00243C58" w:rsidP="00243C58">
      <w:pPr>
        <w:widowControl w:val="0"/>
        <w:autoSpaceDE w:val="0"/>
        <w:autoSpaceDN w:val="0"/>
        <w:adjustRightInd w:val="0"/>
        <w:spacing w:line="347" w:lineRule="exact"/>
        <w:ind w:left="20" w:right="-68"/>
        <w:jc w:val="center"/>
        <w:rPr>
          <w:rFonts w:eastAsia="Yu Gothic"/>
          <w:sz w:val="20"/>
        </w:rPr>
      </w:pPr>
      <w:r w:rsidRPr="00042ADB">
        <w:rPr>
          <w:rFonts w:eastAsia="Yu Gothic"/>
          <w:b/>
          <w:bCs/>
          <w:sz w:val="20"/>
        </w:rPr>
        <w:t>Statutory Declaration</w:t>
      </w:r>
    </w:p>
    <w:p w14:paraId="1606F1A6" w14:textId="244D6BBA" w:rsidR="00243C58" w:rsidRPr="00042ADB" w:rsidRDefault="00243C58" w:rsidP="00243C58">
      <w:pPr>
        <w:widowControl w:val="0"/>
        <w:autoSpaceDE w:val="0"/>
        <w:autoSpaceDN w:val="0"/>
        <w:adjustRightInd w:val="0"/>
        <w:spacing w:after="0"/>
        <w:jc w:val="center"/>
        <w:rPr>
          <w:rFonts w:eastAsia="Yu Gothic"/>
          <w:szCs w:val="18"/>
          <w:lang w:eastAsia="en-AU"/>
        </w:rPr>
      </w:pPr>
    </w:p>
    <w:p w14:paraId="2371286D" w14:textId="77777777" w:rsidR="00243C58" w:rsidRPr="00042ADB" w:rsidRDefault="00243C58" w:rsidP="00243C58">
      <w:pPr>
        <w:spacing w:after="0"/>
        <w:rPr>
          <w:rFonts w:eastAsia="Yu Gothic"/>
          <w:sz w:val="16"/>
          <w:szCs w:val="18"/>
        </w:rPr>
      </w:pPr>
      <w:r w:rsidRPr="00042ADB">
        <w:rPr>
          <w:rFonts w:eastAsia="Yu Gothic"/>
          <w:sz w:val="16"/>
          <w:szCs w:val="18"/>
        </w:rPr>
        <w:t>I, ____________________________________________________________________________________________________________,</w:t>
      </w:r>
    </w:p>
    <w:p w14:paraId="47289D23" w14:textId="77777777" w:rsidR="00243C58" w:rsidRPr="00042ADB" w:rsidRDefault="00243C58" w:rsidP="00243C58">
      <w:pPr>
        <w:spacing w:after="240"/>
        <w:ind w:left="720" w:firstLine="720"/>
        <w:rPr>
          <w:rFonts w:eastAsia="Yu Gothic"/>
          <w:sz w:val="16"/>
          <w:szCs w:val="18"/>
        </w:rPr>
      </w:pPr>
      <w:r w:rsidRPr="00042ADB">
        <w:rPr>
          <w:rFonts w:eastAsia="Yu Gothic"/>
          <w:i/>
          <w:sz w:val="16"/>
          <w:szCs w:val="18"/>
        </w:rPr>
        <w:t>[name, address and occupation of person making the statutory declaration]</w:t>
      </w:r>
    </w:p>
    <w:p w14:paraId="7C2122C0" w14:textId="77777777" w:rsidR="00243C58" w:rsidRPr="00042ADB" w:rsidRDefault="00243C58" w:rsidP="00243C58">
      <w:pPr>
        <w:spacing w:after="240"/>
        <w:rPr>
          <w:rFonts w:eastAsia="Yu Gothic"/>
          <w:sz w:val="16"/>
          <w:szCs w:val="18"/>
        </w:rPr>
      </w:pPr>
      <w:r w:rsidRPr="00042ADB">
        <w:rPr>
          <w:rFonts w:eastAsia="Yu Gothic"/>
          <w:sz w:val="16"/>
          <w:szCs w:val="18"/>
        </w:rPr>
        <w:t xml:space="preserve">make the following statutory declaration under </w:t>
      </w:r>
      <w:r w:rsidRPr="00066FB4">
        <w:rPr>
          <w:rFonts w:eastAsia="Yu Gothic"/>
          <w:bCs/>
          <w:sz w:val="16"/>
          <w:szCs w:val="18"/>
        </w:rPr>
        <w:t>the</w:t>
      </w:r>
      <w:r w:rsidRPr="00042ADB">
        <w:rPr>
          <w:rFonts w:eastAsia="Yu Gothic"/>
          <w:b/>
          <w:sz w:val="16"/>
          <w:szCs w:val="18"/>
        </w:rPr>
        <w:t xml:space="preserve"> </w:t>
      </w:r>
      <w:r w:rsidRPr="00066FB4">
        <w:rPr>
          <w:rFonts w:eastAsia="Yu Gothic"/>
          <w:b/>
          <w:i/>
          <w:iCs/>
          <w:sz w:val="16"/>
          <w:szCs w:val="18"/>
        </w:rPr>
        <w:t>Oaths and Affirmations Act 2018</w:t>
      </w:r>
      <w:r w:rsidRPr="00042ADB">
        <w:rPr>
          <w:rFonts w:eastAsia="Yu Gothic"/>
          <w:sz w:val="16"/>
          <w:szCs w:val="18"/>
        </w:rPr>
        <w:t xml:space="preserve">: </w:t>
      </w:r>
    </w:p>
    <w:p w14:paraId="1E3F1431" w14:textId="77777777" w:rsidR="00243C58" w:rsidRPr="00042ADB" w:rsidRDefault="00243C58" w:rsidP="00243C58">
      <w:pPr>
        <w:pStyle w:val="ListParagraph"/>
        <w:widowControl w:val="0"/>
        <w:numPr>
          <w:ilvl w:val="0"/>
          <w:numId w:val="69"/>
        </w:numPr>
        <w:tabs>
          <w:tab w:val="left" w:pos="4100"/>
        </w:tabs>
        <w:autoSpaceDE w:val="0"/>
        <w:autoSpaceDN w:val="0"/>
        <w:adjustRightInd w:val="0"/>
        <w:spacing w:line="265" w:lineRule="exact"/>
        <w:ind w:right="-57" w:hanging="357"/>
        <w:contextualSpacing w:val="0"/>
        <w:rPr>
          <w:rFonts w:ascii="VIC" w:eastAsia="Yu Gothic" w:hAnsi="VIC"/>
          <w:sz w:val="16"/>
          <w:szCs w:val="18"/>
        </w:rPr>
      </w:pPr>
      <w:r w:rsidRPr="00042ADB">
        <w:rPr>
          <w:rFonts w:ascii="VIC" w:eastAsia="Yu Gothic" w:hAnsi="VIC"/>
          <w:sz w:val="16"/>
          <w:szCs w:val="18"/>
        </w:rPr>
        <w:t>_________________________________________________________________________________________________________</w:t>
      </w:r>
    </w:p>
    <w:p w14:paraId="74F659C3" w14:textId="77777777" w:rsidR="00243C58" w:rsidRPr="00042ADB" w:rsidRDefault="00243C58" w:rsidP="00243C58">
      <w:pPr>
        <w:pStyle w:val="ListParagraph"/>
        <w:widowControl w:val="0"/>
        <w:tabs>
          <w:tab w:val="left" w:pos="4100"/>
        </w:tabs>
        <w:autoSpaceDE w:val="0"/>
        <w:autoSpaceDN w:val="0"/>
        <w:adjustRightInd w:val="0"/>
        <w:spacing w:after="240" w:line="265" w:lineRule="exact"/>
        <w:ind w:left="380" w:right="-56"/>
        <w:contextualSpacing w:val="0"/>
        <w:rPr>
          <w:rFonts w:ascii="VIC" w:eastAsia="Yu Gothic" w:hAnsi="VIC"/>
          <w:i/>
          <w:sz w:val="16"/>
          <w:szCs w:val="18"/>
        </w:rPr>
      </w:pPr>
      <w:r w:rsidRPr="00042ADB">
        <w:rPr>
          <w:rFonts w:ascii="VIC" w:eastAsia="Yu Gothic" w:hAnsi="VIC"/>
          <w:sz w:val="16"/>
          <w:szCs w:val="18"/>
        </w:rPr>
        <w:tab/>
      </w:r>
      <w:r w:rsidRPr="00042ADB">
        <w:rPr>
          <w:rFonts w:ascii="VIC" w:eastAsia="Yu Gothic" w:hAnsi="VIC"/>
          <w:i/>
          <w:sz w:val="16"/>
          <w:szCs w:val="18"/>
        </w:rPr>
        <w:t>[insert name]</w:t>
      </w:r>
    </w:p>
    <w:p w14:paraId="29DE965C" w14:textId="77777777" w:rsidR="00243C58" w:rsidRPr="00042ADB" w:rsidRDefault="00243C58" w:rsidP="00243C58">
      <w:pPr>
        <w:pStyle w:val="ListParagraph"/>
        <w:widowControl w:val="0"/>
        <w:tabs>
          <w:tab w:val="left" w:pos="4100"/>
        </w:tabs>
        <w:autoSpaceDE w:val="0"/>
        <w:autoSpaceDN w:val="0"/>
        <w:adjustRightInd w:val="0"/>
        <w:spacing w:after="240" w:line="265" w:lineRule="exact"/>
        <w:ind w:left="380" w:right="-56"/>
        <w:contextualSpacing w:val="0"/>
        <w:rPr>
          <w:rFonts w:ascii="VIC" w:eastAsia="Yu Gothic" w:hAnsi="VIC"/>
          <w:sz w:val="16"/>
          <w:szCs w:val="18"/>
        </w:rPr>
      </w:pPr>
      <w:r w:rsidRPr="00042ADB">
        <w:rPr>
          <w:rFonts w:ascii="VIC" w:eastAsia="Yu Gothic" w:hAnsi="VIC"/>
          <w:sz w:val="16"/>
          <w:szCs w:val="18"/>
        </w:rPr>
        <w:t>achieved the Local Jobs First objectives and outcomes relating to local content, employment, skills and technology transfer, and apprentices/trainees/cadets reflected in the Local Jobs First Monitoring Table for</w:t>
      </w:r>
    </w:p>
    <w:p w14:paraId="5B3B1F76" w14:textId="77777777" w:rsidR="00243C58" w:rsidRPr="00042ADB" w:rsidRDefault="00243C58" w:rsidP="00243C58">
      <w:pPr>
        <w:pStyle w:val="ListParagraph"/>
        <w:widowControl w:val="0"/>
        <w:tabs>
          <w:tab w:val="left" w:pos="4100"/>
        </w:tabs>
        <w:autoSpaceDE w:val="0"/>
        <w:autoSpaceDN w:val="0"/>
        <w:adjustRightInd w:val="0"/>
        <w:spacing w:line="265" w:lineRule="exact"/>
        <w:ind w:left="380" w:right="-57"/>
        <w:contextualSpacing w:val="0"/>
        <w:rPr>
          <w:rFonts w:ascii="VIC" w:eastAsia="Yu Gothic" w:hAnsi="VIC"/>
          <w:sz w:val="16"/>
          <w:szCs w:val="18"/>
        </w:rPr>
      </w:pPr>
      <w:r w:rsidRPr="00042ADB">
        <w:rPr>
          <w:rFonts w:ascii="VIC" w:eastAsia="Yu Gothic" w:hAnsi="VIC"/>
          <w:sz w:val="16"/>
          <w:szCs w:val="18"/>
        </w:rPr>
        <w:t>_________________________________________________________________________________________________________</w:t>
      </w:r>
    </w:p>
    <w:p w14:paraId="0632DC1F" w14:textId="77777777" w:rsidR="00243C58" w:rsidRPr="00042ADB" w:rsidRDefault="00243C58" w:rsidP="00243C58">
      <w:pPr>
        <w:pStyle w:val="ListParagraph"/>
        <w:widowControl w:val="0"/>
        <w:tabs>
          <w:tab w:val="left" w:pos="4100"/>
        </w:tabs>
        <w:autoSpaceDE w:val="0"/>
        <w:autoSpaceDN w:val="0"/>
        <w:adjustRightInd w:val="0"/>
        <w:spacing w:after="240" w:line="265" w:lineRule="exact"/>
        <w:ind w:left="380" w:right="-56"/>
        <w:contextualSpacing w:val="0"/>
        <w:jc w:val="center"/>
        <w:rPr>
          <w:rFonts w:ascii="VIC" w:eastAsia="Yu Gothic" w:hAnsi="VIC"/>
          <w:i/>
          <w:sz w:val="16"/>
          <w:szCs w:val="18"/>
        </w:rPr>
      </w:pPr>
      <w:r w:rsidRPr="00042ADB">
        <w:rPr>
          <w:rFonts w:ascii="VIC" w:eastAsia="Yu Gothic" w:hAnsi="VIC"/>
          <w:i/>
          <w:sz w:val="16"/>
          <w:szCs w:val="18"/>
        </w:rPr>
        <w:t>[insert name and tender number of procurement activity]</w:t>
      </w:r>
    </w:p>
    <w:p w14:paraId="6833341A" w14:textId="77777777" w:rsidR="00243C58" w:rsidRPr="00042ADB" w:rsidRDefault="00243C58" w:rsidP="00243C58">
      <w:pPr>
        <w:pStyle w:val="ListParagraph"/>
        <w:widowControl w:val="0"/>
        <w:tabs>
          <w:tab w:val="left" w:pos="4100"/>
        </w:tabs>
        <w:autoSpaceDE w:val="0"/>
        <w:autoSpaceDN w:val="0"/>
        <w:adjustRightInd w:val="0"/>
        <w:spacing w:line="265" w:lineRule="exact"/>
        <w:ind w:left="380" w:right="-57"/>
        <w:contextualSpacing w:val="0"/>
        <w:rPr>
          <w:rFonts w:ascii="VIC" w:eastAsia="Yu Gothic" w:hAnsi="VIC"/>
          <w:sz w:val="16"/>
          <w:szCs w:val="18"/>
        </w:rPr>
      </w:pPr>
      <w:r w:rsidRPr="00042ADB">
        <w:rPr>
          <w:rFonts w:ascii="VIC" w:eastAsia="Yu Gothic" w:hAnsi="VIC"/>
          <w:sz w:val="16"/>
          <w:szCs w:val="18"/>
        </w:rPr>
        <w:t>as submitted to</w:t>
      </w:r>
      <w:r w:rsidRPr="00042ADB">
        <w:rPr>
          <w:rFonts w:ascii="VIC" w:eastAsia="Yu Gothic" w:hAnsi="VIC"/>
          <w:i/>
          <w:sz w:val="16"/>
          <w:szCs w:val="18"/>
        </w:rPr>
        <w:t xml:space="preserve"> ________________________________________</w:t>
      </w:r>
      <w:r w:rsidRPr="00042ADB">
        <w:rPr>
          <w:rFonts w:ascii="VIC" w:eastAsia="Yu Gothic" w:hAnsi="VIC"/>
          <w:sz w:val="16"/>
          <w:szCs w:val="18"/>
        </w:rPr>
        <w:t>________</w:t>
      </w:r>
      <w:r w:rsidRPr="00042ADB">
        <w:rPr>
          <w:rFonts w:ascii="VIC" w:eastAsia="Yu Gothic" w:hAnsi="VIC"/>
          <w:i/>
          <w:sz w:val="16"/>
          <w:szCs w:val="18"/>
        </w:rPr>
        <w:t xml:space="preserve">___ </w:t>
      </w:r>
      <w:r w:rsidRPr="00042ADB">
        <w:rPr>
          <w:rFonts w:ascii="VIC" w:eastAsia="Yu Gothic" w:hAnsi="VIC"/>
          <w:sz w:val="16"/>
          <w:szCs w:val="18"/>
        </w:rPr>
        <w:t>on _______________________________.</w:t>
      </w:r>
    </w:p>
    <w:p w14:paraId="0F62B50C" w14:textId="77777777" w:rsidR="00243C58" w:rsidRPr="00042ADB" w:rsidRDefault="00243C58" w:rsidP="00243C58">
      <w:pPr>
        <w:pStyle w:val="ListParagraph"/>
        <w:widowControl w:val="0"/>
        <w:tabs>
          <w:tab w:val="left" w:pos="4100"/>
        </w:tabs>
        <w:autoSpaceDE w:val="0"/>
        <w:autoSpaceDN w:val="0"/>
        <w:adjustRightInd w:val="0"/>
        <w:spacing w:after="240" w:line="265" w:lineRule="exact"/>
        <w:ind w:left="380" w:right="-56"/>
        <w:contextualSpacing w:val="0"/>
        <w:jc w:val="center"/>
        <w:rPr>
          <w:rFonts w:ascii="VIC" w:eastAsia="Yu Gothic" w:hAnsi="VIC"/>
          <w:sz w:val="16"/>
          <w:szCs w:val="18"/>
        </w:rPr>
      </w:pPr>
      <w:r w:rsidRPr="00042ADB">
        <w:rPr>
          <w:rFonts w:ascii="VIC" w:eastAsia="Yu Gothic" w:hAnsi="VIC"/>
          <w:i/>
          <w:sz w:val="16"/>
          <w:szCs w:val="18"/>
        </w:rPr>
        <w:t>[</w:t>
      </w:r>
      <w:proofErr w:type="gramStart"/>
      <w:r w:rsidRPr="00042ADB">
        <w:rPr>
          <w:rFonts w:ascii="VIC" w:eastAsia="Yu Gothic" w:hAnsi="VIC"/>
          <w:i/>
          <w:sz w:val="16"/>
          <w:szCs w:val="18"/>
        </w:rPr>
        <w:t>agency]</w:t>
      </w:r>
      <w:r w:rsidRPr="00042ADB">
        <w:rPr>
          <w:rFonts w:ascii="VIC" w:eastAsia="Yu Gothic" w:hAnsi="VIC"/>
          <w:sz w:val="16"/>
          <w:szCs w:val="18"/>
        </w:rPr>
        <w:t xml:space="preserve">   </w:t>
      </w:r>
      <w:proofErr w:type="gramEnd"/>
      <w:r w:rsidRPr="00042ADB">
        <w:rPr>
          <w:rFonts w:ascii="VIC" w:eastAsia="Yu Gothic" w:hAnsi="VIC"/>
          <w:sz w:val="16"/>
          <w:szCs w:val="18"/>
        </w:rPr>
        <w:t xml:space="preserve">                                                                 </w:t>
      </w:r>
      <w:proofErr w:type="gramStart"/>
      <w:r w:rsidRPr="00042ADB">
        <w:rPr>
          <w:rFonts w:ascii="VIC" w:eastAsia="Yu Gothic" w:hAnsi="VIC"/>
          <w:sz w:val="16"/>
          <w:szCs w:val="18"/>
        </w:rPr>
        <w:t xml:space="preserve">   </w:t>
      </w:r>
      <w:r w:rsidRPr="00042ADB">
        <w:rPr>
          <w:rFonts w:ascii="VIC" w:eastAsia="Yu Gothic" w:hAnsi="VIC"/>
          <w:i/>
          <w:sz w:val="16"/>
          <w:szCs w:val="18"/>
        </w:rPr>
        <w:t>[</w:t>
      </w:r>
      <w:proofErr w:type="gramEnd"/>
      <w:r w:rsidRPr="00042ADB">
        <w:rPr>
          <w:rFonts w:ascii="VIC" w:eastAsia="Yu Gothic" w:hAnsi="VIC"/>
          <w:i/>
          <w:sz w:val="16"/>
          <w:szCs w:val="18"/>
        </w:rPr>
        <w:t>date]</w:t>
      </w:r>
    </w:p>
    <w:p w14:paraId="58C83A8A" w14:textId="0003E04C" w:rsidR="00243C58" w:rsidRPr="00042ADB" w:rsidRDefault="00243C58" w:rsidP="00243C58">
      <w:pPr>
        <w:spacing w:after="240"/>
        <w:rPr>
          <w:rFonts w:eastAsia="Yu Gothic"/>
          <w:sz w:val="16"/>
          <w:szCs w:val="18"/>
        </w:rPr>
      </w:pPr>
      <w:r w:rsidRPr="00042ADB">
        <w:rPr>
          <w:rFonts w:eastAsia="Yu Gothic"/>
          <w:sz w:val="16"/>
          <w:szCs w:val="18"/>
        </w:rPr>
        <w:t>I declare that the contents of this statutory declaration are true and correct and I make it knowing that making a statutory declaration that I know to be untrue is an offence.</w:t>
      </w:r>
    </w:p>
    <w:p w14:paraId="147AAE48" w14:textId="77777777" w:rsidR="00243C58" w:rsidRPr="00042ADB" w:rsidRDefault="00243C58" w:rsidP="00243C58">
      <w:pPr>
        <w:spacing w:after="0"/>
        <w:rPr>
          <w:rFonts w:eastAsia="Yu Gothic"/>
          <w:sz w:val="16"/>
          <w:szCs w:val="18"/>
        </w:rPr>
      </w:pPr>
      <w:r w:rsidRPr="00042ADB">
        <w:rPr>
          <w:rFonts w:eastAsia="Yu Gothic"/>
          <w:sz w:val="16"/>
          <w:szCs w:val="18"/>
        </w:rPr>
        <w:t>_________________________________________________________</w:t>
      </w:r>
    </w:p>
    <w:p w14:paraId="417CB415" w14:textId="2B73BA30" w:rsidR="00243C58" w:rsidRPr="00042ADB" w:rsidRDefault="00243C58" w:rsidP="00243C58">
      <w:pPr>
        <w:spacing w:after="240"/>
        <w:rPr>
          <w:rFonts w:eastAsia="Yu Gothic"/>
          <w:sz w:val="16"/>
          <w:szCs w:val="18"/>
        </w:rPr>
      </w:pPr>
      <w:r w:rsidRPr="00042ADB">
        <w:rPr>
          <w:rFonts w:eastAsia="Yu Gothic"/>
          <w:i/>
          <w:sz w:val="16"/>
          <w:szCs w:val="18"/>
        </w:rPr>
        <w:t>[signature of person making this statutory declaration in the presence of the authorised statutory declaration witness]</w:t>
      </w:r>
    </w:p>
    <w:p w14:paraId="68155EBF" w14:textId="77777777" w:rsidR="00243C58" w:rsidRPr="00042ADB" w:rsidRDefault="00243C58" w:rsidP="00243C58">
      <w:pPr>
        <w:spacing w:after="0"/>
        <w:rPr>
          <w:rFonts w:eastAsia="Yu Gothic"/>
          <w:sz w:val="16"/>
          <w:szCs w:val="18"/>
        </w:rPr>
      </w:pPr>
      <w:r w:rsidRPr="00042ADB">
        <w:rPr>
          <w:rFonts w:eastAsia="Yu Gothic"/>
          <w:sz w:val="16"/>
          <w:szCs w:val="18"/>
        </w:rPr>
        <w:t>Declared at __________________________________________ in the State of Victoria on ______________________</w:t>
      </w:r>
    </w:p>
    <w:p w14:paraId="16E0AC6A" w14:textId="77777777" w:rsidR="00243C58" w:rsidRPr="00042ADB" w:rsidRDefault="00243C58" w:rsidP="00243C58">
      <w:pPr>
        <w:spacing w:after="240"/>
        <w:ind w:left="720" w:firstLine="720"/>
        <w:rPr>
          <w:rFonts w:eastAsia="Yu Gothic"/>
          <w:i/>
          <w:sz w:val="16"/>
          <w:szCs w:val="18"/>
        </w:rPr>
      </w:pPr>
      <w:r w:rsidRPr="00042ADB">
        <w:rPr>
          <w:rFonts w:eastAsia="Yu Gothic"/>
          <w:i/>
          <w:sz w:val="16"/>
          <w:szCs w:val="18"/>
        </w:rPr>
        <w:t>[</w:t>
      </w:r>
      <w:proofErr w:type="gramStart"/>
      <w:r w:rsidRPr="00042ADB">
        <w:rPr>
          <w:rFonts w:eastAsia="Yu Gothic"/>
          <w:i/>
          <w:sz w:val="16"/>
          <w:szCs w:val="18"/>
        </w:rPr>
        <w:t xml:space="preserve">place]   </w:t>
      </w:r>
      <w:proofErr w:type="gramEnd"/>
      <w:r w:rsidRPr="00042ADB">
        <w:rPr>
          <w:rFonts w:eastAsia="Yu Gothic"/>
          <w:i/>
          <w:sz w:val="16"/>
          <w:szCs w:val="18"/>
        </w:rPr>
        <w:t xml:space="preserve">                                                                                                     </w:t>
      </w:r>
      <w:proofErr w:type="gramStart"/>
      <w:r w:rsidRPr="00042ADB">
        <w:rPr>
          <w:rFonts w:eastAsia="Yu Gothic"/>
          <w:i/>
          <w:sz w:val="16"/>
          <w:szCs w:val="18"/>
        </w:rPr>
        <w:t xml:space="preserve">   [</w:t>
      </w:r>
      <w:proofErr w:type="gramEnd"/>
      <w:r w:rsidRPr="00042ADB">
        <w:rPr>
          <w:rFonts w:eastAsia="Yu Gothic"/>
          <w:i/>
          <w:sz w:val="16"/>
          <w:szCs w:val="18"/>
        </w:rPr>
        <w:t>date]</w:t>
      </w:r>
    </w:p>
    <w:p w14:paraId="44432EFB" w14:textId="77777777" w:rsidR="00243C58" w:rsidRPr="00042ADB" w:rsidRDefault="00243C58" w:rsidP="00243C58">
      <w:pPr>
        <w:spacing w:after="0"/>
        <w:rPr>
          <w:rFonts w:eastAsia="Yu Gothic"/>
          <w:sz w:val="16"/>
          <w:szCs w:val="18"/>
        </w:rPr>
      </w:pPr>
      <w:r w:rsidRPr="00042ADB">
        <w:rPr>
          <w:rFonts w:eastAsia="Yu Gothic"/>
          <w:sz w:val="16"/>
          <w:szCs w:val="18"/>
        </w:rPr>
        <w:t>This is a true copy of the statutory declaration made by me ____________________________________</w:t>
      </w:r>
    </w:p>
    <w:p w14:paraId="606E302B" w14:textId="0C94B042" w:rsidR="00243C58" w:rsidRPr="00042ADB" w:rsidRDefault="00243C58" w:rsidP="00243C58">
      <w:pPr>
        <w:spacing w:after="240"/>
        <w:ind w:left="5954"/>
        <w:rPr>
          <w:rFonts w:eastAsia="Yu Gothic"/>
          <w:sz w:val="16"/>
          <w:szCs w:val="18"/>
        </w:rPr>
      </w:pPr>
      <w:r w:rsidRPr="00042ADB">
        <w:rPr>
          <w:rFonts w:eastAsia="Yu Gothic"/>
          <w:i/>
          <w:sz w:val="16"/>
          <w:szCs w:val="18"/>
        </w:rPr>
        <w:t>[name]</w:t>
      </w:r>
    </w:p>
    <w:p w14:paraId="7E3ACB6B" w14:textId="05C6FC98" w:rsidR="00243C58" w:rsidRPr="00042ADB" w:rsidRDefault="00243C58" w:rsidP="00243C58">
      <w:pPr>
        <w:spacing w:after="240"/>
        <w:rPr>
          <w:rFonts w:eastAsia="Yu Gothic"/>
          <w:b/>
          <w:sz w:val="16"/>
          <w:szCs w:val="18"/>
        </w:rPr>
      </w:pPr>
      <w:r w:rsidRPr="00042ADB">
        <w:rPr>
          <w:rFonts w:eastAsia="Yu Gothic"/>
          <w:b/>
          <w:sz w:val="16"/>
          <w:szCs w:val="18"/>
        </w:rPr>
        <w:t xml:space="preserve">I am an authorised statutory declaration </w:t>
      </w:r>
      <w:proofErr w:type="gramStart"/>
      <w:r w:rsidRPr="00042ADB">
        <w:rPr>
          <w:rFonts w:eastAsia="Yu Gothic"/>
          <w:b/>
          <w:sz w:val="16"/>
          <w:szCs w:val="18"/>
        </w:rPr>
        <w:t>witness</w:t>
      </w:r>
      <w:proofErr w:type="gramEnd"/>
      <w:r w:rsidRPr="00042ADB">
        <w:rPr>
          <w:rFonts w:eastAsia="Yu Gothic"/>
          <w:b/>
          <w:sz w:val="16"/>
          <w:szCs w:val="18"/>
        </w:rPr>
        <w:t xml:space="preserve"> and I sign this document in the presence of the person making the declaration:</w:t>
      </w:r>
    </w:p>
    <w:p w14:paraId="309AB3FE" w14:textId="2BCB70BC" w:rsidR="00243C58" w:rsidRPr="00042ADB" w:rsidRDefault="00243C58" w:rsidP="00243C58">
      <w:pPr>
        <w:spacing w:after="0"/>
        <w:rPr>
          <w:rFonts w:eastAsia="Yu Gothic"/>
          <w:sz w:val="16"/>
          <w:szCs w:val="18"/>
        </w:rPr>
      </w:pPr>
      <w:r w:rsidRPr="00042ADB">
        <w:rPr>
          <w:rFonts w:eastAsia="Yu Gothic"/>
          <w:sz w:val="16"/>
          <w:szCs w:val="18"/>
        </w:rPr>
        <w:t>_________________________________</w:t>
      </w:r>
    </w:p>
    <w:p w14:paraId="39F7F54F" w14:textId="00CAF2FA" w:rsidR="00243C58" w:rsidRPr="00042ADB" w:rsidRDefault="00243C58" w:rsidP="00243C58">
      <w:pPr>
        <w:spacing w:after="240"/>
        <w:rPr>
          <w:rFonts w:eastAsia="Yu Gothic"/>
          <w:i/>
          <w:sz w:val="16"/>
          <w:szCs w:val="18"/>
        </w:rPr>
      </w:pPr>
      <w:r w:rsidRPr="00042ADB">
        <w:rPr>
          <w:rFonts w:eastAsia="Yu Gothic"/>
          <w:i/>
          <w:sz w:val="16"/>
          <w:szCs w:val="18"/>
        </w:rPr>
        <w:t>[signature of authorised statutory declaration witness]</w:t>
      </w:r>
    </w:p>
    <w:p w14:paraId="788AAFF6" w14:textId="77777777" w:rsidR="00243C58" w:rsidRPr="00042ADB" w:rsidRDefault="00243C58" w:rsidP="00243C58">
      <w:pPr>
        <w:spacing w:after="0"/>
        <w:rPr>
          <w:rFonts w:eastAsia="Yu Gothic"/>
          <w:sz w:val="16"/>
          <w:szCs w:val="18"/>
        </w:rPr>
      </w:pPr>
      <w:r w:rsidRPr="00042ADB">
        <w:rPr>
          <w:rFonts w:eastAsia="Yu Gothic"/>
          <w:sz w:val="16"/>
          <w:szCs w:val="18"/>
        </w:rPr>
        <w:t>on ____________________________________</w:t>
      </w:r>
    </w:p>
    <w:p w14:paraId="7B8D6F84" w14:textId="77777777" w:rsidR="00243C58" w:rsidRPr="00042ADB" w:rsidRDefault="00243C58" w:rsidP="00243C58">
      <w:pPr>
        <w:spacing w:after="240"/>
        <w:ind w:firstLine="720"/>
        <w:rPr>
          <w:rFonts w:eastAsia="Yu Gothic"/>
          <w:sz w:val="16"/>
          <w:szCs w:val="18"/>
        </w:rPr>
      </w:pPr>
      <w:r w:rsidRPr="00042ADB">
        <w:rPr>
          <w:rFonts w:eastAsia="Yu Gothic"/>
          <w:i/>
          <w:sz w:val="16"/>
          <w:szCs w:val="18"/>
        </w:rPr>
        <w:t>[date]</w:t>
      </w:r>
      <w:r w:rsidRPr="00042ADB">
        <w:rPr>
          <w:rFonts w:eastAsia="Yu Gothic"/>
          <w:sz w:val="16"/>
          <w:szCs w:val="18"/>
        </w:rPr>
        <w:t xml:space="preserve"> </w:t>
      </w:r>
    </w:p>
    <w:p w14:paraId="7BFC2498" w14:textId="77777777" w:rsidR="00243C58" w:rsidRPr="00042ADB" w:rsidRDefault="00243C58" w:rsidP="00243C58">
      <w:pPr>
        <w:spacing w:after="0"/>
        <w:rPr>
          <w:rFonts w:eastAsia="Yu Gothic"/>
          <w:sz w:val="16"/>
          <w:szCs w:val="18"/>
        </w:rPr>
      </w:pPr>
      <w:r w:rsidRPr="00042ADB">
        <w:rPr>
          <w:rFonts w:eastAsia="Yu Gothic"/>
          <w:sz w:val="16"/>
          <w:szCs w:val="18"/>
        </w:rPr>
        <w:t>_________________________________________________________________________________________________________</w:t>
      </w:r>
    </w:p>
    <w:p w14:paraId="1314CEFC" w14:textId="5D2FB8B0" w:rsidR="00243C58" w:rsidRPr="00042ADB" w:rsidRDefault="00243C58" w:rsidP="00243C58">
      <w:pPr>
        <w:spacing w:after="240"/>
        <w:rPr>
          <w:rFonts w:eastAsia="Yu Gothic"/>
          <w:i/>
          <w:sz w:val="16"/>
          <w:szCs w:val="18"/>
        </w:rPr>
      </w:pPr>
      <w:r w:rsidRPr="00042ADB">
        <w:rPr>
          <w:rFonts w:eastAsia="Yu Gothic"/>
          <w:i/>
          <w:sz w:val="16"/>
          <w:szCs w:val="18"/>
        </w:rPr>
        <w:t>[full name and personal or professional address of authorised statutory declaration witness in legible writing, typing or stamp]</w:t>
      </w:r>
    </w:p>
    <w:p w14:paraId="20556574" w14:textId="77777777" w:rsidR="00243C58" w:rsidRPr="00042ADB" w:rsidRDefault="00243C58" w:rsidP="00243C58">
      <w:pPr>
        <w:spacing w:after="0"/>
        <w:rPr>
          <w:rFonts w:eastAsia="Yu Gothic"/>
          <w:sz w:val="16"/>
          <w:szCs w:val="18"/>
        </w:rPr>
      </w:pPr>
      <w:r w:rsidRPr="00042ADB">
        <w:rPr>
          <w:rFonts w:eastAsia="Yu Gothic"/>
          <w:sz w:val="16"/>
          <w:szCs w:val="18"/>
        </w:rPr>
        <w:t>_____________________________________________________________________________________________</w:t>
      </w:r>
    </w:p>
    <w:p w14:paraId="0721C6B2" w14:textId="2A5EAA94" w:rsidR="00243C58" w:rsidRPr="00042ADB" w:rsidRDefault="00243C58" w:rsidP="00243C58">
      <w:pPr>
        <w:spacing w:after="240"/>
        <w:rPr>
          <w:rFonts w:eastAsia="Yu Gothic"/>
          <w:sz w:val="16"/>
          <w:szCs w:val="18"/>
        </w:rPr>
      </w:pPr>
      <w:r w:rsidRPr="00042ADB">
        <w:rPr>
          <w:rFonts w:eastAsia="Yu Gothic"/>
          <w:i/>
          <w:sz w:val="16"/>
          <w:szCs w:val="18"/>
        </w:rPr>
        <w:t>[qualification as an authorised statutory declaration witness]</w:t>
      </w:r>
    </w:p>
    <w:p w14:paraId="35D04CF1" w14:textId="77777777" w:rsidR="00243C58" w:rsidRPr="00042ADB" w:rsidRDefault="00243C58" w:rsidP="00243C58">
      <w:pPr>
        <w:spacing w:after="240"/>
        <w:rPr>
          <w:rFonts w:eastAsia="Yu Gothic"/>
          <w:sz w:val="16"/>
          <w:szCs w:val="18"/>
        </w:rPr>
      </w:pPr>
      <w:r w:rsidRPr="00042ADB">
        <w:rPr>
          <w:rFonts w:eastAsia="Yu Gothic"/>
          <w:sz w:val="16"/>
          <w:szCs w:val="18"/>
        </w:rPr>
        <w:t xml:space="preserve">A person authorised under section 30(2) of the </w:t>
      </w:r>
      <w:r w:rsidRPr="00066FB4">
        <w:rPr>
          <w:rFonts w:eastAsia="Yu Gothic"/>
          <w:b/>
          <w:i/>
          <w:iCs/>
          <w:sz w:val="16"/>
          <w:szCs w:val="18"/>
        </w:rPr>
        <w:t>Oaths and Affirmations Act 2018</w:t>
      </w:r>
      <w:r w:rsidRPr="00042ADB">
        <w:rPr>
          <w:rFonts w:eastAsia="Yu Gothic"/>
          <w:sz w:val="16"/>
          <w:szCs w:val="18"/>
        </w:rPr>
        <w:t xml:space="preserve"> to witness the signing of a statutory declaration.</w:t>
      </w:r>
    </w:p>
    <w:p w14:paraId="13248ED2" w14:textId="538840C1" w:rsidR="00243C58" w:rsidRPr="00042ADB" w:rsidRDefault="00243C58" w:rsidP="00243C58">
      <w:pPr>
        <w:spacing w:after="240"/>
        <w:rPr>
          <w:rFonts w:eastAsia="Yu Gothic"/>
          <w:i/>
          <w:sz w:val="16"/>
          <w:szCs w:val="18"/>
        </w:rPr>
      </w:pPr>
      <w:r w:rsidRPr="00042ADB">
        <w:rPr>
          <w:rFonts w:eastAsia="Yu Gothic"/>
          <w:i/>
          <w:sz w:val="16"/>
          <w:szCs w:val="18"/>
        </w:rPr>
        <w:t>[include if applicable]</w:t>
      </w:r>
    </w:p>
    <w:p w14:paraId="7C87DCE3" w14:textId="77777777" w:rsidR="00243C58" w:rsidRPr="00042ADB" w:rsidRDefault="00243C58" w:rsidP="00243C58">
      <w:pPr>
        <w:spacing w:after="240"/>
        <w:rPr>
          <w:rFonts w:eastAsia="Yu Gothic"/>
          <w:i/>
          <w:sz w:val="16"/>
          <w:szCs w:val="18"/>
        </w:rPr>
      </w:pPr>
      <w:r w:rsidRPr="00042ADB">
        <w:rPr>
          <w:rFonts w:eastAsia="Yu Gothic"/>
          <w:sz w:val="16"/>
          <w:szCs w:val="18"/>
        </w:rPr>
        <w:t>This document was made in electronic form and was witnessed by audio visual link in accordance with the</w:t>
      </w:r>
      <w:r w:rsidRPr="00042ADB">
        <w:rPr>
          <w:rFonts w:eastAsia="Yu Gothic"/>
          <w:i/>
          <w:sz w:val="16"/>
          <w:szCs w:val="18"/>
        </w:rPr>
        <w:t xml:space="preserve"> </w:t>
      </w:r>
      <w:r w:rsidRPr="00066FB4">
        <w:rPr>
          <w:rFonts w:eastAsia="Yu Gothic"/>
          <w:b/>
          <w:i/>
          <w:iCs/>
          <w:sz w:val="16"/>
          <w:szCs w:val="18"/>
        </w:rPr>
        <w:t>Electronic Transactions (Victoria) Act 2000</w:t>
      </w:r>
      <w:r w:rsidRPr="00042ADB">
        <w:rPr>
          <w:rFonts w:eastAsia="Yu Gothic"/>
          <w:i/>
          <w:sz w:val="16"/>
          <w:szCs w:val="18"/>
        </w:rPr>
        <w:t>.</w:t>
      </w:r>
    </w:p>
    <w:p w14:paraId="0331DF10" w14:textId="2D044638" w:rsidR="00243C58" w:rsidRPr="00042ADB" w:rsidRDefault="00243C58" w:rsidP="00243C58">
      <w:pPr>
        <w:spacing w:after="240"/>
        <w:rPr>
          <w:rFonts w:eastAsia="Yu Gothic"/>
          <w:sz w:val="16"/>
          <w:szCs w:val="18"/>
        </w:rPr>
      </w:pPr>
      <w:r w:rsidRPr="00042ADB">
        <w:rPr>
          <w:rFonts w:eastAsia="Yu Gothic"/>
          <w:i/>
          <w:sz w:val="16"/>
          <w:szCs w:val="18"/>
        </w:rPr>
        <w:t>[include if applicable]</w:t>
      </w:r>
    </w:p>
    <w:p w14:paraId="2B472030" w14:textId="73B856F1" w:rsidR="00243C58" w:rsidRPr="00042ADB" w:rsidRDefault="00243C58" w:rsidP="00243C58">
      <w:pPr>
        <w:spacing w:after="240"/>
        <w:rPr>
          <w:rFonts w:eastAsia="Yu Gothic"/>
          <w:sz w:val="16"/>
          <w:szCs w:val="18"/>
        </w:rPr>
      </w:pPr>
      <w:r w:rsidRPr="00042ADB">
        <w:rPr>
          <w:rFonts w:eastAsia="Yu Gothic"/>
          <w:sz w:val="16"/>
          <w:szCs w:val="18"/>
        </w:rPr>
        <w:t>I confirm that reasonable modifications were used in preparing this statutory declaration and that the contents of this statutory declaration were read to the person making the statutory declaration in a way that was appropriate to the person's circumstances.</w:t>
      </w:r>
    </w:p>
    <w:p w14:paraId="62AA8DD5" w14:textId="77777777" w:rsidR="00243C58" w:rsidRPr="00042ADB" w:rsidRDefault="00243C58" w:rsidP="00243C58">
      <w:pPr>
        <w:spacing w:after="0"/>
        <w:rPr>
          <w:rFonts w:eastAsia="Yu Gothic"/>
          <w:sz w:val="16"/>
          <w:szCs w:val="18"/>
        </w:rPr>
      </w:pPr>
      <w:r w:rsidRPr="00042ADB">
        <w:rPr>
          <w:rFonts w:eastAsia="Yu Gothic"/>
          <w:sz w:val="16"/>
          <w:szCs w:val="18"/>
        </w:rPr>
        <w:t>_________________________________________</w:t>
      </w:r>
    </w:p>
    <w:p w14:paraId="440FFE4B" w14:textId="6315D930" w:rsidR="00243C58" w:rsidRPr="00042ADB" w:rsidRDefault="00243C58" w:rsidP="00243C58">
      <w:pPr>
        <w:spacing w:after="240"/>
        <w:rPr>
          <w:rFonts w:eastAsia="Yu Gothic"/>
          <w:b/>
          <w:i/>
          <w:sz w:val="16"/>
          <w:szCs w:val="18"/>
        </w:rPr>
      </w:pPr>
      <w:r w:rsidRPr="00042ADB">
        <w:rPr>
          <w:rFonts w:eastAsia="Yu Gothic"/>
          <w:i/>
          <w:sz w:val="16"/>
          <w:szCs w:val="18"/>
        </w:rPr>
        <w:t>[signature of authorised statutory declaration witness]</w:t>
      </w:r>
    </w:p>
    <w:p w14:paraId="6958B293" w14:textId="77777777" w:rsidR="00FE367E" w:rsidRDefault="00FE367E" w:rsidP="0069575B">
      <w:pPr>
        <w:spacing w:before="0" w:line="276" w:lineRule="auto"/>
        <w:rPr>
          <w:noProof/>
          <w:lang w:eastAsia="en-AU"/>
        </w:rPr>
      </w:pPr>
    </w:p>
    <w:p w14:paraId="42B038E7" w14:textId="77777777" w:rsidR="00FE367E" w:rsidRDefault="00FE367E" w:rsidP="0069575B">
      <w:pPr>
        <w:spacing w:before="0" w:line="276" w:lineRule="auto"/>
        <w:rPr>
          <w:noProof/>
          <w:lang w:eastAsia="en-AU"/>
        </w:rPr>
      </w:pPr>
    </w:p>
    <w:p w14:paraId="3DDF2190" w14:textId="77777777" w:rsidR="00E52D26" w:rsidRDefault="00E52D26">
      <w:pPr>
        <w:spacing w:before="0" w:line="276" w:lineRule="auto"/>
        <w:rPr>
          <w:noProof/>
          <w:lang w:eastAsia="en-AU"/>
        </w:rPr>
      </w:pPr>
      <w:r>
        <w:rPr>
          <w:noProof/>
          <w:lang w:eastAsia="en-AU"/>
        </w:rPr>
        <w:br w:type="page"/>
      </w:r>
    </w:p>
    <w:p w14:paraId="120FB767" w14:textId="31528ABC" w:rsidR="00D52D8C" w:rsidRPr="0069575B" w:rsidRDefault="00D52D8C" w:rsidP="0069575B">
      <w:pPr>
        <w:spacing w:before="0" w:line="276" w:lineRule="auto"/>
        <w:rPr>
          <w:rFonts w:cs="Arial"/>
        </w:rPr>
      </w:pPr>
      <w:r>
        <w:rPr>
          <w:noProof/>
          <w:lang w:eastAsia="en-AU"/>
        </w:rPr>
        <w:t>For further information or assistance on Local Jobs First and processes please contact:</w:t>
      </w:r>
    </w:p>
    <w:p w14:paraId="72A5EEB5" w14:textId="359BE9A9" w:rsidR="00D52D8C" w:rsidRDefault="00D52D8C" w:rsidP="00D52D8C">
      <w:pPr>
        <w:rPr>
          <w:noProof/>
          <w:lang w:eastAsia="en-AU"/>
        </w:rPr>
      </w:pPr>
      <w:r>
        <w:rPr>
          <w:noProof/>
          <w:lang w:eastAsia="en-AU"/>
        </w:rPr>
        <w:t xml:space="preserve">Department of </w:t>
      </w:r>
      <w:r w:rsidR="00A17E5B">
        <w:rPr>
          <w:noProof/>
          <w:lang w:eastAsia="en-AU"/>
        </w:rPr>
        <w:t xml:space="preserve">Jobs, </w:t>
      </w:r>
      <w:r w:rsidR="00267811">
        <w:rPr>
          <w:noProof/>
          <w:lang w:eastAsia="en-AU"/>
        </w:rPr>
        <w:t xml:space="preserve">Skills, Industry </w:t>
      </w:r>
      <w:r w:rsidR="00A17E5B">
        <w:rPr>
          <w:noProof/>
          <w:lang w:eastAsia="en-AU"/>
        </w:rPr>
        <w:t>and Regions</w:t>
      </w:r>
    </w:p>
    <w:p w14:paraId="62C37D14" w14:textId="77777777" w:rsidR="00D52D8C" w:rsidRDefault="00D52D8C" w:rsidP="00D52D8C">
      <w:pPr>
        <w:rPr>
          <w:noProof/>
          <w:lang w:eastAsia="en-AU"/>
        </w:rPr>
      </w:pPr>
      <w:r>
        <w:rPr>
          <w:noProof/>
          <w:lang w:eastAsia="en-AU"/>
        </w:rPr>
        <w:t>A: 121 Exhibition St, Melbourne, VIC, 3000</w:t>
      </w:r>
    </w:p>
    <w:p w14:paraId="00A254B1" w14:textId="1169BCAD" w:rsidR="00D52D8C" w:rsidRDefault="00D52D8C" w:rsidP="00D52D8C">
      <w:pPr>
        <w:pBdr>
          <w:bottom w:val="single" w:sz="6" w:space="1" w:color="auto"/>
        </w:pBdr>
        <w:rPr>
          <w:noProof/>
          <w:lang w:eastAsia="en-AU"/>
        </w:rPr>
      </w:pPr>
      <w:r>
        <w:rPr>
          <w:noProof/>
          <w:lang w:eastAsia="en-AU"/>
        </w:rPr>
        <w:t xml:space="preserve">E: </w:t>
      </w:r>
      <w:hyperlink r:id="rId50" w:history="1">
        <w:r w:rsidRPr="000212B7">
          <w:rPr>
            <w:rStyle w:val="Hyperlink"/>
            <w:noProof/>
            <w:lang w:eastAsia="en-AU"/>
          </w:rPr>
          <w:t>localjobsfirst@ecodev.vic.gov.au</w:t>
        </w:r>
      </w:hyperlink>
    </w:p>
    <w:p w14:paraId="4D63F7F5" w14:textId="77777777" w:rsidR="00D52D8C" w:rsidRDefault="00D52D8C" w:rsidP="00D52D8C">
      <w:pPr>
        <w:pBdr>
          <w:bottom w:val="single" w:sz="6" w:space="1" w:color="auto"/>
        </w:pBdr>
        <w:rPr>
          <w:noProof/>
          <w:lang w:eastAsia="en-AU"/>
        </w:rPr>
      </w:pPr>
    </w:p>
    <w:p w14:paraId="0F2C5C08" w14:textId="77777777" w:rsidR="00D52D8C" w:rsidRDefault="00D52D8C" w:rsidP="00D52D8C">
      <w:pPr>
        <w:spacing w:before="0" w:after="0"/>
      </w:pPr>
    </w:p>
    <w:p w14:paraId="28B7229E" w14:textId="77777777" w:rsidR="00D52D8C" w:rsidRPr="00E02831" w:rsidRDefault="00D52D8C" w:rsidP="00D52D8C">
      <w:pPr>
        <w:spacing w:before="0" w:after="0"/>
      </w:pPr>
    </w:p>
    <w:p w14:paraId="14B7D9BF" w14:textId="54760B55" w:rsidR="00D52D8C" w:rsidRDefault="00924AD0" w:rsidP="00D52D8C">
      <w:pPr>
        <w:spacing w:before="0" w:after="0"/>
      </w:pPr>
      <w:r>
        <w:t xml:space="preserve">Department of Jobs, </w:t>
      </w:r>
      <w:r w:rsidR="00267811">
        <w:t xml:space="preserve">Skills, Industry </w:t>
      </w:r>
      <w:r>
        <w:t>and Regions</w:t>
      </w:r>
      <w:r w:rsidR="00D52D8C" w:rsidRPr="00E02831">
        <w:br/>
        <w:t>1 Spring</w:t>
      </w:r>
      <w:r w:rsidR="00D52D8C">
        <w:t xml:space="preserve"> Street Melbourne Victoria 3000</w:t>
      </w:r>
    </w:p>
    <w:p w14:paraId="6C293FC3" w14:textId="77777777" w:rsidR="00D52D8C" w:rsidRPr="00E02831" w:rsidRDefault="00D52D8C" w:rsidP="00D52D8C">
      <w:pPr>
        <w:spacing w:before="0" w:after="0"/>
      </w:pPr>
    </w:p>
    <w:p w14:paraId="058011B5" w14:textId="77777777" w:rsidR="00D52D8C" w:rsidRDefault="00D52D8C" w:rsidP="00D52D8C">
      <w:pPr>
        <w:spacing w:before="0" w:after="0"/>
      </w:pPr>
      <w:r w:rsidRPr="00E02831">
        <w:t xml:space="preserve">© Copyright State of Victoria, </w:t>
      </w:r>
      <w:r w:rsidRPr="00E02831">
        <w:br/>
      </w:r>
    </w:p>
    <w:p w14:paraId="1D33F598" w14:textId="6ACAADEB" w:rsidR="00D52D8C" w:rsidRDefault="00924AD0" w:rsidP="00D52D8C">
      <w:pPr>
        <w:spacing w:before="0" w:after="0"/>
      </w:pPr>
      <w:r>
        <w:t xml:space="preserve">Department of Jobs, </w:t>
      </w:r>
      <w:r w:rsidR="00267811">
        <w:t>Skills, Industry and Regions</w:t>
      </w:r>
      <w:r w:rsidR="00D52D8C">
        <w:t xml:space="preserve"> 20</w:t>
      </w:r>
      <w:r w:rsidR="00770195">
        <w:t>2</w:t>
      </w:r>
      <w:r w:rsidR="00267811">
        <w:t>5</w:t>
      </w:r>
    </w:p>
    <w:p w14:paraId="6D617B78" w14:textId="77777777" w:rsidR="00D52D8C" w:rsidRDefault="00D52D8C" w:rsidP="00D52D8C">
      <w:pPr>
        <w:spacing w:before="0" w:after="0"/>
      </w:pPr>
    </w:p>
    <w:p w14:paraId="4FCA8DB9" w14:textId="77777777" w:rsidR="00D52D8C" w:rsidRPr="00E02831" w:rsidRDefault="00D52D8C" w:rsidP="00D52D8C">
      <w:pPr>
        <w:spacing w:before="0" w:after="0"/>
      </w:pPr>
      <w:r w:rsidRPr="00E02831">
        <w:t>Except for any logos, emblems, trademarks, artwork and photography this document is made available under the terms of the Creative Commons Attribution 3.0 Australia license.</w:t>
      </w:r>
    </w:p>
    <w:p w14:paraId="28ABD809" w14:textId="77777777" w:rsidR="00D52D8C" w:rsidRDefault="00D52D8C" w:rsidP="00D52D8C">
      <w:pPr>
        <w:spacing w:before="0" w:after="0"/>
      </w:pPr>
    </w:p>
    <w:p w14:paraId="638BA556" w14:textId="77777777" w:rsidR="00D52D8C" w:rsidRDefault="00D52D8C" w:rsidP="00D52D8C">
      <w:pPr>
        <w:spacing w:before="0" w:after="0"/>
      </w:pPr>
      <w:r w:rsidRPr="00E02831">
        <w:t>This document is also available in an accessible format at</w:t>
      </w:r>
      <w:r>
        <w:t xml:space="preserve"> </w:t>
      </w:r>
      <w:hyperlink r:id="rId51" w:history="1">
        <w:r w:rsidRPr="00AB725B">
          <w:rPr>
            <w:rStyle w:val="Hyperlink"/>
          </w:rPr>
          <w:t>www.localjobsfirst.vic.gov.au</w:t>
        </w:r>
      </w:hyperlink>
    </w:p>
    <w:p w14:paraId="7F52CCCC" w14:textId="77777777" w:rsidR="00D52D8C" w:rsidRPr="00B14DDB" w:rsidRDefault="00D52D8C" w:rsidP="00D52D8C"/>
    <w:p w14:paraId="69F25E12" w14:textId="77777777" w:rsidR="00911084" w:rsidRPr="008974A5" w:rsidRDefault="00911084" w:rsidP="008974A5">
      <w:pPr>
        <w:spacing w:before="0" w:line="276" w:lineRule="auto"/>
        <w:rPr>
          <w:rFonts w:cs="Arial"/>
        </w:rPr>
      </w:pPr>
    </w:p>
    <w:sectPr w:rsidR="00911084" w:rsidRPr="008974A5" w:rsidSect="0081126B">
      <w:pgSz w:w="11906" w:h="16838"/>
      <w:pgMar w:top="1440" w:right="1440" w:bottom="1440" w:left="1440" w:header="708" w:footer="1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FCBDF" w14:textId="77777777" w:rsidR="00A53B85" w:rsidRDefault="00A53B85" w:rsidP="00D96C1E">
      <w:r>
        <w:separator/>
      </w:r>
    </w:p>
    <w:p w14:paraId="613CEA99" w14:textId="77777777" w:rsidR="00A53B85" w:rsidRDefault="00A53B85" w:rsidP="00D96C1E"/>
  </w:endnote>
  <w:endnote w:type="continuationSeparator" w:id="0">
    <w:p w14:paraId="31891FE3" w14:textId="77777777" w:rsidR="00A53B85" w:rsidRDefault="00A53B85" w:rsidP="00D96C1E">
      <w:r>
        <w:continuationSeparator/>
      </w:r>
    </w:p>
    <w:p w14:paraId="74990A86" w14:textId="77777777" w:rsidR="00A53B85" w:rsidRDefault="00A53B85" w:rsidP="00D96C1E"/>
  </w:endnote>
  <w:endnote w:type="continuationNotice" w:id="1">
    <w:p w14:paraId="5B3A8A81" w14:textId="77777777" w:rsidR="00A53B85" w:rsidRDefault="00A53B8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IC">
    <w:altName w:val="Calibri"/>
    <w:panose1 w:val="00000500000000000000"/>
    <w:charset w:val="00"/>
    <w:family w:val="auto"/>
    <w:pitch w:val="variable"/>
    <w:sig w:usb0="00000007"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NeueLTStd-L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3CDB" w14:textId="1461CF7D" w:rsidR="000F5EBA" w:rsidRDefault="000F5EBA">
    <w:pPr>
      <w:pStyle w:val="Footer"/>
    </w:pPr>
    <w:r>
      <w:rPr>
        <w:noProof/>
      </w:rPr>
      <mc:AlternateContent>
        <mc:Choice Requires="wps">
          <w:drawing>
            <wp:anchor distT="0" distB="0" distL="0" distR="0" simplePos="0" relativeHeight="251664387" behindDoc="0" locked="0" layoutInCell="1" allowOverlap="1" wp14:anchorId="0761BB11" wp14:editId="3B668841">
              <wp:simplePos x="635" y="635"/>
              <wp:positionH relativeFrom="page">
                <wp:align>center</wp:align>
              </wp:positionH>
              <wp:positionV relativeFrom="page">
                <wp:align>bottom</wp:align>
              </wp:positionV>
              <wp:extent cx="686435" cy="441960"/>
              <wp:effectExtent l="0" t="0" r="18415" b="0"/>
              <wp:wrapNone/>
              <wp:docPr id="182456468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29C93A5E" w14:textId="27D1012A" w:rsidR="000F5EBA" w:rsidRPr="000F5EBA" w:rsidRDefault="000F5EBA" w:rsidP="000F5EBA">
                          <w:pPr>
                            <w:spacing w:after="0"/>
                            <w:rPr>
                              <w:rFonts w:ascii="Arial" w:eastAsia="Arial" w:hAnsi="Arial" w:cs="Arial"/>
                              <w:noProof/>
                              <w:color w:val="000000"/>
                              <w:sz w:val="24"/>
                              <w:szCs w:val="24"/>
                            </w:rPr>
                          </w:pPr>
                          <w:r w:rsidRPr="000F5EBA">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61BB11" id="_x0000_t202" coordsize="21600,21600" o:spt="202" path="m,l,21600r21600,l21600,xe">
              <v:stroke joinstyle="miter"/>
              <v:path gradientshapeok="t" o:connecttype="rect"/>
            </v:shapetype>
            <v:shape id="Text Box 6" o:spid="_x0000_s1028" type="#_x0000_t202" alt="OFFICIAL" style="position:absolute;margin-left:0;margin-top:0;width:54.05pt;height:34.8pt;z-index:25166438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" filled="f" stroked="f">
              <v:fill o:detectmouseclick="t"/>
              <v:textbox style="mso-fit-shape-to-text:t" inset="0,0,0,15pt">
                <w:txbxContent>
                  <w:p w14:paraId="29C93A5E" w14:textId="27D1012A" w:rsidR="000F5EBA" w:rsidRPr="000F5EBA" w:rsidRDefault="000F5EBA" w:rsidP="000F5EBA">
                    <w:pPr>
                      <w:spacing w:after="0"/>
                      <w:rPr>
                        <w:rFonts w:ascii="Arial" w:eastAsia="Arial" w:hAnsi="Arial" w:cs="Arial"/>
                        <w:noProof/>
                        <w:color w:val="000000"/>
                        <w:sz w:val="24"/>
                        <w:szCs w:val="24"/>
                      </w:rPr>
                    </w:pPr>
                    <w:r w:rsidRPr="000F5EBA">
                      <w:rPr>
                        <w:rFonts w:ascii="Arial" w:eastAsia="Arial" w:hAnsi="Arial" w:cs="Arial"/>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18EBF" w14:textId="1A219CC4" w:rsidR="000F5EBA" w:rsidRDefault="000F5EBA">
    <w:pPr>
      <w:pStyle w:val="Footer"/>
    </w:pPr>
    <w:r>
      <w:rPr>
        <w:noProof/>
      </w:rPr>
      <mc:AlternateContent>
        <mc:Choice Requires="wps">
          <w:drawing>
            <wp:anchor distT="0" distB="0" distL="0" distR="0" simplePos="0" relativeHeight="251665411" behindDoc="0" locked="0" layoutInCell="1" allowOverlap="1" wp14:anchorId="1687BBFC" wp14:editId="5C0F734F">
              <wp:simplePos x="635" y="635"/>
              <wp:positionH relativeFrom="page">
                <wp:align>center</wp:align>
              </wp:positionH>
              <wp:positionV relativeFrom="page">
                <wp:align>bottom</wp:align>
              </wp:positionV>
              <wp:extent cx="686435" cy="441960"/>
              <wp:effectExtent l="0" t="0" r="18415" b="0"/>
              <wp:wrapNone/>
              <wp:docPr id="113471412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2E7A9DC6" w14:textId="31039357" w:rsidR="000F5EBA" w:rsidRPr="000F5EBA" w:rsidRDefault="000F5EBA" w:rsidP="000F5EBA">
                          <w:pPr>
                            <w:spacing w:after="0"/>
                            <w:rPr>
                              <w:rFonts w:ascii="Arial" w:eastAsia="Arial" w:hAnsi="Arial" w:cs="Arial"/>
                              <w:noProof/>
                              <w:color w:val="000000"/>
                              <w:sz w:val="24"/>
                              <w:szCs w:val="24"/>
                            </w:rPr>
                          </w:pPr>
                          <w:r w:rsidRPr="000F5EBA">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87BBFC" id="_x0000_t202" coordsize="21600,21600" o:spt="202" path="m,l,21600r21600,l21600,xe">
              <v:stroke joinstyle="miter"/>
              <v:path gradientshapeok="t" o:connecttype="rect"/>
            </v:shapetype>
            <v:shape id="Text Box 7" o:spid="_x0000_s1029" type="#_x0000_t202" alt="OFFICIAL" style="position:absolute;margin-left:0;margin-top:0;width:54.05pt;height:34.8pt;z-index:25166541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" filled="f" stroked="f">
              <v:fill o:detectmouseclick="t"/>
              <v:textbox style="mso-fit-shape-to-text:t" inset="0,0,0,15pt">
                <w:txbxContent>
                  <w:p w14:paraId="2E7A9DC6" w14:textId="31039357" w:rsidR="000F5EBA" w:rsidRPr="000F5EBA" w:rsidRDefault="000F5EBA" w:rsidP="000F5EBA">
                    <w:pPr>
                      <w:spacing w:after="0"/>
                      <w:rPr>
                        <w:rFonts w:ascii="Arial" w:eastAsia="Arial" w:hAnsi="Arial" w:cs="Arial"/>
                        <w:noProof/>
                        <w:color w:val="000000"/>
                        <w:sz w:val="24"/>
                        <w:szCs w:val="24"/>
                      </w:rPr>
                    </w:pPr>
                    <w:r w:rsidRPr="000F5EBA">
                      <w:rPr>
                        <w:rFonts w:ascii="Arial" w:eastAsia="Arial" w:hAnsi="Arial" w:cs="Arial"/>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146B" w14:textId="445F2B8B" w:rsidR="009C6B4D" w:rsidRDefault="000F5EBA">
    <w:pPr>
      <w:pStyle w:val="Footer"/>
    </w:pPr>
    <w:r>
      <w:rPr>
        <w:noProof/>
      </w:rPr>
      <mc:AlternateContent>
        <mc:Choice Requires="wps">
          <w:drawing>
            <wp:anchor distT="0" distB="0" distL="0" distR="0" simplePos="0" relativeHeight="251663363" behindDoc="0" locked="0" layoutInCell="1" allowOverlap="1" wp14:anchorId="1216410D" wp14:editId="18F49D83">
              <wp:simplePos x="635" y="635"/>
              <wp:positionH relativeFrom="page">
                <wp:align>center</wp:align>
              </wp:positionH>
              <wp:positionV relativeFrom="page">
                <wp:align>bottom</wp:align>
              </wp:positionV>
              <wp:extent cx="686435" cy="441960"/>
              <wp:effectExtent l="0" t="0" r="18415" b="0"/>
              <wp:wrapNone/>
              <wp:docPr id="105112906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3C7DED54" w14:textId="46068D1A" w:rsidR="000F5EBA" w:rsidRPr="0025587B" w:rsidRDefault="000F5EBA" w:rsidP="000F5EBA">
                          <w:pPr>
                            <w:spacing w:after="0"/>
                            <w:rPr>
                              <w:rFonts w:eastAsia="Arial" w:cs="Arial"/>
                              <w:noProof/>
                              <w:color w:val="000000"/>
                              <w:sz w:val="20"/>
                            </w:rPr>
                          </w:pPr>
                          <w:r w:rsidRPr="0025587B">
                            <w:rPr>
                              <w:rFonts w:eastAsia="Arial" w:cs="Arial"/>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16410D" id="_x0000_t202" coordsize="21600,21600" o:spt="202" path="m,l,21600r21600,l21600,xe">
              <v:stroke joinstyle="miter"/>
              <v:path gradientshapeok="t" o:connecttype="rect"/>
            </v:shapetype>
            <v:shape id="Text Box 5" o:spid="_x0000_s1031" type="#_x0000_t202" alt="OFFICIAL" style="position:absolute;margin-left:0;margin-top:0;width:54.05pt;height:34.8pt;z-index:2516633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" filled="f" stroked="f">
              <v:fill o:detectmouseclick="t"/>
              <v:textbox style="mso-fit-shape-to-text:t" inset="0,0,0,15pt">
                <w:txbxContent>
                  <w:p w14:paraId="3C7DED54" w14:textId="46068D1A" w:rsidR="000F5EBA" w:rsidRPr="0025587B" w:rsidRDefault="000F5EBA" w:rsidP="000F5EBA">
                    <w:pPr>
                      <w:spacing w:after="0"/>
                      <w:rPr>
                        <w:rFonts w:eastAsia="Arial" w:cs="Arial"/>
                        <w:noProof/>
                        <w:color w:val="000000"/>
                        <w:sz w:val="20"/>
                      </w:rPr>
                    </w:pPr>
                    <w:r w:rsidRPr="0025587B">
                      <w:rPr>
                        <w:rFonts w:eastAsia="Arial" w:cs="Arial"/>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F29B" w14:textId="1E2A0DCD" w:rsidR="00083BAA" w:rsidRDefault="000F5EBA" w:rsidP="00D96C1E">
    <w:pPr>
      <w:pStyle w:val="Footer"/>
    </w:pPr>
    <w:r>
      <w:rPr>
        <w:noProof/>
      </w:rPr>
      <mc:AlternateContent>
        <mc:Choice Requires="wps">
          <w:drawing>
            <wp:anchor distT="0" distB="0" distL="0" distR="0" simplePos="0" relativeHeight="251666435" behindDoc="0" locked="0" layoutInCell="1" allowOverlap="1" wp14:anchorId="4E603C2D" wp14:editId="629AE368">
              <wp:simplePos x="914400" y="9705975"/>
              <wp:positionH relativeFrom="page">
                <wp:align>center</wp:align>
              </wp:positionH>
              <wp:positionV relativeFrom="page">
                <wp:align>bottom</wp:align>
              </wp:positionV>
              <wp:extent cx="686435" cy="441960"/>
              <wp:effectExtent l="0" t="0" r="18415" b="0"/>
              <wp:wrapNone/>
              <wp:docPr id="1916059607"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519DEB34" w14:textId="32550A79" w:rsidR="000F5EBA" w:rsidRPr="0025587B" w:rsidRDefault="000F5EBA" w:rsidP="000F5EBA">
                          <w:pPr>
                            <w:spacing w:after="0"/>
                            <w:rPr>
                              <w:rFonts w:eastAsia="Arial" w:cs="Arial"/>
                              <w:noProof/>
                              <w:color w:val="000000"/>
                              <w:sz w:val="20"/>
                            </w:rPr>
                          </w:pPr>
                          <w:r w:rsidRPr="0025587B">
                            <w:rPr>
                              <w:rFonts w:eastAsia="Arial" w:cs="Arial"/>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603C2D" id="_x0000_t202" coordsize="21600,21600" o:spt="202" path="m,l,21600r21600,l21600,xe">
              <v:stroke joinstyle="miter"/>
              <v:path gradientshapeok="t" o:connecttype="rect"/>
            </v:shapetype>
            <v:shape id="Text Box 8" o:spid="_x0000_s1033" type="#_x0000_t202" alt="OFFICIAL" style="position:absolute;margin-left:0;margin-top:0;width:54.05pt;height:34.8pt;z-index:25166643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WusEAIAABwEAAAOAAAAZHJzL2Uyb0RvYy54bWysU01v2zAMvQ/YfxB0X+x0ad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" filled="f" stroked="f">
              <v:fill o:detectmouseclick="t"/>
              <v:textbox style="mso-fit-shape-to-text:t" inset="0,0,0,15pt">
                <w:txbxContent>
                  <w:p w14:paraId="519DEB34" w14:textId="32550A79" w:rsidR="000F5EBA" w:rsidRPr="0025587B" w:rsidRDefault="000F5EBA" w:rsidP="000F5EBA">
                    <w:pPr>
                      <w:spacing w:after="0"/>
                      <w:rPr>
                        <w:rFonts w:eastAsia="Arial" w:cs="Arial"/>
                        <w:noProof/>
                        <w:color w:val="000000"/>
                        <w:sz w:val="20"/>
                      </w:rPr>
                    </w:pPr>
                    <w:r w:rsidRPr="0025587B">
                      <w:rPr>
                        <w:rFonts w:eastAsia="Arial" w:cs="Arial"/>
                        <w:noProof/>
                        <w:color w:val="000000"/>
                        <w:sz w:val="20"/>
                      </w:rPr>
                      <w:t>OFFICIAL</w:t>
                    </w:r>
                  </w:p>
                </w:txbxContent>
              </v:textbox>
              <w10:wrap anchorx="page" anchory="page"/>
            </v:shape>
          </w:pict>
        </mc:Fallback>
      </mc:AlternateContent>
    </w:r>
  </w:p>
  <w:sdt>
    <w:sdtPr>
      <w:id w:val="-421493961"/>
      <w:docPartObj>
        <w:docPartGallery w:val="Page Numbers (Bottom of Page)"/>
        <w:docPartUnique/>
      </w:docPartObj>
    </w:sdtPr>
    <w:sdtEndPr/>
    <w:sdtContent>
      <w:sdt>
        <w:sdtPr>
          <w:id w:val="991377789"/>
          <w:docPartObj>
            <w:docPartGallery w:val="Page Numbers (Top of Page)"/>
            <w:docPartUnique/>
          </w:docPartObj>
        </w:sdtPr>
        <w:sdtEndPr/>
        <w:sdtContent>
          <w:p w14:paraId="36F5E415" w14:textId="31B64D2A" w:rsidR="006C6B66" w:rsidRPr="00133F06" w:rsidRDefault="006C6B66" w:rsidP="00042ADB">
            <w:pPr>
              <w:pStyle w:val="Footer"/>
            </w:pPr>
            <w:r w:rsidRPr="00042ADB">
              <w:rPr>
                <w:rStyle w:val="FootnoteTextChar"/>
                <w:rFonts w:ascii="VIC" w:hAnsi="VIC"/>
              </w:rPr>
              <w:t xml:space="preserve"> Local Jobs First Supplier Guidelines –</w:t>
            </w:r>
            <w:r w:rsidR="00105604" w:rsidRPr="00042ADB">
              <w:rPr>
                <w:rStyle w:val="FootnoteTextChar"/>
                <w:rFonts w:ascii="VIC" w:hAnsi="VIC"/>
              </w:rPr>
              <w:t xml:space="preserve"> </w:t>
            </w:r>
            <w:r w:rsidR="00A117D9" w:rsidRPr="00066FB4">
              <w:rPr>
                <w:rStyle w:val="FootnoteTextChar"/>
                <w:rFonts w:ascii="VIC" w:hAnsi="VIC"/>
              </w:rPr>
              <w:t>Oc</w:t>
            </w:r>
            <w:r w:rsidR="00A117D9">
              <w:rPr>
                <w:rStyle w:val="FootnoteTextChar"/>
                <w:rFonts w:ascii="VIC" w:hAnsi="VIC"/>
              </w:rPr>
              <w:t>tober</w:t>
            </w:r>
            <w:r w:rsidR="00267811" w:rsidRPr="00042ADB">
              <w:rPr>
                <w:rStyle w:val="FootnoteTextChar"/>
                <w:rFonts w:ascii="VIC" w:hAnsi="VIC"/>
              </w:rPr>
              <w:t xml:space="preserve"> </w:t>
            </w:r>
            <w:r w:rsidR="00105604" w:rsidRPr="00042ADB">
              <w:rPr>
                <w:rStyle w:val="FootnoteTextChar"/>
                <w:rFonts w:ascii="VIC" w:hAnsi="VIC"/>
              </w:rPr>
              <w:t>202</w:t>
            </w:r>
            <w:r w:rsidR="00267811">
              <w:rPr>
                <w:rStyle w:val="FootnoteTextChar"/>
                <w:rFonts w:ascii="VIC" w:hAnsi="VIC"/>
              </w:rPr>
              <w:t>5</w:t>
            </w:r>
            <w:r w:rsidR="00DA63F8">
              <w:rPr>
                <w:rStyle w:val="FootnoteTextChar"/>
              </w:rPr>
              <w:t xml:space="preserve">        </w:t>
            </w:r>
            <w:r>
              <w:rPr>
                <w:sz w:val="16"/>
                <w:szCs w:val="16"/>
              </w:rPr>
              <w:tab/>
              <w:t xml:space="preserve">   </w:t>
            </w:r>
            <w:r w:rsidRPr="00921A00">
              <w:rPr>
                <w:rStyle w:val="PageNumber"/>
              </w:rPr>
              <w:fldChar w:fldCharType="begin"/>
            </w:r>
            <w:r w:rsidRPr="00921A00">
              <w:rPr>
                <w:rStyle w:val="PageNumber"/>
              </w:rPr>
              <w:instrText xml:space="preserve"> PAGE </w:instrText>
            </w:r>
            <w:r w:rsidRPr="00921A00">
              <w:rPr>
                <w:rStyle w:val="PageNumber"/>
              </w:rPr>
              <w:fldChar w:fldCharType="separate"/>
            </w:r>
            <w:r>
              <w:rPr>
                <w:rStyle w:val="PageNumber"/>
                <w:noProof/>
              </w:rPr>
              <w:t>2</w:t>
            </w:r>
            <w:r w:rsidRPr="00921A00">
              <w:rPr>
                <w:rStyle w:val="PageNumber"/>
              </w:rPr>
              <w:fldChar w:fldCharType="end"/>
            </w:r>
            <w:r w:rsidRPr="00921A00">
              <w:rPr>
                <w:rStyle w:val="PageNumber"/>
              </w:rPr>
              <w:t xml:space="preserve"> of </w:t>
            </w:r>
            <w:r w:rsidRPr="00921A00">
              <w:rPr>
                <w:rStyle w:val="PageNumber"/>
              </w:rPr>
              <w:fldChar w:fldCharType="begin"/>
            </w:r>
            <w:r w:rsidRPr="00921A00">
              <w:rPr>
                <w:rStyle w:val="PageNumber"/>
              </w:rPr>
              <w:instrText xml:space="preserve"> NUMPAGES  </w:instrText>
            </w:r>
            <w:r w:rsidRPr="00921A00">
              <w:rPr>
                <w:rStyle w:val="PageNumber"/>
              </w:rPr>
              <w:fldChar w:fldCharType="separate"/>
            </w:r>
            <w:r>
              <w:rPr>
                <w:rStyle w:val="PageNumber"/>
                <w:noProof/>
              </w:rPr>
              <w:t>4</w:t>
            </w:r>
            <w:r w:rsidRPr="00921A00">
              <w:rPr>
                <w:rStyle w:val="PageNumber"/>
              </w:rPr>
              <w:fldChar w:fldCharType="end"/>
            </w:r>
          </w:p>
        </w:sdtContent>
      </w:sdt>
    </w:sdtContent>
  </w:sdt>
  <w:p w14:paraId="19D96F0A" w14:textId="192B2373" w:rsidR="006C6B66" w:rsidRDefault="00DA63F8" w:rsidP="00042ADB">
    <w:pPr>
      <w:pStyle w:val="Footer"/>
      <w:tabs>
        <w:tab w:val="clear" w:pos="4320"/>
        <w:tab w:val="clear" w:pos="8640"/>
        <w:tab w:val="left" w:pos="380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0A695" w14:textId="77777777" w:rsidR="00A53B85" w:rsidRDefault="00A53B85" w:rsidP="00D96C1E">
      <w:r>
        <w:separator/>
      </w:r>
    </w:p>
    <w:p w14:paraId="0E0374EE" w14:textId="77777777" w:rsidR="00A53B85" w:rsidRDefault="00A53B85" w:rsidP="00D96C1E"/>
  </w:footnote>
  <w:footnote w:type="continuationSeparator" w:id="0">
    <w:p w14:paraId="414418DF" w14:textId="77777777" w:rsidR="00A53B85" w:rsidRDefault="00A53B85" w:rsidP="00D96C1E">
      <w:r>
        <w:continuationSeparator/>
      </w:r>
    </w:p>
    <w:p w14:paraId="6C7AF462" w14:textId="77777777" w:rsidR="00A53B85" w:rsidRDefault="00A53B85" w:rsidP="00D96C1E"/>
  </w:footnote>
  <w:footnote w:type="continuationNotice" w:id="1">
    <w:p w14:paraId="0AA34879" w14:textId="77777777" w:rsidR="00A53B85" w:rsidRDefault="00A53B8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2FF26" w14:textId="24E17963" w:rsidR="000F5EBA" w:rsidRDefault="000F5EBA">
    <w:pPr>
      <w:pStyle w:val="Header"/>
    </w:pPr>
    <w:r>
      <w:rPr>
        <w:noProof/>
      </w:rPr>
      <mc:AlternateContent>
        <mc:Choice Requires="wps">
          <w:drawing>
            <wp:anchor distT="0" distB="0" distL="0" distR="0" simplePos="0" relativeHeight="251660291" behindDoc="0" locked="0" layoutInCell="1" allowOverlap="1" wp14:anchorId="78FA9A03" wp14:editId="2608280B">
              <wp:simplePos x="635" y="635"/>
              <wp:positionH relativeFrom="page">
                <wp:align>center</wp:align>
              </wp:positionH>
              <wp:positionV relativeFrom="page">
                <wp:align>top</wp:align>
              </wp:positionV>
              <wp:extent cx="686435" cy="441960"/>
              <wp:effectExtent l="0" t="0" r="18415" b="15240"/>
              <wp:wrapNone/>
              <wp:docPr id="8431055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26B6062B" w14:textId="30176B86" w:rsidR="000F5EBA" w:rsidRPr="000F5EBA" w:rsidRDefault="000F5EBA" w:rsidP="000F5EBA">
                          <w:pPr>
                            <w:spacing w:after="0"/>
                            <w:rPr>
                              <w:rFonts w:ascii="Arial" w:eastAsia="Arial" w:hAnsi="Arial" w:cs="Arial"/>
                              <w:noProof/>
                              <w:color w:val="000000"/>
                              <w:sz w:val="24"/>
                              <w:szCs w:val="24"/>
                            </w:rPr>
                          </w:pPr>
                          <w:r w:rsidRPr="000F5EBA">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FA9A03" id="_x0000_t202" coordsize="21600,21600" o:spt="202" path="m,l,21600r21600,l21600,xe">
              <v:stroke joinstyle="miter"/>
              <v:path gradientshapeok="t" o:connecttype="rect"/>
            </v:shapetype>
            <v:shape id="Text Box 2" o:spid="_x0000_s1026" type="#_x0000_t202" alt="OFFICIAL" style="position:absolute;margin-left:0;margin-top:0;width:54.05pt;height:34.8pt;z-index:25166029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" filled="f" stroked="f">
              <v:fill o:detectmouseclick="t"/>
              <v:textbox style="mso-fit-shape-to-text:t" inset="0,15pt,0,0">
                <w:txbxContent>
                  <w:p w14:paraId="26B6062B" w14:textId="30176B86" w:rsidR="000F5EBA" w:rsidRPr="000F5EBA" w:rsidRDefault="000F5EBA" w:rsidP="000F5EBA">
                    <w:pPr>
                      <w:spacing w:after="0"/>
                      <w:rPr>
                        <w:rFonts w:ascii="Arial" w:eastAsia="Arial" w:hAnsi="Arial" w:cs="Arial"/>
                        <w:noProof/>
                        <w:color w:val="000000"/>
                        <w:sz w:val="24"/>
                        <w:szCs w:val="24"/>
                      </w:rPr>
                    </w:pPr>
                    <w:r w:rsidRPr="000F5EBA">
                      <w:rPr>
                        <w:rFonts w:ascii="Arial" w:eastAsia="Arial" w:hAnsi="Arial" w:cs="Arial"/>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B8247" w14:textId="4BD0C13D" w:rsidR="006C6B66" w:rsidRDefault="000F5EBA">
    <w:pPr>
      <w:pStyle w:val="Header"/>
    </w:pPr>
    <w:r>
      <w:rPr>
        <w:b/>
        <w:caps/>
        <w:noProof/>
        <w:color w:val="FFFFFF"/>
        <w:sz w:val="44"/>
        <w:lang w:val="en-GB" w:eastAsia="en-GB"/>
      </w:rPr>
      <mc:AlternateContent>
        <mc:Choice Requires="wps">
          <w:drawing>
            <wp:anchor distT="0" distB="0" distL="0" distR="0" simplePos="0" relativeHeight="251661315" behindDoc="0" locked="0" layoutInCell="1" allowOverlap="1" wp14:anchorId="229222DE" wp14:editId="5640DF7B">
              <wp:simplePos x="635" y="635"/>
              <wp:positionH relativeFrom="page">
                <wp:align>center</wp:align>
              </wp:positionH>
              <wp:positionV relativeFrom="page">
                <wp:align>top</wp:align>
              </wp:positionV>
              <wp:extent cx="686435" cy="441960"/>
              <wp:effectExtent l="0" t="0" r="18415" b="15240"/>
              <wp:wrapNone/>
              <wp:docPr id="74175321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436CA7E4" w14:textId="3A71AF71" w:rsidR="000F5EBA" w:rsidRPr="000F5EBA" w:rsidRDefault="000F5EBA" w:rsidP="000F5EBA">
                          <w:pPr>
                            <w:spacing w:after="0"/>
                            <w:rPr>
                              <w:rFonts w:ascii="Arial" w:eastAsia="Arial" w:hAnsi="Arial" w:cs="Arial"/>
                              <w:noProof/>
                              <w:color w:val="000000"/>
                              <w:sz w:val="24"/>
                              <w:szCs w:val="24"/>
                            </w:rPr>
                          </w:pPr>
                          <w:r w:rsidRPr="000F5EBA">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9222DE" id="_x0000_t202" coordsize="21600,21600" o:spt="202" path="m,l,21600r21600,l21600,xe">
              <v:stroke joinstyle="miter"/>
              <v:path gradientshapeok="t" o:connecttype="rect"/>
            </v:shapetype>
            <v:shape id="Text Box 3" o:spid="_x0000_s1027" type="#_x0000_t202" alt="OFFICIAL" style="position:absolute;margin-left:0;margin-top:0;width:54.05pt;height:34.8pt;z-index:25166131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" filled="f" stroked="f">
              <v:fill o:detectmouseclick="t"/>
              <v:textbox style="mso-fit-shape-to-text:t" inset="0,15pt,0,0">
                <w:txbxContent>
                  <w:p w14:paraId="436CA7E4" w14:textId="3A71AF71" w:rsidR="000F5EBA" w:rsidRPr="000F5EBA" w:rsidRDefault="000F5EBA" w:rsidP="000F5EBA">
                    <w:pPr>
                      <w:spacing w:after="0"/>
                      <w:rPr>
                        <w:rFonts w:ascii="Arial" w:eastAsia="Arial" w:hAnsi="Arial" w:cs="Arial"/>
                        <w:noProof/>
                        <w:color w:val="000000"/>
                        <w:sz w:val="24"/>
                        <w:szCs w:val="24"/>
                      </w:rPr>
                    </w:pPr>
                    <w:r w:rsidRPr="000F5EBA">
                      <w:rPr>
                        <w:rFonts w:ascii="Arial" w:eastAsia="Arial" w:hAnsi="Arial" w:cs="Arial"/>
                        <w:noProof/>
                        <w:color w:val="000000"/>
                        <w:sz w:val="24"/>
                        <w:szCs w:val="24"/>
                      </w:rPr>
                      <w:t>OFFICIAL</w:t>
                    </w:r>
                  </w:p>
                </w:txbxContent>
              </v:textbox>
              <w10:wrap anchorx="page" anchory="page"/>
            </v:shape>
          </w:pict>
        </mc:Fallback>
      </mc:AlternateContent>
    </w:r>
    <w:r w:rsidR="006C6B66" w:rsidRPr="0047003A">
      <w:rPr>
        <w:rStyle w:val="TitleCha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5971B" w14:textId="19CCAC4B" w:rsidR="006C6B66" w:rsidRDefault="000F5EBA" w:rsidP="0081126B">
    <w:pPr>
      <w:tabs>
        <w:tab w:val="left" w:pos="1646"/>
      </w:tabs>
    </w:pPr>
    <w:r>
      <w:rPr>
        <w:noProof/>
        <w:lang w:val="en-GB" w:eastAsia="en-GB"/>
      </w:rPr>
      <mc:AlternateContent>
        <mc:Choice Requires="wps">
          <w:drawing>
            <wp:anchor distT="0" distB="0" distL="0" distR="0" simplePos="0" relativeHeight="251659267" behindDoc="0" locked="0" layoutInCell="1" allowOverlap="1" wp14:anchorId="5BFA7D81" wp14:editId="2DB9A200">
              <wp:simplePos x="635" y="635"/>
              <wp:positionH relativeFrom="page">
                <wp:align>center</wp:align>
              </wp:positionH>
              <wp:positionV relativeFrom="page">
                <wp:align>top</wp:align>
              </wp:positionV>
              <wp:extent cx="686435" cy="441960"/>
              <wp:effectExtent l="0" t="0" r="18415" b="15240"/>
              <wp:wrapNone/>
              <wp:docPr id="211718096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724310A1" w14:textId="11E1F364" w:rsidR="000F5EBA" w:rsidRPr="0025587B" w:rsidRDefault="000F5EBA" w:rsidP="000F5EBA">
                          <w:pPr>
                            <w:spacing w:after="0"/>
                            <w:rPr>
                              <w:rFonts w:eastAsia="Arial" w:cs="Arial"/>
                              <w:noProof/>
                              <w:color w:val="000000"/>
                              <w:sz w:val="20"/>
                            </w:rPr>
                          </w:pPr>
                          <w:r w:rsidRPr="0025587B">
                            <w:rPr>
                              <w:rFonts w:eastAsia="Arial" w:cs="Arial"/>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7D81" id="_x0000_t202" coordsize="21600,21600" o:spt="202" path="m,l,21600r21600,l21600,xe">
              <v:stroke joinstyle="miter"/>
              <v:path gradientshapeok="t" o:connecttype="rect"/>
            </v:shapetype>
            <v:shape id="Text Box 1" o:spid="_x0000_s1030" type="#_x0000_t202" alt="OFFICIAL" style="position:absolute;margin-left:0;margin-top:0;width:54.05pt;height:34.8pt;z-index:2516592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" filled="f" stroked="f">
              <v:fill o:detectmouseclick="t"/>
              <v:textbox style="mso-fit-shape-to-text:t" inset="0,15pt,0,0">
                <w:txbxContent>
                  <w:p w14:paraId="724310A1" w14:textId="11E1F364" w:rsidR="000F5EBA" w:rsidRPr="0025587B" w:rsidRDefault="000F5EBA" w:rsidP="000F5EBA">
                    <w:pPr>
                      <w:spacing w:after="0"/>
                      <w:rPr>
                        <w:rFonts w:eastAsia="Arial" w:cs="Arial"/>
                        <w:noProof/>
                        <w:color w:val="000000"/>
                        <w:sz w:val="20"/>
                      </w:rPr>
                    </w:pPr>
                    <w:r w:rsidRPr="0025587B">
                      <w:rPr>
                        <w:rFonts w:eastAsia="Arial" w:cs="Arial"/>
                        <w:noProof/>
                        <w:color w:val="000000"/>
                        <w:sz w:val="20"/>
                      </w:rPr>
                      <w:t>OFFICIAL</w:t>
                    </w:r>
                  </w:p>
                </w:txbxContent>
              </v:textbox>
              <w10:wrap anchorx="page" anchory="page"/>
            </v:shape>
          </w:pict>
        </mc:Fallback>
      </mc:AlternateContent>
    </w:r>
    <w:r w:rsidR="006C6B66">
      <w:rPr>
        <w:noProof/>
        <w:lang w:val="en-GB" w:eastAsia="en-GB"/>
      </w:rPr>
      <w:drawing>
        <wp:anchor distT="0" distB="0" distL="114300" distR="114300" simplePos="0" relativeHeight="251658240" behindDoc="1" locked="0" layoutInCell="1" allowOverlap="1" wp14:anchorId="6CE8F87E" wp14:editId="02BD3435">
          <wp:simplePos x="0" y="0"/>
          <wp:positionH relativeFrom="column">
            <wp:posOffset>-914400</wp:posOffset>
          </wp:positionH>
          <wp:positionV relativeFrom="paragraph">
            <wp:posOffset>-460508</wp:posOffset>
          </wp:positionV>
          <wp:extent cx="7560000" cy="10692000"/>
          <wp:effectExtent l="0" t="0" r="0" b="0"/>
          <wp:wrapNone/>
          <wp:docPr id="7" name="Picture 7" descr="CONTENT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ONTENT PAG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6C6B66">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C7545" w14:textId="1A249551" w:rsidR="006C6B66" w:rsidRPr="00644924" w:rsidRDefault="000F5EBA" w:rsidP="00644924">
    <w:r>
      <w:rPr>
        <w:noProof/>
        <w:lang w:val="en-GB" w:eastAsia="en-GB"/>
      </w:rPr>
      <mc:AlternateContent>
        <mc:Choice Requires="wps">
          <w:drawing>
            <wp:anchor distT="0" distB="0" distL="0" distR="0" simplePos="0" relativeHeight="251662339" behindDoc="0" locked="0" layoutInCell="1" allowOverlap="1" wp14:anchorId="08811188" wp14:editId="759A25AE">
              <wp:simplePos x="914400" y="447675"/>
              <wp:positionH relativeFrom="page">
                <wp:align>center</wp:align>
              </wp:positionH>
              <wp:positionV relativeFrom="page">
                <wp:align>top</wp:align>
              </wp:positionV>
              <wp:extent cx="686435" cy="441960"/>
              <wp:effectExtent l="0" t="0" r="18415" b="15240"/>
              <wp:wrapNone/>
              <wp:docPr id="161750789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51B6B075" w14:textId="689C5B7B" w:rsidR="000F5EBA" w:rsidRPr="0025587B" w:rsidRDefault="000F5EBA" w:rsidP="000F5EBA">
                          <w:pPr>
                            <w:spacing w:after="0"/>
                            <w:rPr>
                              <w:rFonts w:eastAsia="Arial" w:cs="Arial"/>
                              <w:noProof/>
                              <w:color w:val="000000"/>
                              <w:sz w:val="20"/>
                            </w:rPr>
                          </w:pPr>
                          <w:r w:rsidRPr="0025587B">
                            <w:rPr>
                              <w:rFonts w:eastAsia="Arial" w:cs="Arial"/>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811188" id="_x0000_t202" coordsize="21600,21600" o:spt="202" path="m,l,21600r21600,l21600,xe">
              <v:stroke joinstyle="miter"/>
              <v:path gradientshapeok="t" o:connecttype="rect"/>
            </v:shapetype>
            <v:shape id="Text Box 4" o:spid="_x0000_s1032" type="#_x0000_t202" alt="OFFICIAL" style="position:absolute;margin-left:0;margin-top:0;width:54.05pt;height:34.8pt;z-index:25166233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" filled="f" stroked="f">
              <v:fill o:detectmouseclick="t"/>
              <v:textbox style="mso-fit-shape-to-text:t" inset="0,15pt,0,0">
                <w:txbxContent>
                  <w:p w14:paraId="51B6B075" w14:textId="689C5B7B" w:rsidR="000F5EBA" w:rsidRPr="0025587B" w:rsidRDefault="000F5EBA" w:rsidP="000F5EBA">
                    <w:pPr>
                      <w:spacing w:after="0"/>
                      <w:rPr>
                        <w:rFonts w:eastAsia="Arial" w:cs="Arial"/>
                        <w:noProof/>
                        <w:color w:val="000000"/>
                        <w:sz w:val="20"/>
                      </w:rPr>
                    </w:pPr>
                    <w:r w:rsidRPr="0025587B">
                      <w:rPr>
                        <w:rFonts w:eastAsia="Arial" w:cs="Arial"/>
                        <w:noProof/>
                        <w:color w:val="000000"/>
                        <w:sz w:val="20"/>
                      </w:rPr>
                      <w:t>OFFICIAL</w:t>
                    </w:r>
                  </w:p>
                </w:txbxContent>
              </v:textbox>
              <w10:wrap anchorx="page" anchory="page"/>
            </v:shape>
          </w:pict>
        </mc:Fallback>
      </mc:AlternateContent>
    </w:r>
    <w:r w:rsidR="006C6B66">
      <w:rPr>
        <w:noProof/>
        <w:lang w:val="en-GB" w:eastAsia="en-GB"/>
      </w:rPr>
      <w:drawing>
        <wp:anchor distT="0" distB="0" distL="114300" distR="114300" simplePos="0" relativeHeight="251658241" behindDoc="1" locked="0" layoutInCell="1" allowOverlap="1" wp14:anchorId="3B12FEDC" wp14:editId="100556C4">
          <wp:simplePos x="0" y="0"/>
          <wp:positionH relativeFrom="column">
            <wp:posOffset>-903280</wp:posOffset>
          </wp:positionH>
          <wp:positionV relativeFrom="paragraph">
            <wp:posOffset>-446242</wp:posOffset>
          </wp:positionV>
          <wp:extent cx="7560000" cy="10692000"/>
          <wp:effectExtent l="0" t="0" r="0" b="0"/>
          <wp:wrapNone/>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67E"/>
    <w:multiLevelType w:val="hybridMultilevel"/>
    <w:tmpl w:val="34D42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FF571B"/>
    <w:multiLevelType w:val="hybridMultilevel"/>
    <w:tmpl w:val="C528065A"/>
    <w:lvl w:ilvl="0" w:tplc="0C090001">
      <w:start w:val="1"/>
      <w:numFmt w:val="bullet"/>
      <w:lvlText w:val=""/>
      <w:lvlJc w:val="left"/>
      <w:pPr>
        <w:ind w:left="720" w:hanging="360"/>
      </w:pPr>
      <w:rPr>
        <w:rFonts w:ascii="Symbol" w:hAnsi="Symbol"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216A23"/>
    <w:multiLevelType w:val="hybridMultilevel"/>
    <w:tmpl w:val="7D8AB9DC"/>
    <w:lvl w:ilvl="0" w:tplc="43E04B24">
      <w:start w:val="1"/>
      <w:numFmt w:val="decimal"/>
      <w:lvlText w:val="%1."/>
      <w:lvlJc w:val="left"/>
      <w:pPr>
        <w:ind w:left="360" w:hanging="360"/>
      </w:pPr>
      <w:rPr>
        <w:rFonts w:asciiTheme="minorHAnsi" w:hAnsiTheme="minorHAnsi" w:cstheme="minorHAnsi" w:hint="default"/>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24E62"/>
    <w:multiLevelType w:val="hybridMultilevel"/>
    <w:tmpl w:val="7E1EE728"/>
    <w:lvl w:ilvl="0" w:tplc="04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494B92"/>
    <w:multiLevelType w:val="hybridMultilevel"/>
    <w:tmpl w:val="B810B204"/>
    <w:lvl w:ilvl="0" w:tplc="50F4FA70">
      <w:start w:val="1"/>
      <w:numFmt w:val="decimal"/>
      <w:lvlText w:val="%1."/>
      <w:lvlJc w:val="left"/>
      <w:pPr>
        <w:ind w:left="360" w:hanging="360"/>
      </w:pPr>
      <w:rPr>
        <w:rFonts w:ascii="Arial" w:hAnsi="Arial" w:cs="Arial" w:hint="default"/>
        <w:b w:val="0"/>
        <w:color w:val="53565A"/>
        <w:sz w:val="18"/>
        <w:szCs w:val="18"/>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5FB6BEE"/>
    <w:multiLevelType w:val="hybridMultilevel"/>
    <w:tmpl w:val="7D8AB9DC"/>
    <w:lvl w:ilvl="0" w:tplc="43E04B24">
      <w:start w:val="1"/>
      <w:numFmt w:val="decimal"/>
      <w:lvlText w:val="%1."/>
      <w:lvlJc w:val="left"/>
      <w:pPr>
        <w:ind w:left="720" w:hanging="360"/>
      </w:pPr>
      <w:rPr>
        <w:rFonts w:asciiTheme="minorHAnsi" w:hAnsiTheme="minorHAnsi" w:cstheme="minorHAnsi" w:hint="default"/>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E277B"/>
    <w:multiLevelType w:val="hybridMultilevel"/>
    <w:tmpl w:val="116E237A"/>
    <w:lvl w:ilvl="0" w:tplc="5CBAACD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96019"/>
    <w:multiLevelType w:val="hybridMultilevel"/>
    <w:tmpl w:val="BB624BEA"/>
    <w:lvl w:ilvl="0" w:tplc="D94014C0">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EF34A8"/>
    <w:multiLevelType w:val="hybridMultilevel"/>
    <w:tmpl w:val="9B94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B26CCE"/>
    <w:multiLevelType w:val="hybridMultilevel"/>
    <w:tmpl w:val="8438D6F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1F536EF2"/>
    <w:multiLevelType w:val="hybridMultilevel"/>
    <w:tmpl w:val="21B43F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49B1A38"/>
    <w:multiLevelType w:val="hybridMultilevel"/>
    <w:tmpl w:val="C12C5E80"/>
    <w:lvl w:ilvl="0" w:tplc="9B14C6B6">
      <w:start w:val="9"/>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49D4F80"/>
    <w:multiLevelType w:val="hybridMultilevel"/>
    <w:tmpl w:val="50809668"/>
    <w:lvl w:ilvl="0" w:tplc="7CAC5280">
      <w:start w:val="1"/>
      <w:numFmt w:val="lowerLetter"/>
      <w:lvlText w:val="%1)"/>
      <w:lvlJc w:val="left"/>
      <w:pPr>
        <w:ind w:left="720" w:hanging="360"/>
      </w:pPr>
      <w:rPr>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F74ECC"/>
    <w:multiLevelType w:val="hybridMultilevel"/>
    <w:tmpl w:val="2340A71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8CE22E2"/>
    <w:multiLevelType w:val="hybridMultilevel"/>
    <w:tmpl w:val="E1FAB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637AAE"/>
    <w:multiLevelType w:val="hybridMultilevel"/>
    <w:tmpl w:val="6AC8D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56672D"/>
    <w:multiLevelType w:val="hybridMultilevel"/>
    <w:tmpl w:val="203281EE"/>
    <w:lvl w:ilvl="0" w:tplc="EA241D1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F145A7C"/>
    <w:multiLevelType w:val="hybridMultilevel"/>
    <w:tmpl w:val="33BAF6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2FFA466E"/>
    <w:multiLevelType w:val="hybridMultilevel"/>
    <w:tmpl w:val="50809668"/>
    <w:lvl w:ilvl="0" w:tplc="7CAC5280">
      <w:start w:val="1"/>
      <w:numFmt w:val="lowerLetter"/>
      <w:lvlText w:val="%1)"/>
      <w:lvlJc w:val="left"/>
      <w:pPr>
        <w:ind w:left="720" w:hanging="360"/>
      </w:pPr>
      <w:rPr>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06A1C9C"/>
    <w:multiLevelType w:val="hybridMultilevel"/>
    <w:tmpl w:val="2A8A676A"/>
    <w:lvl w:ilvl="0" w:tplc="0414CD60">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353339C"/>
    <w:multiLevelType w:val="hybridMultilevel"/>
    <w:tmpl w:val="9254233A"/>
    <w:lvl w:ilvl="0" w:tplc="EB8AB740">
      <w:start w:val="1"/>
      <w:numFmt w:val="decimal"/>
      <w:lvlText w:val="%1."/>
      <w:lvlJc w:val="left"/>
      <w:pPr>
        <w:ind w:left="720" w:hanging="360"/>
      </w:pPr>
      <w:rPr>
        <w:rFonts w:asciiTheme="minorHAnsi" w:hAnsiTheme="minorHAnsi" w:cstheme="minorHAnsi" w:hint="default"/>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38E0524"/>
    <w:multiLevelType w:val="hybridMultilevel"/>
    <w:tmpl w:val="BED45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3BA34C1"/>
    <w:multiLevelType w:val="hybridMultilevel"/>
    <w:tmpl w:val="286E5F70"/>
    <w:lvl w:ilvl="0" w:tplc="D1E4AFE6">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3C65ECD"/>
    <w:multiLevelType w:val="hybridMultilevel"/>
    <w:tmpl w:val="322E82B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4A4360D"/>
    <w:multiLevelType w:val="hybridMultilevel"/>
    <w:tmpl w:val="9D54296E"/>
    <w:lvl w:ilvl="0" w:tplc="D94014C0">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E003A1B"/>
    <w:multiLevelType w:val="hybridMultilevel"/>
    <w:tmpl w:val="AFF02B3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400123AA"/>
    <w:multiLevelType w:val="hybridMultilevel"/>
    <w:tmpl w:val="9A34662A"/>
    <w:lvl w:ilvl="0" w:tplc="B1A0EDEA">
      <w:start w:val="1"/>
      <w:numFmt w:val="bullet"/>
      <w:pStyle w:val="ListBullet2"/>
      <w:lvlText w:val=""/>
      <w:lvlJc w:val="left"/>
      <w:pPr>
        <w:ind w:left="1145" w:hanging="360"/>
      </w:pPr>
      <w:rPr>
        <w:rFonts w:ascii="Symbol" w:hAnsi="Symbol" w:hint="default"/>
        <w:sz w:val="19"/>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7" w15:restartNumberingAfterBreak="0">
    <w:nsid w:val="44B81C46"/>
    <w:multiLevelType w:val="hybridMultilevel"/>
    <w:tmpl w:val="23365752"/>
    <w:lvl w:ilvl="0" w:tplc="43E04B24">
      <w:start w:val="1"/>
      <w:numFmt w:val="decimal"/>
      <w:lvlText w:val="%1."/>
      <w:lvlJc w:val="left"/>
      <w:pPr>
        <w:ind w:left="360" w:hanging="360"/>
      </w:pPr>
      <w:rPr>
        <w:rFonts w:asciiTheme="minorHAnsi" w:hAnsiTheme="minorHAnsi" w:cstheme="minorHAnsi" w:hint="default"/>
        <w:sz w:val="18"/>
        <w:szCs w:val="1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62E20DF"/>
    <w:multiLevelType w:val="hybridMultilevel"/>
    <w:tmpl w:val="78B65C1C"/>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9922627"/>
    <w:multiLevelType w:val="hybridMultilevel"/>
    <w:tmpl w:val="3466BED2"/>
    <w:lvl w:ilvl="0" w:tplc="2F7E46EA">
      <w:start w:val="1"/>
      <w:numFmt w:val="bullet"/>
      <w:lvlText w:val=""/>
      <w:lvlJc w:val="left"/>
      <w:pPr>
        <w:ind w:left="1080" w:hanging="360"/>
      </w:pPr>
      <w:rPr>
        <w:rFonts w:ascii="Symbol" w:hAnsi="Symbol" w:hint="default"/>
        <w:sz w:val="18"/>
        <w:szCs w:val="1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0AC0ACE"/>
    <w:multiLevelType w:val="hybridMultilevel"/>
    <w:tmpl w:val="8AD21328"/>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29C7ED7"/>
    <w:multiLevelType w:val="hybridMultilevel"/>
    <w:tmpl w:val="C310CC4E"/>
    <w:lvl w:ilvl="0" w:tplc="4574EDA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DB68FC"/>
    <w:multiLevelType w:val="hybridMultilevel"/>
    <w:tmpl w:val="DFAC6648"/>
    <w:lvl w:ilvl="0" w:tplc="480ED586">
      <w:start w:val="1"/>
      <w:numFmt w:val="bullet"/>
      <w:pStyle w:val="ListBullet"/>
      <w:lvlText w:val=""/>
      <w:lvlJc w:val="left"/>
      <w:pPr>
        <w:ind w:left="360" w:hanging="360"/>
      </w:pPr>
      <w:rPr>
        <w:rFonts w:ascii="Symbol" w:hAnsi="Symbol" w:hint="default"/>
        <w:color w:val="626464"/>
        <w:sz w:val="18"/>
      </w:rPr>
    </w:lvl>
    <w:lvl w:ilvl="1" w:tplc="13D088DA">
      <w:start w:val="1"/>
      <w:numFmt w:val="bullet"/>
      <w:lvlText w:val=""/>
      <w:lvlJc w:val="left"/>
      <w:pPr>
        <w:tabs>
          <w:tab w:val="num" w:pos="1080"/>
        </w:tabs>
        <w:ind w:left="1080" w:hanging="360"/>
      </w:pPr>
      <w:rPr>
        <w:rFonts w:ascii="Symbol" w:hAnsi="Symbol" w:hint="default"/>
        <w:sz w:val="19"/>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7727018"/>
    <w:multiLevelType w:val="hybridMultilevel"/>
    <w:tmpl w:val="4920A134"/>
    <w:lvl w:ilvl="0" w:tplc="EC22861E">
      <w:start w:val="1"/>
      <w:numFmt w:val="bullet"/>
      <w:pStyle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alibri Ligh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Light"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Light"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8C41E50"/>
    <w:multiLevelType w:val="hybridMultilevel"/>
    <w:tmpl w:val="05C21E8A"/>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C0735CB"/>
    <w:multiLevelType w:val="hybridMultilevel"/>
    <w:tmpl w:val="B4743B1E"/>
    <w:lvl w:ilvl="0" w:tplc="04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02546DD"/>
    <w:multiLevelType w:val="hybridMultilevel"/>
    <w:tmpl w:val="9FC4C0C4"/>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37" w15:restartNumberingAfterBreak="0">
    <w:nsid w:val="63224D8D"/>
    <w:multiLevelType w:val="hybridMultilevel"/>
    <w:tmpl w:val="B7A2662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4014B92"/>
    <w:multiLevelType w:val="hybridMultilevel"/>
    <w:tmpl w:val="EAD21C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alibri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libri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libri Light"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50D7247"/>
    <w:multiLevelType w:val="hybridMultilevel"/>
    <w:tmpl w:val="0BBEF944"/>
    <w:lvl w:ilvl="0" w:tplc="4C3AE00E">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89A1BF6"/>
    <w:multiLevelType w:val="hybridMultilevel"/>
    <w:tmpl w:val="AFDACC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68E032E9"/>
    <w:multiLevelType w:val="hybridMultilevel"/>
    <w:tmpl w:val="A6A0E6E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90542F2"/>
    <w:multiLevelType w:val="multilevel"/>
    <w:tmpl w:val="3AF09C20"/>
    <w:lvl w:ilvl="0">
      <w:start w:val="1"/>
      <w:numFmt w:val="decimal"/>
      <w:pStyle w:val="Heading1"/>
      <w:lvlText w:val="%1"/>
      <w:lvlJc w:val="left"/>
      <w:pPr>
        <w:ind w:left="716" w:hanging="432"/>
      </w:pPr>
      <w:rPr>
        <w:lang w:bidi="x-none"/>
        <w:specVanish w:val="0"/>
      </w:rPr>
    </w:lvl>
    <w:lvl w:ilvl="1">
      <w:start w:val="1"/>
      <w:numFmt w:val="decimal"/>
      <w:pStyle w:val="Heading2"/>
      <w:lvlText w:val="%1.%2"/>
      <w:lvlJc w:val="left"/>
      <w:pPr>
        <w:ind w:left="860" w:hanging="576"/>
      </w:pPr>
      <w:rPr>
        <w:rFonts w:hint="default"/>
        <w:sz w:val="24"/>
        <w:szCs w:val="24"/>
      </w:rPr>
    </w:lvl>
    <w:lvl w:ilvl="2">
      <w:start w:val="1"/>
      <w:numFmt w:val="decimal"/>
      <w:pStyle w:val="Heading3"/>
      <w:lvlText w:val="%1.%2.%3"/>
      <w:lvlJc w:val="left"/>
      <w:pPr>
        <w:ind w:left="1004" w:hanging="720"/>
      </w:pPr>
      <w:rPr>
        <w:rFonts w:hint="default"/>
        <w:b w:val="0"/>
        <w:bCs w:val="0"/>
        <w:i w:val="0"/>
        <w:iCs w:val="0"/>
        <w:caps w:val="0"/>
        <w:smallCaps w:val="0"/>
        <w:strike w:val="0"/>
        <w:dstrike w:val="0"/>
        <w:noProof w:val="0"/>
        <w:vanish w:val="0"/>
        <w:color w:val="53565A"/>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148" w:hanging="864"/>
      </w:pPr>
      <w:rPr>
        <w:rFonts w:hint="default"/>
      </w:rPr>
    </w:lvl>
    <w:lvl w:ilvl="4">
      <w:start w:val="1"/>
      <w:numFmt w:val="decimal"/>
      <w:pStyle w:val="Heading5"/>
      <w:lvlText w:val="%1.%2.%3.%4.%5"/>
      <w:lvlJc w:val="left"/>
      <w:pPr>
        <w:ind w:left="1292" w:hanging="1008"/>
      </w:pPr>
      <w:rPr>
        <w:rFonts w:hint="default"/>
      </w:rPr>
    </w:lvl>
    <w:lvl w:ilvl="5">
      <w:start w:val="1"/>
      <w:numFmt w:val="decimal"/>
      <w:pStyle w:val="Heading6"/>
      <w:lvlText w:val="%1.%2.%3.%4.%5.%6"/>
      <w:lvlJc w:val="left"/>
      <w:pPr>
        <w:ind w:left="1436" w:hanging="1152"/>
      </w:pPr>
      <w:rPr>
        <w:rFonts w:hint="default"/>
      </w:rPr>
    </w:lvl>
    <w:lvl w:ilvl="6">
      <w:start w:val="1"/>
      <w:numFmt w:val="decimal"/>
      <w:pStyle w:val="Heading7"/>
      <w:lvlText w:val="%1.%2.%3.%4.%5.%6.%7"/>
      <w:lvlJc w:val="left"/>
      <w:pPr>
        <w:ind w:left="1580" w:hanging="1296"/>
      </w:pPr>
      <w:rPr>
        <w:rFonts w:hint="default"/>
      </w:rPr>
    </w:lvl>
    <w:lvl w:ilvl="7">
      <w:start w:val="1"/>
      <w:numFmt w:val="decimal"/>
      <w:pStyle w:val="Heading8"/>
      <w:lvlText w:val="%1.%2.%3.%4.%5.%6.%7.%8"/>
      <w:lvlJc w:val="left"/>
      <w:pPr>
        <w:ind w:left="1724" w:hanging="1440"/>
      </w:pPr>
      <w:rPr>
        <w:rFonts w:hint="default"/>
      </w:rPr>
    </w:lvl>
    <w:lvl w:ilvl="8">
      <w:start w:val="1"/>
      <w:numFmt w:val="decimal"/>
      <w:pStyle w:val="Heading9"/>
      <w:lvlText w:val="%1.%2.%3.%4.%5.%6.%7.%8.%9"/>
      <w:lvlJc w:val="left"/>
      <w:pPr>
        <w:ind w:left="1868" w:hanging="1584"/>
      </w:pPr>
      <w:rPr>
        <w:rFonts w:hint="default"/>
      </w:rPr>
    </w:lvl>
  </w:abstractNum>
  <w:abstractNum w:abstractNumId="43" w15:restartNumberingAfterBreak="0">
    <w:nsid w:val="69F82587"/>
    <w:multiLevelType w:val="hybridMultilevel"/>
    <w:tmpl w:val="5C467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ABF6AC1"/>
    <w:multiLevelType w:val="hybridMultilevel"/>
    <w:tmpl w:val="2D22BFB4"/>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15:restartNumberingAfterBreak="0">
    <w:nsid w:val="6ACD187B"/>
    <w:multiLevelType w:val="hybridMultilevel"/>
    <w:tmpl w:val="CB565F80"/>
    <w:lvl w:ilvl="0" w:tplc="9BBE3D52">
      <w:start w:val="1"/>
      <w:numFmt w:val="decimal"/>
      <w:lvlText w:val="%1."/>
      <w:lvlJc w:val="left"/>
      <w:pPr>
        <w:ind w:left="380" w:hanging="360"/>
      </w:pPr>
      <w:rPr>
        <w:rFonts w:hint="default"/>
      </w:rPr>
    </w:lvl>
    <w:lvl w:ilvl="1" w:tplc="0C090019" w:tentative="1">
      <w:start w:val="1"/>
      <w:numFmt w:val="lowerLetter"/>
      <w:lvlText w:val="%2."/>
      <w:lvlJc w:val="left"/>
      <w:pPr>
        <w:ind w:left="1100" w:hanging="360"/>
      </w:pPr>
    </w:lvl>
    <w:lvl w:ilvl="2" w:tplc="0C09001B" w:tentative="1">
      <w:start w:val="1"/>
      <w:numFmt w:val="lowerRoman"/>
      <w:lvlText w:val="%3."/>
      <w:lvlJc w:val="right"/>
      <w:pPr>
        <w:ind w:left="1820" w:hanging="180"/>
      </w:pPr>
    </w:lvl>
    <w:lvl w:ilvl="3" w:tplc="0C09000F" w:tentative="1">
      <w:start w:val="1"/>
      <w:numFmt w:val="decimal"/>
      <w:lvlText w:val="%4."/>
      <w:lvlJc w:val="left"/>
      <w:pPr>
        <w:ind w:left="2540" w:hanging="360"/>
      </w:pPr>
    </w:lvl>
    <w:lvl w:ilvl="4" w:tplc="0C090019" w:tentative="1">
      <w:start w:val="1"/>
      <w:numFmt w:val="lowerLetter"/>
      <w:lvlText w:val="%5."/>
      <w:lvlJc w:val="left"/>
      <w:pPr>
        <w:ind w:left="3260" w:hanging="360"/>
      </w:pPr>
    </w:lvl>
    <w:lvl w:ilvl="5" w:tplc="0C09001B" w:tentative="1">
      <w:start w:val="1"/>
      <w:numFmt w:val="lowerRoman"/>
      <w:lvlText w:val="%6."/>
      <w:lvlJc w:val="right"/>
      <w:pPr>
        <w:ind w:left="3980" w:hanging="180"/>
      </w:pPr>
    </w:lvl>
    <w:lvl w:ilvl="6" w:tplc="0C09000F" w:tentative="1">
      <w:start w:val="1"/>
      <w:numFmt w:val="decimal"/>
      <w:lvlText w:val="%7."/>
      <w:lvlJc w:val="left"/>
      <w:pPr>
        <w:ind w:left="4700" w:hanging="360"/>
      </w:pPr>
    </w:lvl>
    <w:lvl w:ilvl="7" w:tplc="0C090019" w:tentative="1">
      <w:start w:val="1"/>
      <w:numFmt w:val="lowerLetter"/>
      <w:lvlText w:val="%8."/>
      <w:lvlJc w:val="left"/>
      <w:pPr>
        <w:ind w:left="5420" w:hanging="360"/>
      </w:pPr>
    </w:lvl>
    <w:lvl w:ilvl="8" w:tplc="0C09001B" w:tentative="1">
      <w:start w:val="1"/>
      <w:numFmt w:val="lowerRoman"/>
      <w:lvlText w:val="%9."/>
      <w:lvlJc w:val="right"/>
      <w:pPr>
        <w:ind w:left="6140" w:hanging="180"/>
      </w:pPr>
    </w:lvl>
  </w:abstractNum>
  <w:abstractNum w:abstractNumId="46" w15:restartNumberingAfterBreak="0">
    <w:nsid w:val="6BC230CC"/>
    <w:multiLevelType w:val="hybridMultilevel"/>
    <w:tmpl w:val="904ADB5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7" w15:restartNumberingAfterBreak="0">
    <w:nsid w:val="6BE91326"/>
    <w:multiLevelType w:val="hybridMultilevel"/>
    <w:tmpl w:val="9FB2F7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C030017"/>
    <w:multiLevelType w:val="hybridMultilevel"/>
    <w:tmpl w:val="41085ECA"/>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CCC271B"/>
    <w:multiLevelType w:val="hybridMultilevel"/>
    <w:tmpl w:val="DC0A0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E656A79"/>
    <w:multiLevelType w:val="hybridMultilevel"/>
    <w:tmpl w:val="F844E3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6FE167BE"/>
    <w:multiLevelType w:val="hybridMultilevel"/>
    <w:tmpl w:val="E5FA23CE"/>
    <w:lvl w:ilvl="0" w:tplc="0C090001">
      <w:start w:val="1"/>
      <w:numFmt w:val="bullet"/>
      <w:lvlText w:val=""/>
      <w:lvlJc w:val="left"/>
      <w:pPr>
        <w:ind w:left="720" w:hanging="360"/>
      </w:pPr>
      <w:rPr>
        <w:rFonts w:ascii="Symbol" w:hAnsi="Symbol" w:hint="default"/>
        <w:sz w:val="18"/>
        <w:szCs w:val="1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519191A"/>
    <w:multiLevelType w:val="hybridMultilevel"/>
    <w:tmpl w:val="71680FAA"/>
    <w:lvl w:ilvl="0" w:tplc="CC1E161E">
      <w:start w:val="1"/>
      <w:numFmt w:val="decimal"/>
      <w:lvlText w:val="%1."/>
      <w:lvlJc w:val="left"/>
      <w:pPr>
        <w:ind w:left="360" w:hanging="360"/>
      </w:pPr>
      <w:rPr>
        <w:rFonts w:hint="default"/>
        <w:b w:val="0"/>
        <w:color w:val="53565A"/>
        <w:sz w:val="1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76B677D0"/>
    <w:multiLevelType w:val="hybridMultilevel"/>
    <w:tmpl w:val="79C0331E"/>
    <w:lvl w:ilvl="0" w:tplc="0C09000F">
      <w:start w:val="1"/>
      <w:numFmt w:val="decimal"/>
      <w:lvlText w:val="%1."/>
      <w:lvlJc w:val="left"/>
      <w:pPr>
        <w:ind w:left="360" w:hanging="360"/>
      </w:pPr>
      <w:rPr>
        <w:rFonts w:hint="default"/>
      </w:rPr>
    </w:lvl>
    <w:lvl w:ilvl="1" w:tplc="5FA4AFEE">
      <w:start w:val="1"/>
      <w:numFmt w:val="lowerLetter"/>
      <w:lvlText w:val="%2."/>
      <w:lvlJc w:val="left"/>
      <w:pPr>
        <w:ind w:left="1080" w:hanging="360"/>
      </w:pPr>
      <w:rPr>
        <w:rFonts w:asciiTheme="minorHAnsi" w:hAnsiTheme="minorHAnsi" w:cstheme="minorHAnsi" w:hint="default"/>
        <w:b w:val="0"/>
        <w:bCs w:val="0"/>
        <w:sz w:val="18"/>
        <w:szCs w:val="18"/>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4" w15:restartNumberingAfterBreak="0">
    <w:nsid w:val="79A8756B"/>
    <w:multiLevelType w:val="hybridMultilevel"/>
    <w:tmpl w:val="CA40A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A722B64"/>
    <w:multiLevelType w:val="hybridMultilevel"/>
    <w:tmpl w:val="D43EE2F0"/>
    <w:lvl w:ilvl="0" w:tplc="BC885758">
      <w:start w:val="1"/>
      <w:numFmt w:val="bullet"/>
      <w:pStyle w:val="dotpoints"/>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AAA1A5F"/>
    <w:multiLevelType w:val="hybridMultilevel"/>
    <w:tmpl w:val="CFCECCC0"/>
    <w:lvl w:ilvl="0" w:tplc="5B6A5B34">
      <w:start w:val="1"/>
      <w:numFmt w:val="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E4855C9"/>
    <w:multiLevelType w:val="hybridMultilevel"/>
    <w:tmpl w:val="2340A71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440028747">
    <w:abstractNumId w:val="32"/>
  </w:num>
  <w:num w:numId="2" w16cid:durableId="1230461437">
    <w:abstractNumId w:val="42"/>
  </w:num>
  <w:num w:numId="3" w16cid:durableId="106241473">
    <w:abstractNumId w:val="26"/>
  </w:num>
  <w:num w:numId="4" w16cid:durableId="149832673">
    <w:abstractNumId w:val="33"/>
  </w:num>
  <w:num w:numId="5" w16cid:durableId="1911848803">
    <w:abstractNumId w:val="55"/>
  </w:num>
  <w:num w:numId="6" w16cid:durableId="2026052467">
    <w:abstractNumId w:val="53"/>
  </w:num>
  <w:num w:numId="7" w16cid:durableId="1190334466">
    <w:abstractNumId w:val="6"/>
  </w:num>
  <w:num w:numId="8" w16cid:durableId="592473144">
    <w:abstractNumId w:val="3"/>
  </w:num>
  <w:num w:numId="9" w16cid:durableId="790367965">
    <w:abstractNumId w:val="35"/>
  </w:num>
  <w:num w:numId="10" w16cid:durableId="1181625061">
    <w:abstractNumId w:val="5"/>
  </w:num>
  <w:num w:numId="11" w16cid:durableId="452333909">
    <w:abstractNumId w:val="36"/>
  </w:num>
  <w:num w:numId="12" w16cid:durableId="1233393117">
    <w:abstractNumId w:val="43"/>
  </w:num>
  <w:num w:numId="13" w16cid:durableId="1202597001">
    <w:abstractNumId w:val="27"/>
  </w:num>
  <w:num w:numId="14" w16cid:durableId="832449266">
    <w:abstractNumId w:val="41"/>
  </w:num>
  <w:num w:numId="15" w16cid:durableId="14428557">
    <w:abstractNumId w:val="37"/>
  </w:num>
  <w:num w:numId="16" w16cid:durableId="868570011">
    <w:abstractNumId w:val="57"/>
  </w:num>
  <w:num w:numId="17" w16cid:durableId="1712266082">
    <w:abstractNumId w:val="19"/>
  </w:num>
  <w:num w:numId="18" w16cid:durableId="1308778882">
    <w:abstractNumId w:val="20"/>
  </w:num>
  <w:num w:numId="19" w16cid:durableId="537622936">
    <w:abstractNumId w:val="50"/>
  </w:num>
  <w:num w:numId="20" w16cid:durableId="1976524910">
    <w:abstractNumId w:val="56"/>
  </w:num>
  <w:num w:numId="21" w16cid:durableId="1468159797">
    <w:abstractNumId w:val="2"/>
  </w:num>
  <w:num w:numId="22" w16cid:durableId="1303846421">
    <w:abstractNumId w:val="30"/>
  </w:num>
  <w:num w:numId="23" w16cid:durableId="2117825693">
    <w:abstractNumId w:val="28"/>
  </w:num>
  <w:num w:numId="24" w16cid:durableId="1065105342">
    <w:abstractNumId w:val="19"/>
  </w:num>
  <w:num w:numId="25" w16cid:durableId="1769882156">
    <w:abstractNumId w:val="34"/>
  </w:num>
  <w:num w:numId="26" w16cid:durableId="2087721767">
    <w:abstractNumId w:val="40"/>
  </w:num>
  <w:num w:numId="27" w16cid:durableId="2120565975">
    <w:abstractNumId w:val="25"/>
  </w:num>
  <w:num w:numId="28" w16cid:durableId="1096750378">
    <w:abstractNumId w:val="15"/>
  </w:num>
  <w:num w:numId="29" w16cid:durableId="252083934">
    <w:abstractNumId w:val="0"/>
  </w:num>
  <w:num w:numId="30" w16cid:durableId="1725912904">
    <w:abstractNumId w:val="13"/>
  </w:num>
  <w:num w:numId="31" w16cid:durableId="100301137">
    <w:abstractNumId w:val="21"/>
  </w:num>
  <w:num w:numId="32" w16cid:durableId="1576623814">
    <w:abstractNumId w:val="42"/>
  </w:num>
  <w:num w:numId="33" w16cid:durableId="1435663345">
    <w:abstractNumId w:val="42"/>
  </w:num>
  <w:num w:numId="34" w16cid:durableId="1172112503">
    <w:abstractNumId w:val="42"/>
  </w:num>
  <w:num w:numId="35" w16cid:durableId="1460224620">
    <w:abstractNumId w:val="19"/>
  </w:num>
  <w:num w:numId="36" w16cid:durableId="1733772197">
    <w:abstractNumId w:val="19"/>
  </w:num>
  <w:num w:numId="37" w16cid:durableId="1730113102">
    <w:abstractNumId w:val="11"/>
  </w:num>
  <w:num w:numId="38" w16cid:durableId="768700199">
    <w:abstractNumId w:val="19"/>
  </w:num>
  <w:num w:numId="39" w16cid:durableId="1925603336">
    <w:abstractNumId w:val="19"/>
  </w:num>
  <w:num w:numId="40" w16cid:durableId="450131594">
    <w:abstractNumId w:val="51"/>
  </w:num>
  <w:num w:numId="41" w16cid:durableId="868177727">
    <w:abstractNumId w:val="19"/>
  </w:num>
  <w:num w:numId="42" w16cid:durableId="1621037204">
    <w:abstractNumId w:val="19"/>
  </w:num>
  <w:num w:numId="43" w16cid:durableId="1482236536">
    <w:abstractNumId w:val="19"/>
  </w:num>
  <w:num w:numId="44" w16cid:durableId="971322117">
    <w:abstractNumId w:val="19"/>
  </w:num>
  <w:num w:numId="45" w16cid:durableId="1149441770">
    <w:abstractNumId w:val="19"/>
  </w:num>
  <w:num w:numId="46" w16cid:durableId="661467960">
    <w:abstractNumId w:val="19"/>
  </w:num>
  <w:num w:numId="47" w16cid:durableId="1093089033">
    <w:abstractNumId w:val="19"/>
  </w:num>
  <w:num w:numId="48" w16cid:durableId="1727953498">
    <w:abstractNumId w:val="19"/>
  </w:num>
  <w:num w:numId="49" w16cid:durableId="240456284">
    <w:abstractNumId w:val="52"/>
  </w:num>
  <w:num w:numId="50" w16cid:durableId="542599275">
    <w:abstractNumId w:val="16"/>
  </w:num>
  <w:num w:numId="51" w16cid:durableId="2131196499">
    <w:abstractNumId w:val="48"/>
  </w:num>
  <w:num w:numId="52" w16cid:durableId="2096199069">
    <w:abstractNumId w:val="19"/>
  </w:num>
  <w:num w:numId="53" w16cid:durableId="823819484">
    <w:abstractNumId w:val="4"/>
  </w:num>
  <w:num w:numId="54" w16cid:durableId="51204056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85791198">
    <w:abstractNumId w:val="38"/>
  </w:num>
  <w:num w:numId="56" w16cid:durableId="1028335489">
    <w:abstractNumId w:val="39"/>
  </w:num>
  <w:num w:numId="57" w16cid:durableId="75474195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9270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94568035">
    <w:abstractNumId w:val="9"/>
  </w:num>
  <w:num w:numId="60" w16cid:durableId="897326496">
    <w:abstractNumId w:val="44"/>
  </w:num>
  <w:num w:numId="61" w16cid:durableId="292056591">
    <w:abstractNumId w:val="42"/>
  </w:num>
  <w:num w:numId="62" w16cid:durableId="556163014">
    <w:abstractNumId w:val="42"/>
  </w:num>
  <w:num w:numId="63" w16cid:durableId="500702057">
    <w:abstractNumId w:val="22"/>
  </w:num>
  <w:num w:numId="64" w16cid:durableId="268199905">
    <w:abstractNumId w:val="42"/>
  </w:num>
  <w:num w:numId="65" w16cid:durableId="1280844054">
    <w:abstractNumId w:val="10"/>
  </w:num>
  <w:num w:numId="66" w16cid:durableId="1757750361">
    <w:abstractNumId w:val="29"/>
  </w:num>
  <w:num w:numId="67" w16cid:durableId="1349873932">
    <w:abstractNumId w:val="7"/>
  </w:num>
  <w:num w:numId="68" w16cid:durableId="538052486">
    <w:abstractNumId w:val="24"/>
  </w:num>
  <w:num w:numId="69" w16cid:durableId="1330718745">
    <w:abstractNumId w:val="45"/>
  </w:num>
  <w:num w:numId="70" w16cid:durableId="245893007">
    <w:abstractNumId w:val="47"/>
  </w:num>
  <w:num w:numId="71" w16cid:durableId="604074554">
    <w:abstractNumId w:val="42"/>
  </w:num>
  <w:num w:numId="72" w16cid:durableId="1338187816">
    <w:abstractNumId w:val="8"/>
  </w:num>
  <w:num w:numId="73" w16cid:durableId="636492023">
    <w:abstractNumId w:val="18"/>
  </w:num>
  <w:num w:numId="74" w16cid:durableId="659890637">
    <w:abstractNumId w:val="17"/>
  </w:num>
  <w:num w:numId="75" w16cid:durableId="960569461">
    <w:abstractNumId w:val="54"/>
  </w:num>
  <w:num w:numId="76" w16cid:durableId="944728583">
    <w:abstractNumId w:val="46"/>
  </w:num>
  <w:num w:numId="77" w16cid:durableId="2050956566">
    <w:abstractNumId w:val="49"/>
  </w:num>
  <w:num w:numId="78" w16cid:durableId="1501383355">
    <w:abstractNumId w:val="12"/>
  </w:num>
  <w:num w:numId="79" w16cid:durableId="1374815385">
    <w:abstractNumId w:val="23"/>
  </w:num>
  <w:num w:numId="80" w16cid:durableId="1303274656">
    <w:abstractNumId w:val="1"/>
  </w:num>
  <w:num w:numId="81" w16cid:durableId="1116869440">
    <w:abstractNumId w:val="14"/>
  </w:num>
  <w:num w:numId="82" w16cid:durableId="1024945731">
    <w:abstractNumId w:val="31"/>
  </w:num>
  <w:num w:numId="83" w16cid:durableId="202253160">
    <w:abstractNumId w:val="5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2CE"/>
    <w:rsid w:val="000000F4"/>
    <w:rsid w:val="00000134"/>
    <w:rsid w:val="000005D3"/>
    <w:rsid w:val="00000725"/>
    <w:rsid w:val="00000F41"/>
    <w:rsid w:val="000012F6"/>
    <w:rsid w:val="00001782"/>
    <w:rsid w:val="00002075"/>
    <w:rsid w:val="00003479"/>
    <w:rsid w:val="000044A0"/>
    <w:rsid w:val="000051BC"/>
    <w:rsid w:val="0000603B"/>
    <w:rsid w:val="00006245"/>
    <w:rsid w:val="00006309"/>
    <w:rsid w:val="00006CF7"/>
    <w:rsid w:val="000071E8"/>
    <w:rsid w:val="0000762E"/>
    <w:rsid w:val="00007855"/>
    <w:rsid w:val="00010129"/>
    <w:rsid w:val="0001055C"/>
    <w:rsid w:val="00010E9A"/>
    <w:rsid w:val="000116D6"/>
    <w:rsid w:val="00011A11"/>
    <w:rsid w:val="00011C70"/>
    <w:rsid w:val="00011D0F"/>
    <w:rsid w:val="00012759"/>
    <w:rsid w:val="00013319"/>
    <w:rsid w:val="0001373D"/>
    <w:rsid w:val="00014167"/>
    <w:rsid w:val="00014BAC"/>
    <w:rsid w:val="00015556"/>
    <w:rsid w:val="000161B2"/>
    <w:rsid w:val="00016453"/>
    <w:rsid w:val="000164C7"/>
    <w:rsid w:val="000175E1"/>
    <w:rsid w:val="00020E5F"/>
    <w:rsid w:val="000210EA"/>
    <w:rsid w:val="00021142"/>
    <w:rsid w:val="00021B93"/>
    <w:rsid w:val="00021F02"/>
    <w:rsid w:val="00022D2E"/>
    <w:rsid w:val="00022E26"/>
    <w:rsid w:val="000236B2"/>
    <w:rsid w:val="000236F6"/>
    <w:rsid w:val="000238B8"/>
    <w:rsid w:val="000247AE"/>
    <w:rsid w:val="00024CF9"/>
    <w:rsid w:val="0002503E"/>
    <w:rsid w:val="00025116"/>
    <w:rsid w:val="00025FF7"/>
    <w:rsid w:val="0002702B"/>
    <w:rsid w:val="00027121"/>
    <w:rsid w:val="0002744D"/>
    <w:rsid w:val="00027711"/>
    <w:rsid w:val="0002788E"/>
    <w:rsid w:val="00027B2D"/>
    <w:rsid w:val="0003037F"/>
    <w:rsid w:val="00030E30"/>
    <w:rsid w:val="000314BB"/>
    <w:rsid w:val="00031817"/>
    <w:rsid w:val="00031EAD"/>
    <w:rsid w:val="00032599"/>
    <w:rsid w:val="0003283A"/>
    <w:rsid w:val="000330F9"/>
    <w:rsid w:val="00033108"/>
    <w:rsid w:val="0003331A"/>
    <w:rsid w:val="00034053"/>
    <w:rsid w:val="000340A4"/>
    <w:rsid w:val="000347E6"/>
    <w:rsid w:val="000347EC"/>
    <w:rsid w:val="00034ABB"/>
    <w:rsid w:val="00034DAE"/>
    <w:rsid w:val="000366AE"/>
    <w:rsid w:val="00037035"/>
    <w:rsid w:val="00037864"/>
    <w:rsid w:val="0004010C"/>
    <w:rsid w:val="000407E0"/>
    <w:rsid w:val="00040C86"/>
    <w:rsid w:val="00040C9D"/>
    <w:rsid w:val="00040CBB"/>
    <w:rsid w:val="000412D1"/>
    <w:rsid w:val="00042948"/>
    <w:rsid w:val="00042ADB"/>
    <w:rsid w:val="00042BD6"/>
    <w:rsid w:val="0004322F"/>
    <w:rsid w:val="00043607"/>
    <w:rsid w:val="00043A61"/>
    <w:rsid w:val="00044DC5"/>
    <w:rsid w:val="00045ACF"/>
    <w:rsid w:val="00045AFA"/>
    <w:rsid w:val="00045F8E"/>
    <w:rsid w:val="00046439"/>
    <w:rsid w:val="00046CA1"/>
    <w:rsid w:val="000473EB"/>
    <w:rsid w:val="00047463"/>
    <w:rsid w:val="00047D1E"/>
    <w:rsid w:val="00047FE9"/>
    <w:rsid w:val="0005015B"/>
    <w:rsid w:val="00050837"/>
    <w:rsid w:val="00050BAC"/>
    <w:rsid w:val="000516BA"/>
    <w:rsid w:val="0005191C"/>
    <w:rsid w:val="000521F2"/>
    <w:rsid w:val="000526A8"/>
    <w:rsid w:val="00052CCD"/>
    <w:rsid w:val="0005338F"/>
    <w:rsid w:val="00053700"/>
    <w:rsid w:val="00053A35"/>
    <w:rsid w:val="00053AFB"/>
    <w:rsid w:val="00055580"/>
    <w:rsid w:val="000563AE"/>
    <w:rsid w:val="0005646C"/>
    <w:rsid w:val="00056D5F"/>
    <w:rsid w:val="00056E39"/>
    <w:rsid w:val="000577B8"/>
    <w:rsid w:val="00060302"/>
    <w:rsid w:val="00060333"/>
    <w:rsid w:val="00060FE5"/>
    <w:rsid w:val="00061004"/>
    <w:rsid w:val="00061508"/>
    <w:rsid w:val="000619A9"/>
    <w:rsid w:val="000619D8"/>
    <w:rsid w:val="000620A6"/>
    <w:rsid w:val="00062468"/>
    <w:rsid w:val="00062639"/>
    <w:rsid w:val="00062E28"/>
    <w:rsid w:val="00063040"/>
    <w:rsid w:val="000635C1"/>
    <w:rsid w:val="00063674"/>
    <w:rsid w:val="000643A4"/>
    <w:rsid w:val="0006473D"/>
    <w:rsid w:val="00065BD1"/>
    <w:rsid w:val="00066158"/>
    <w:rsid w:val="000662B9"/>
    <w:rsid w:val="00066435"/>
    <w:rsid w:val="000664EC"/>
    <w:rsid w:val="00066E3F"/>
    <w:rsid w:val="00066E4E"/>
    <w:rsid w:val="00066FB4"/>
    <w:rsid w:val="00067702"/>
    <w:rsid w:val="00067724"/>
    <w:rsid w:val="00067A56"/>
    <w:rsid w:val="00070516"/>
    <w:rsid w:val="00070A26"/>
    <w:rsid w:val="000714DF"/>
    <w:rsid w:val="000715F2"/>
    <w:rsid w:val="00072676"/>
    <w:rsid w:val="00072C89"/>
    <w:rsid w:val="00073517"/>
    <w:rsid w:val="000735D6"/>
    <w:rsid w:val="00073804"/>
    <w:rsid w:val="00073D3B"/>
    <w:rsid w:val="000742E8"/>
    <w:rsid w:val="0007430B"/>
    <w:rsid w:val="000748AD"/>
    <w:rsid w:val="00075787"/>
    <w:rsid w:val="00075EEC"/>
    <w:rsid w:val="0007675A"/>
    <w:rsid w:val="00076CD9"/>
    <w:rsid w:val="00077CDB"/>
    <w:rsid w:val="000804C4"/>
    <w:rsid w:val="000809CD"/>
    <w:rsid w:val="00081046"/>
    <w:rsid w:val="000817BA"/>
    <w:rsid w:val="00081D6D"/>
    <w:rsid w:val="000830CF"/>
    <w:rsid w:val="00083538"/>
    <w:rsid w:val="0008361A"/>
    <w:rsid w:val="00083817"/>
    <w:rsid w:val="00083BAA"/>
    <w:rsid w:val="00083BB8"/>
    <w:rsid w:val="00083F3A"/>
    <w:rsid w:val="000844B4"/>
    <w:rsid w:val="000848A3"/>
    <w:rsid w:val="00084A17"/>
    <w:rsid w:val="00084F7B"/>
    <w:rsid w:val="000852EB"/>
    <w:rsid w:val="00085737"/>
    <w:rsid w:val="000858BE"/>
    <w:rsid w:val="00086288"/>
    <w:rsid w:val="0008686C"/>
    <w:rsid w:val="00086BB8"/>
    <w:rsid w:val="00090C19"/>
    <w:rsid w:val="00090D9F"/>
    <w:rsid w:val="000917F3"/>
    <w:rsid w:val="00091A30"/>
    <w:rsid w:val="00091E2D"/>
    <w:rsid w:val="0009278F"/>
    <w:rsid w:val="00093050"/>
    <w:rsid w:val="000933CA"/>
    <w:rsid w:val="0009356E"/>
    <w:rsid w:val="00094ECF"/>
    <w:rsid w:val="00094EF4"/>
    <w:rsid w:val="000958B2"/>
    <w:rsid w:val="00095979"/>
    <w:rsid w:val="00095F1E"/>
    <w:rsid w:val="0009660A"/>
    <w:rsid w:val="00096841"/>
    <w:rsid w:val="00096A9E"/>
    <w:rsid w:val="00096B55"/>
    <w:rsid w:val="00096E90"/>
    <w:rsid w:val="00097576"/>
    <w:rsid w:val="0009775E"/>
    <w:rsid w:val="000A0577"/>
    <w:rsid w:val="000A0878"/>
    <w:rsid w:val="000A0C98"/>
    <w:rsid w:val="000A12D3"/>
    <w:rsid w:val="000A1660"/>
    <w:rsid w:val="000A16A3"/>
    <w:rsid w:val="000A1ABE"/>
    <w:rsid w:val="000A286D"/>
    <w:rsid w:val="000A31CB"/>
    <w:rsid w:val="000A4565"/>
    <w:rsid w:val="000A4618"/>
    <w:rsid w:val="000A482B"/>
    <w:rsid w:val="000A491D"/>
    <w:rsid w:val="000A4CE2"/>
    <w:rsid w:val="000A5C90"/>
    <w:rsid w:val="000A5FCF"/>
    <w:rsid w:val="000A7977"/>
    <w:rsid w:val="000B085C"/>
    <w:rsid w:val="000B0C96"/>
    <w:rsid w:val="000B0E61"/>
    <w:rsid w:val="000B106F"/>
    <w:rsid w:val="000B1878"/>
    <w:rsid w:val="000B1CA4"/>
    <w:rsid w:val="000B1D2B"/>
    <w:rsid w:val="000B1DEB"/>
    <w:rsid w:val="000B2BD7"/>
    <w:rsid w:val="000B2D4D"/>
    <w:rsid w:val="000B354A"/>
    <w:rsid w:val="000B3689"/>
    <w:rsid w:val="000B3D05"/>
    <w:rsid w:val="000B3DE1"/>
    <w:rsid w:val="000B4CEE"/>
    <w:rsid w:val="000B5CE2"/>
    <w:rsid w:val="000B5E9B"/>
    <w:rsid w:val="000B6B20"/>
    <w:rsid w:val="000B7074"/>
    <w:rsid w:val="000B72FE"/>
    <w:rsid w:val="000B79A8"/>
    <w:rsid w:val="000C1696"/>
    <w:rsid w:val="000C2F29"/>
    <w:rsid w:val="000C3285"/>
    <w:rsid w:val="000C5D3A"/>
    <w:rsid w:val="000C62ED"/>
    <w:rsid w:val="000C649D"/>
    <w:rsid w:val="000C6A81"/>
    <w:rsid w:val="000C6D15"/>
    <w:rsid w:val="000C73C3"/>
    <w:rsid w:val="000C7533"/>
    <w:rsid w:val="000C7C40"/>
    <w:rsid w:val="000D0C58"/>
    <w:rsid w:val="000D12CC"/>
    <w:rsid w:val="000D1901"/>
    <w:rsid w:val="000D1B81"/>
    <w:rsid w:val="000D22F7"/>
    <w:rsid w:val="000D2BFC"/>
    <w:rsid w:val="000D33B3"/>
    <w:rsid w:val="000D36EE"/>
    <w:rsid w:val="000D5F63"/>
    <w:rsid w:val="000D71B7"/>
    <w:rsid w:val="000D7A60"/>
    <w:rsid w:val="000E06E0"/>
    <w:rsid w:val="000E09A2"/>
    <w:rsid w:val="000E0FF7"/>
    <w:rsid w:val="000E1A75"/>
    <w:rsid w:val="000E1D1F"/>
    <w:rsid w:val="000E2B66"/>
    <w:rsid w:val="000E3149"/>
    <w:rsid w:val="000E31AD"/>
    <w:rsid w:val="000E35E2"/>
    <w:rsid w:val="000E395C"/>
    <w:rsid w:val="000E4390"/>
    <w:rsid w:val="000E537D"/>
    <w:rsid w:val="000E6172"/>
    <w:rsid w:val="000E6548"/>
    <w:rsid w:val="000E6632"/>
    <w:rsid w:val="000E66C0"/>
    <w:rsid w:val="000E7510"/>
    <w:rsid w:val="000F0296"/>
    <w:rsid w:val="000F0374"/>
    <w:rsid w:val="000F054F"/>
    <w:rsid w:val="000F0802"/>
    <w:rsid w:val="000F0D7A"/>
    <w:rsid w:val="000F22BD"/>
    <w:rsid w:val="000F2F96"/>
    <w:rsid w:val="000F384D"/>
    <w:rsid w:val="000F3F4E"/>
    <w:rsid w:val="000F4541"/>
    <w:rsid w:val="000F57F9"/>
    <w:rsid w:val="000F5CBE"/>
    <w:rsid w:val="000F5EBA"/>
    <w:rsid w:val="000F5F14"/>
    <w:rsid w:val="000F6141"/>
    <w:rsid w:val="000F6795"/>
    <w:rsid w:val="000F6833"/>
    <w:rsid w:val="000F7004"/>
    <w:rsid w:val="000F7558"/>
    <w:rsid w:val="000F756F"/>
    <w:rsid w:val="000F7643"/>
    <w:rsid w:val="000F78CB"/>
    <w:rsid w:val="00100887"/>
    <w:rsid w:val="00100F29"/>
    <w:rsid w:val="00101B25"/>
    <w:rsid w:val="00101B96"/>
    <w:rsid w:val="0010279F"/>
    <w:rsid w:val="00102C2F"/>
    <w:rsid w:val="001034DC"/>
    <w:rsid w:val="00103D71"/>
    <w:rsid w:val="001041B8"/>
    <w:rsid w:val="00104523"/>
    <w:rsid w:val="00104F29"/>
    <w:rsid w:val="00105604"/>
    <w:rsid w:val="00105E30"/>
    <w:rsid w:val="00106390"/>
    <w:rsid w:val="001068D6"/>
    <w:rsid w:val="00106B24"/>
    <w:rsid w:val="0010732C"/>
    <w:rsid w:val="00107699"/>
    <w:rsid w:val="001077F1"/>
    <w:rsid w:val="00110201"/>
    <w:rsid w:val="0011086F"/>
    <w:rsid w:val="00111630"/>
    <w:rsid w:val="00112C4E"/>
    <w:rsid w:val="00113391"/>
    <w:rsid w:val="00113671"/>
    <w:rsid w:val="00114301"/>
    <w:rsid w:val="0011440C"/>
    <w:rsid w:val="001157DC"/>
    <w:rsid w:val="00115BF9"/>
    <w:rsid w:val="001162DD"/>
    <w:rsid w:val="00116A39"/>
    <w:rsid w:val="00117271"/>
    <w:rsid w:val="0012064F"/>
    <w:rsid w:val="0012160B"/>
    <w:rsid w:val="00121B65"/>
    <w:rsid w:val="00121E2B"/>
    <w:rsid w:val="001226A9"/>
    <w:rsid w:val="00122814"/>
    <w:rsid w:val="00122C4F"/>
    <w:rsid w:val="00123C2B"/>
    <w:rsid w:val="00124D86"/>
    <w:rsid w:val="0012519A"/>
    <w:rsid w:val="00125D71"/>
    <w:rsid w:val="00125F2E"/>
    <w:rsid w:val="00126578"/>
    <w:rsid w:val="001266CB"/>
    <w:rsid w:val="00126C66"/>
    <w:rsid w:val="00126F47"/>
    <w:rsid w:val="001302CC"/>
    <w:rsid w:val="00130D62"/>
    <w:rsid w:val="00133A68"/>
    <w:rsid w:val="00133F06"/>
    <w:rsid w:val="00133F58"/>
    <w:rsid w:val="00134059"/>
    <w:rsid w:val="0013408B"/>
    <w:rsid w:val="001341E4"/>
    <w:rsid w:val="00135B6F"/>
    <w:rsid w:val="00135F13"/>
    <w:rsid w:val="0013681B"/>
    <w:rsid w:val="00136A03"/>
    <w:rsid w:val="00136F4D"/>
    <w:rsid w:val="00136F67"/>
    <w:rsid w:val="00141026"/>
    <w:rsid w:val="001410EE"/>
    <w:rsid w:val="001417FE"/>
    <w:rsid w:val="00142606"/>
    <w:rsid w:val="00143136"/>
    <w:rsid w:val="00143E46"/>
    <w:rsid w:val="001447E8"/>
    <w:rsid w:val="0014526F"/>
    <w:rsid w:val="001458F6"/>
    <w:rsid w:val="00145A09"/>
    <w:rsid w:val="00145C77"/>
    <w:rsid w:val="00146EBC"/>
    <w:rsid w:val="0014765C"/>
    <w:rsid w:val="001477E0"/>
    <w:rsid w:val="001500D2"/>
    <w:rsid w:val="0015196A"/>
    <w:rsid w:val="001520DC"/>
    <w:rsid w:val="00152C3D"/>
    <w:rsid w:val="00152D0A"/>
    <w:rsid w:val="0015363A"/>
    <w:rsid w:val="00153D4C"/>
    <w:rsid w:val="0015437A"/>
    <w:rsid w:val="0015454C"/>
    <w:rsid w:val="00154B61"/>
    <w:rsid w:val="00154DAD"/>
    <w:rsid w:val="00154F96"/>
    <w:rsid w:val="00155776"/>
    <w:rsid w:val="001557FB"/>
    <w:rsid w:val="00155BB6"/>
    <w:rsid w:val="00155F1D"/>
    <w:rsid w:val="00156780"/>
    <w:rsid w:val="00156A9B"/>
    <w:rsid w:val="001573BA"/>
    <w:rsid w:val="001601AC"/>
    <w:rsid w:val="00160213"/>
    <w:rsid w:val="00160BD4"/>
    <w:rsid w:val="00160DF6"/>
    <w:rsid w:val="00162799"/>
    <w:rsid w:val="00162C31"/>
    <w:rsid w:val="00162CEF"/>
    <w:rsid w:val="001636D3"/>
    <w:rsid w:val="0016370D"/>
    <w:rsid w:val="00164461"/>
    <w:rsid w:val="00164687"/>
    <w:rsid w:val="00164987"/>
    <w:rsid w:val="00164C2B"/>
    <w:rsid w:val="001652D3"/>
    <w:rsid w:val="0016550B"/>
    <w:rsid w:val="00165BC5"/>
    <w:rsid w:val="00166128"/>
    <w:rsid w:val="00166869"/>
    <w:rsid w:val="00167318"/>
    <w:rsid w:val="001677EF"/>
    <w:rsid w:val="00167801"/>
    <w:rsid w:val="00167CD4"/>
    <w:rsid w:val="00167E8B"/>
    <w:rsid w:val="00171D5A"/>
    <w:rsid w:val="00172850"/>
    <w:rsid w:val="00172A17"/>
    <w:rsid w:val="00172F2F"/>
    <w:rsid w:val="0017334F"/>
    <w:rsid w:val="001733C4"/>
    <w:rsid w:val="00175822"/>
    <w:rsid w:val="00175C7E"/>
    <w:rsid w:val="001766DD"/>
    <w:rsid w:val="00176A41"/>
    <w:rsid w:val="001771E2"/>
    <w:rsid w:val="001774D2"/>
    <w:rsid w:val="00177BB4"/>
    <w:rsid w:val="00180A4E"/>
    <w:rsid w:val="00180D6F"/>
    <w:rsid w:val="00180D98"/>
    <w:rsid w:val="00180E04"/>
    <w:rsid w:val="00181199"/>
    <w:rsid w:val="001815A8"/>
    <w:rsid w:val="00181C43"/>
    <w:rsid w:val="00181DED"/>
    <w:rsid w:val="001827F5"/>
    <w:rsid w:val="00182A4E"/>
    <w:rsid w:val="00182E50"/>
    <w:rsid w:val="00183313"/>
    <w:rsid w:val="00183531"/>
    <w:rsid w:val="001855EE"/>
    <w:rsid w:val="001856B3"/>
    <w:rsid w:val="0018571F"/>
    <w:rsid w:val="001858C2"/>
    <w:rsid w:val="00185E33"/>
    <w:rsid w:val="0018623A"/>
    <w:rsid w:val="00186B61"/>
    <w:rsid w:val="00187255"/>
    <w:rsid w:val="00187A90"/>
    <w:rsid w:val="00187CBA"/>
    <w:rsid w:val="00190A16"/>
    <w:rsid w:val="00190A65"/>
    <w:rsid w:val="00190C82"/>
    <w:rsid w:val="0019163E"/>
    <w:rsid w:val="00191D95"/>
    <w:rsid w:val="00191E3E"/>
    <w:rsid w:val="00193C22"/>
    <w:rsid w:val="00194080"/>
    <w:rsid w:val="0019527E"/>
    <w:rsid w:val="00195C22"/>
    <w:rsid w:val="00196BAD"/>
    <w:rsid w:val="00197253"/>
    <w:rsid w:val="00197CB5"/>
    <w:rsid w:val="001A0858"/>
    <w:rsid w:val="001A0FDF"/>
    <w:rsid w:val="001A1D08"/>
    <w:rsid w:val="001A234C"/>
    <w:rsid w:val="001A32A6"/>
    <w:rsid w:val="001A3E83"/>
    <w:rsid w:val="001A3ED9"/>
    <w:rsid w:val="001A5165"/>
    <w:rsid w:val="001A57F5"/>
    <w:rsid w:val="001A653B"/>
    <w:rsid w:val="001A710A"/>
    <w:rsid w:val="001A7D28"/>
    <w:rsid w:val="001A7FD2"/>
    <w:rsid w:val="001B03CA"/>
    <w:rsid w:val="001B066C"/>
    <w:rsid w:val="001B0A2A"/>
    <w:rsid w:val="001B0B96"/>
    <w:rsid w:val="001B0BAA"/>
    <w:rsid w:val="001B1C97"/>
    <w:rsid w:val="001B1FE5"/>
    <w:rsid w:val="001B207A"/>
    <w:rsid w:val="001B2D7D"/>
    <w:rsid w:val="001B3C37"/>
    <w:rsid w:val="001B453F"/>
    <w:rsid w:val="001B4623"/>
    <w:rsid w:val="001B4A4B"/>
    <w:rsid w:val="001B4C8E"/>
    <w:rsid w:val="001B7756"/>
    <w:rsid w:val="001B7B09"/>
    <w:rsid w:val="001B7DD4"/>
    <w:rsid w:val="001B7FC8"/>
    <w:rsid w:val="001C0852"/>
    <w:rsid w:val="001C0A99"/>
    <w:rsid w:val="001C1486"/>
    <w:rsid w:val="001C22DB"/>
    <w:rsid w:val="001C27AE"/>
    <w:rsid w:val="001C2809"/>
    <w:rsid w:val="001C33B8"/>
    <w:rsid w:val="001C34FE"/>
    <w:rsid w:val="001C4689"/>
    <w:rsid w:val="001C56D7"/>
    <w:rsid w:val="001C6197"/>
    <w:rsid w:val="001C6797"/>
    <w:rsid w:val="001C7236"/>
    <w:rsid w:val="001C767B"/>
    <w:rsid w:val="001C7843"/>
    <w:rsid w:val="001D0442"/>
    <w:rsid w:val="001D08EC"/>
    <w:rsid w:val="001D098E"/>
    <w:rsid w:val="001D1BCC"/>
    <w:rsid w:val="001D1FA3"/>
    <w:rsid w:val="001D2BE4"/>
    <w:rsid w:val="001D32CE"/>
    <w:rsid w:val="001D3331"/>
    <w:rsid w:val="001D3865"/>
    <w:rsid w:val="001D4004"/>
    <w:rsid w:val="001D41CC"/>
    <w:rsid w:val="001D4776"/>
    <w:rsid w:val="001D5930"/>
    <w:rsid w:val="001D5B36"/>
    <w:rsid w:val="001D5CBA"/>
    <w:rsid w:val="001D5D12"/>
    <w:rsid w:val="001D5EC0"/>
    <w:rsid w:val="001D70A1"/>
    <w:rsid w:val="001D7FC1"/>
    <w:rsid w:val="001E01F7"/>
    <w:rsid w:val="001E04C5"/>
    <w:rsid w:val="001E0A67"/>
    <w:rsid w:val="001E0EEE"/>
    <w:rsid w:val="001E3BD1"/>
    <w:rsid w:val="001E5433"/>
    <w:rsid w:val="001E60E7"/>
    <w:rsid w:val="001E61FC"/>
    <w:rsid w:val="001E661B"/>
    <w:rsid w:val="001E7290"/>
    <w:rsid w:val="001F0590"/>
    <w:rsid w:val="001F0A49"/>
    <w:rsid w:val="001F2E08"/>
    <w:rsid w:val="001F3378"/>
    <w:rsid w:val="001F3848"/>
    <w:rsid w:val="001F3B60"/>
    <w:rsid w:val="001F3D25"/>
    <w:rsid w:val="001F4414"/>
    <w:rsid w:val="001F45A1"/>
    <w:rsid w:val="001F493B"/>
    <w:rsid w:val="001F50DA"/>
    <w:rsid w:val="001F522C"/>
    <w:rsid w:val="001F537A"/>
    <w:rsid w:val="001F61A0"/>
    <w:rsid w:val="001F65BD"/>
    <w:rsid w:val="001F6830"/>
    <w:rsid w:val="001F6CB0"/>
    <w:rsid w:val="001F6D10"/>
    <w:rsid w:val="001F76F6"/>
    <w:rsid w:val="001F79C1"/>
    <w:rsid w:val="001F79C4"/>
    <w:rsid w:val="001F7A30"/>
    <w:rsid w:val="001F7FE5"/>
    <w:rsid w:val="0020007F"/>
    <w:rsid w:val="002001EA"/>
    <w:rsid w:val="00201623"/>
    <w:rsid w:val="00202581"/>
    <w:rsid w:val="00204263"/>
    <w:rsid w:val="0020467D"/>
    <w:rsid w:val="00204A63"/>
    <w:rsid w:val="00205B93"/>
    <w:rsid w:val="00205DB6"/>
    <w:rsid w:val="00206B64"/>
    <w:rsid w:val="00206D24"/>
    <w:rsid w:val="00206D40"/>
    <w:rsid w:val="00207066"/>
    <w:rsid w:val="00207157"/>
    <w:rsid w:val="002102BB"/>
    <w:rsid w:val="002105E9"/>
    <w:rsid w:val="00211078"/>
    <w:rsid w:val="002111A1"/>
    <w:rsid w:val="00211649"/>
    <w:rsid w:val="00211BD1"/>
    <w:rsid w:val="00211D53"/>
    <w:rsid w:val="002121C6"/>
    <w:rsid w:val="0021262D"/>
    <w:rsid w:val="00213251"/>
    <w:rsid w:val="002134C7"/>
    <w:rsid w:val="002134DE"/>
    <w:rsid w:val="00213764"/>
    <w:rsid w:val="00213DAF"/>
    <w:rsid w:val="002142E4"/>
    <w:rsid w:val="002150D3"/>
    <w:rsid w:val="00215138"/>
    <w:rsid w:val="0021546B"/>
    <w:rsid w:val="002158FA"/>
    <w:rsid w:val="002163FF"/>
    <w:rsid w:val="00216A4B"/>
    <w:rsid w:val="002176CE"/>
    <w:rsid w:val="00217B5F"/>
    <w:rsid w:val="0022061D"/>
    <w:rsid w:val="002207E4"/>
    <w:rsid w:val="002207EA"/>
    <w:rsid w:val="00220ED0"/>
    <w:rsid w:val="00221F9C"/>
    <w:rsid w:val="002224C9"/>
    <w:rsid w:val="00222CCC"/>
    <w:rsid w:val="00223078"/>
    <w:rsid w:val="00223DCF"/>
    <w:rsid w:val="00223E14"/>
    <w:rsid w:val="002241AD"/>
    <w:rsid w:val="00224244"/>
    <w:rsid w:val="002242C8"/>
    <w:rsid w:val="002256F1"/>
    <w:rsid w:val="00225A0B"/>
    <w:rsid w:val="00227639"/>
    <w:rsid w:val="00227893"/>
    <w:rsid w:val="002278A5"/>
    <w:rsid w:val="00230477"/>
    <w:rsid w:val="00232329"/>
    <w:rsid w:val="00232AE9"/>
    <w:rsid w:val="00232BA4"/>
    <w:rsid w:val="00233238"/>
    <w:rsid w:val="002334B4"/>
    <w:rsid w:val="00233B5D"/>
    <w:rsid w:val="00233F88"/>
    <w:rsid w:val="0023429E"/>
    <w:rsid w:val="002342D1"/>
    <w:rsid w:val="00234607"/>
    <w:rsid w:val="00235E5E"/>
    <w:rsid w:val="0023661D"/>
    <w:rsid w:val="0023742D"/>
    <w:rsid w:val="00240644"/>
    <w:rsid w:val="0024074B"/>
    <w:rsid w:val="00241850"/>
    <w:rsid w:val="00241EF6"/>
    <w:rsid w:val="002422B0"/>
    <w:rsid w:val="00242574"/>
    <w:rsid w:val="0024312A"/>
    <w:rsid w:val="00243C58"/>
    <w:rsid w:val="0024429D"/>
    <w:rsid w:val="00244657"/>
    <w:rsid w:val="00244BBE"/>
    <w:rsid w:val="00244D00"/>
    <w:rsid w:val="00245B60"/>
    <w:rsid w:val="002460BB"/>
    <w:rsid w:val="00246D00"/>
    <w:rsid w:val="00247338"/>
    <w:rsid w:val="002474A2"/>
    <w:rsid w:val="0025072F"/>
    <w:rsid w:val="00251A79"/>
    <w:rsid w:val="002521B0"/>
    <w:rsid w:val="00252566"/>
    <w:rsid w:val="002527EF"/>
    <w:rsid w:val="00252822"/>
    <w:rsid w:val="0025295B"/>
    <w:rsid w:val="00252E8A"/>
    <w:rsid w:val="00252F96"/>
    <w:rsid w:val="0025336F"/>
    <w:rsid w:val="00253C39"/>
    <w:rsid w:val="002541E8"/>
    <w:rsid w:val="0025446E"/>
    <w:rsid w:val="002545CF"/>
    <w:rsid w:val="00254856"/>
    <w:rsid w:val="00254ACB"/>
    <w:rsid w:val="0025587B"/>
    <w:rsid w:val="00255FFE"/>
    <w:rsid w:val="00256270"/>
    <w:rsid w:val="00260054"/>
    <w:rsid w:val="002607EE"/>
    <w:rsid w:val="00260930"/>
    <w:rsid w:val="00260A6E"/>
    <w:rsid w:val="00261F40"/>
    <w:rsid w:val="0026237F"/>
    <w:rsid w:val="0026334D"/>
    <w:rsid w:val="00263C06"/>
    <w:rsid w:val="00263C8C"/>
    <w:rsid w:val="00263F6A"/>
    <w:rsid w:val="00264C37"/>
    <w:rsid w:val="002654CC"/>
    <w:rsid w:val="00265CFC"/>
    <w:rsid w:val="00266666"/>
    <w:rsid w:val="00267811"/>
    <w:rsid w:val="002678D5"/>
    <w:rsid w:val="002678F9"/>
    <w:rsid w:val="00267B73"/>
    <w:rsid w:val="00267BAA"/>
    <w:rsid w:val="00267FB6"/>
    <w:rsid w:val="00270384"/>
    <w:rsid w:val="00270497"/>
    <w:rsid w:val="00270CB2"/>
    <w:rsid w:val="00270D0B"/>
    <w:rsid w:val="0027105F"/>
    <w:rsid w:val="002710F4"/>
    <w:rsid w:val="002715B1"/>
    <w:rsid w:val="00271CBB"/>
    <w:rsid w:val="002722F3"/>
    <w:rsid w:val="0027234C"/>
    <w:rsid w:val="00272A0D"/>
    <w:rsid w:val="0027360F"/>
    <w:rsid w:val="00274439"/>
    <w:rsid w:val="00274A16"/>
    <w:rsid w:val="00274B0A"/>
    <w:rsid w:val="002753E3"/>
    <w:rsid w:val="002755F3"/>
    <w:rsid w:val="00275C41"/>
    <w:rsid w:val="00276240"/>
    <w:rsid w:val="0027680B"/>
    <w:rsid w:val="00277A1E"/>
    <w:rsid w:val="00277C67"/>
    <w:rsid w:val="00277E4B"/>
    <w:rsid w:val="002800B1"/>
    <w:rsid w:val="0028058A"/>
    <w:rsid w:val="002821F5"/>
    <w:rsid w:val="00282478"/>
    <w:rsid w:val="00282660"/>
    <w:rsid w:val="00282A45"/>
    <w:rsid w:val="00283F1D"/>
    <w:rsid w:val="002842CB"/>
    <w:rsid w:val="00284848"/>
    <w:rsid w:val="002848F0"/>
    <w:rsid w:val="00284B38"/>
    <w:rsid w:val="00284E10"/>
    <w:rsid w:val="00285B65"/>
    <w:rsid w:val="00285E35"/>
    <w:rsid w:val="00286E47"/>
    <w:rsid w:val="002873E5"/>
    <w:rsid w:val="002875BC"/>
    <w:rsid w:val="0028769F"/>
    <w:rsid w:val="00287A56"/>
    <w:rsid w:val="0029016E"/>
    <w:rsid w:val="0029061F"/>
    <w:rsid w:val="00290749"/>
    <w:rsid w:val="00290FD5"/>
    <w:rsid w:val="002914C9"/>
    <w:rsid w:val="002915F9"/>
    <w:rsid w:val="00291710"/>
    <w:rsid w:val="00291CBA"/>
    <w:rsid w:val="00292254"/>
    <w:rsid w:val="00293807"/>
    <w:rsid w:val="002939D4"/>
    <w:rsid w:val="00294079"/>
    <w:rsid w:val="00294DCD"/>
    <w:rsid w:val="0029567A"/>
    <w:rsid w:val="002956EE"/>
    <w:rsid w:val="002A03FC"/>
    <w:rsid w:val="002A0952"/>
    <w:rsid w:val="002A0FCB"/>
    <w:rsid w:val="002A1164"/>
    <w:rsid w:val="002A15CE"/>
    <w:rsid w:val="002A1606"/>
    <w:rsid w:val="002A166F"/>
    <w:rsid w:val="002A1BDA"/>
    <w:rsid w:val="002A233D"/>
    <w:rsid w:val="002A24AC"/>
    <w:rsid w:val="002A28B4"/>
    <w:rsid w:val="002A3131"/>
    <w:rsid w:val="002A4527"/>
    <w:rsid w:val="002A47D2"/>
    <w:rsid w:val="002A4C89"/>
    <w:rsid w:val="002A4E2A"/>
    <w:rsid w:val="002A56CF"/>
    <w:rsid w:val="002A5B7B"/>
    <w:rsid w:val="002A6E45"/>
    <w:rsid w:val="002A72B2"/>
    <w:rsid w:val="002A74A0"/>
    <w:rsid w:val="002A769E"/>
    <w:rsid w:val="002A7F01"/>
    <w:rsid w:val="002B0228"/>
    <w:rsid w:val="002B0520"/>
    <w:rsid w:val="002B0A79"/>
    <w:rsid w:val="002B0DA1"/>
    <w:rsid w:val="002B1588"/>
    <w:rsid w:val="002B1787"/>
    <w:rsid w:val="002B38CD"/>
    <w:rsid w:val="002B38ED"/>
    <w:rsid w:val="002B4864"/>
    <w:rsid w:val="002B5292"/>
    <w:rsid w:val="002B5841"/>
    <w:rsid w:val="002B5CE2"/>
    <w:rsid w:val="002B696D"/>
    <w:rsid w:val="002B6980"/>
    <w:rsid w:val="002B6C83"/>
    <w:rsid w:val="002C09A3"/>
    <w:rsid w:val="002C15D4"/>
    <w:rsid w:val="002C2527"/>
    <w:rsid w:val="002C2A66"/>
    <w:rsid w:val="002C2BC8"/>
    <w:rsid w:val="002C2F1F"/>
    <w:rsid w:val="002C3226"/>
    <w:rsid w:val="002C41ED"/>
    <w:rsid w:val="002C42AE"/>
    <w:rsid w:val="002C45F1"/>
    <w:rsid w:val="002C51C8"/>
    <w:rsid w:val="002C540D"/>
    <w:rsid w:val="002C6619"/>
    <w:rsid w:val="002C7715"/>
    <w:rsid w:val="002C78A9"/>
    <w:rsid w:val="002C7CF6"/>
    <w:rsid w:val="002D170A"/>
    <w:rsid w:val="002D2683"/>
    <w:rsid w:val="002D2B58"/>
    <w:rsid w:val="002D312D"/>
    <w:rsid w:val="002D3492"/>
    <w:rsid w:val="002D40B6"/>
    <w:rsid w:val="002D44DE"/>
    <w:rsid w:val="002D47FD"/>
    <w:rsid w:val="002D49B5"/>
    <w:rsid w:val="002D5B90"/>
    <w:rsid w:val="002D624F"/>
    <w:rsid w:val="002D7D17"/>
    <w:rsid w:val="002E04F8"/>
    <w:rsid w:val="002E0BC6"/>
    <w:rsid w:val="002E146F"/>
    <w:rsid w:val="002E3067"/>
    <w:rsid w:val="002E3C2C"/>
    <w:rsid w:val="002E4264"/>
    <w:rsid w:val="002E4530"/>
    <w:rsid w:val="002E47D7"/>
    <w:rsid w:val="002E4A36"/>
    <w:rsid w:val="002E4C25"/>
    <w:rsid w:val="002E510A"/>
    <w:rsid w:val="002E53DF"/>
    <w:rsid w:val="002E5848"/>
    <w:rsid w:val="002E5A4F"/>
    <w:rsid w:val="002E5DC7"/>
    <w:rsid w:val="002E6993"/>
    <w:rsid w:val="002E6BD3"/>
    <w:rsid w:val="002E72CA"/>
    <w:rsid w:val="002E7336"/>
    <w:rsid w:val="002E74EA"/>
    <w:rsid w:val="002E7B26"/>
    <w:rsid w:val="002F04D3"/>
    <w:rsid w:val="002F16BD"/>
    <w:rsid w:val="002F1BEF"/>
    <w:rsid w:val="002F1E37"/>
    <w:rsid w:val="002F23FC"/>
    <w:rsid w:val="002F415B"/>
    <w:rsid w:val="002F41B4"/>
    <w:rsid w:val="002F4E23"/>
    <w:rsid w:val="002F54D4"/>
    <w:rsid w:val="002F59E6"/>
    <w:rsid w:val="002F60D1"/>
    <w:rsid w:val="002F6AA9"/>
    <w:rsid w:val="002F6E9C"/>
    <w:rsid w:val="002F7677"/>
    <w:rsid w:val="002F771D"/>
    <w:rsid w:val="0030027E"/>
    <w:rsid w:val="00300D80"/>
    <w:rsid w:val="0030151F"/>
    <w:rsid w:val="00301D91"/>
    <w:rsid w:val="00301F09"/>
    <w:rsid w:val="00301F0B"/>
    <w:rsid w:val="00301F55"/>
    <w:rsid w:val="00303F8F"/>
    <w:rsid w:val="003042AC"/>
    <w:rsid w:val="00304704"/>
    <w:rsid w:val="003050AE"/>
    <w:rsid w:val="00305A8E"/>
    <w:rsid w:val="00305CEE"/>
    <w:rsid w:val="00305DA1"/>
    <w:rsid w:val="00306208"/>
    <w:rsid w:val="00306939"/>
    <w:rsid w:val="00307285"/>
    <w:rsid w:val="003072A4"/>
    <w:rsid w:val="00307F0B"/>
    <w:rsid w:val="003109DA"/>
    <w:rsid w:val="003110C7"/>
    <w:rsid w:val="00311E13"/>
    <w:rsid w:val="003124D3"/>
    <w:rsid w:val="003129F9"/>
    <w:rsid w:val="00312C24"/>
    <w:rsid w:val="00312FC6"/>
    <w:rsid w:val="003130DA"/>
    <w:rsid w:val="00313E78"/>
    <w:rsid w:val="003157D6"/>
    <w:rsid w:val="00315A6F"/>
    <w:rsid w:val="00315AFF"/>
    <w:rsid w:val="003165D6"/>
    <w:rsid w:val="00316B05"/>
    <w:rsid w:val="00316DD4"/>
    <w:rsid w:val="00316FE0"/>
    <w:rsid w:val="003173A2"/>
    <w:rsid w:val="00320612"/>
    <w:rsid w:val="00320E6D"/>
    <w:rsid w:val="0032117A"/>
    <w:rsid w:val="003211EE"/>
    <w:rsid w:val="00321366"/>
    <w:rsid w:val="003214F7"/>
    <w:rsid w:val="003219ED"/>
    <w:rsid w:val="00321D56"/>
    <w:rsid w:val="00321DC3"/>
    <w:rsid w:val="00322097"/>
    <w:rsid w:val="003221E1"/>
    <w:rsid w:val="003225A6"/>
    <w:rsid w:val="00322A75"/>
    <w:rsid w:val="00322AE7"/>
    <w:rsid w:val="00322FC0"/>
    <w:rsid w:val="0032349D"/>
    <w:rsid w:val="00323D9A"/>
    <w:rsid w:val="00326171"/>
    <w:rsid w:val="00327033"/>
    <w:rsid w:val="00330D66"/>
    <w:rsid w:val="00331925"/>
    <w:rsid w:val="003326A9"/>
    <w:rsid w:val="0033299E"/>
    <w:rsid w:val="00332C8D"/>
    <w:rsid w:val="00332EC0"/>
    <w:rsid w:val="003330BA"/>
    <w:rsid w:val="003333E7"/>
    <w:rsid w:val="003336BD"/>
    <w:rsid w:val="003338D2"/>
    <w:rsid w:val="00333ACB"/>
    <w:rsid w:val="00333EB4"/>
    <w:rsid w:val="00334B90"/>
    <w:rsid w:val="00335187"/>
    <w:rsid w:val="00336D53"/>
    <w:rsid w:val="003373A2"/>
    <w:rsid w:val="0033770A"/>
    <w:rsid w:val="003377D1"/>
    <w:rsid w:val="00337BAD"/>
    <w:rsid w:val="00337E00"/>
    <w:rsid w:val="00337F5A"/>
    <w:rsid w:val="003404F2"/>
    <w:rsid w:val="00341325"/>
    <w:rsid w:val="00341794"/>
    <w:rsid w:val="00341A61"/>
    <w:rsid w:val="00341A6C"/>
    <w:rsid w:val="00341F3E"/>
    <w:rsid w:val="003421DD"/>
    <w:rsid w:val="00343823"/>
    <w:rsid w:val="00343A1C"/>
    <w:rsid w:val="00345084"/>
    <w:rsid w:val="0034510B"/>
    <w:rsid w:val="0034707F"/>
    <w:rsid w:val="003500F7"/>
    <w:rsid w:val="003504C0"/>
    <w:rsid w:val="00350CF1"/>
    <w:rsid w:val="00350D38"/>
    <w:rsid w:val="00350D44"/>
    <w:rsid w:val="00350DFF"/>
    <w:rsid w:val="00351206"/>
    <w:rsid w:val="00351C44"/>
    <w:rsid w:val="00353D57"/>
    <w:rsid w:val="0035444E"/>
    <w:rsid w:val="003547D4"/>
    <w:rsid w:val="00354E4D"/>
    <w:rsid w:val="003551DF"/>
    <w:rsid w:val="0035625C"/>
    <w:rsid w:val="0035644D"/>
    <w:rsid w:val="00356500"/>
    <w:rsid w:val="00356D02"/>
    <w:rsid w:val="00356FB5"/>
    <w:rsid w:val="0035714E"/>
    <w:rsid w:val="00357880"/>
    <w:rsid w:val="0035794C"/>
    <w:rsid w:val="0036009D"/>
    <w:rsid w:val="003603BD"/>
    <w:rsid w:val="0036112A"/>
    <w:rsid w:val="003611C6"/>
    <w:rsid w:val="00361C42"/>
    <w:rsid w:val="00361FD8"/>
    <w:rsid w:val="0036231F"/>
    <w:rsid w:val="003627AB"/>
    <w:rsid w:val="003628E3"/>
    <w:rsid w:val="0036302B"/>
    <w:rsid w:val="00363266"/>
    <w:rsid w:val="00363EEC"/>
    <w:rsid w:val="00365306"/>
    <w:rsid w:val="00365A6E"/>
    <w:rsid w:val="00365E58"/>
    <w:rsid w:val="003669EB"/>
    <w:rsid w:val="00366A97"/>
    <w:rsid w:val="0036721D"/>
    <w:rsid w:val="00367393"/>
    <w:rsid w:val="00372C78"/>
    <w:rsid w:val="00373D5C"/>
    <w:rsid w:val="00374DF7"/>
    <w:rsid w:val="0037505B"/>
    <w:rsid w:val="003752EB"/>
    <w:rsid w:val="0037547A"/>
    <w:rsid w:val="00375748"/>
    <w:rsid w:val="00375F08"/>
    <w:rsid w:val="003760CA"/>
    <w:rsid w:val="003776CA"/>
    <w:rsid w:val="00377DB7"/>
    <w:rsid w:val="00377F71"/>
    <w:rsid w:val="00377F96"/>
    <w:rsid w:val="003800AB"/>
    <w:rsid w:val="0038016F"/>
    <w:rsid w:val="0038131D"/>
    <w:rsid w:val="0038136B"/>
    <w:rsid w:val="00381C6C"/>
    <w:rsid w:val="003828E3"/>
    <w:rsid w:val="0038297E"/>
    <w:rsid w:val="00383CFE"/>
    <w:rsid w:val="00383F66"/>
    <w:rsid w:val="00384A4C"/>
    <w:rsid w:val="00384E91"/>
    <w:rsid w:val="003852BE"/>
    <w:rsid w:val="003857BF"/>
    <w:rsid w:val="00385F61"/>
    <w:rsid w:val="003868DE"/>
    <w:rsid w:val="003878F6"/>
    <w:rsid w:val="00387E4C"/>
    <w:rsid w:val="00387ED4"/>
    <w:rsid w:val="00390293"/>
    <w:rsid w:val="00391092"/>
    <w:rsid w:val="00391152"/>
    <w:rsid w:val="00391698"/>
    <w:rsid w:val="00391762"/>
    <w:rsid w:val="00391912"/>
    <w:rsid w:val="003919F6"/>
    <w:rsid w:val="00391A43"/>
    <w:rsid w:val="00391A99"/>
    <w:rsid w:val="00391F73"/>
    <w:rsid w:val="00392276"/>
    <w:rsid w:val="00392971"/>
    <w:rsid w:val="0039297A"/>
    <w:rsid w:val="00392FDB"/>
    <w:rsid w:val="00393F4C"/>
    <w:rsid w:val="00394658"/>
    <w:rsid w:val="003948FB"/>
    <w:rsid w:val="00395B66"/>
    <w:rsid w:val="0039666F"/>
    <w:rsid w:val="00396B7F"/>
    <w:rsid w:val="00396E84"/>
    <w:rsid w:val="00397344"/>
    <w:rsid w:val="003A00E9"/>
    <w:rsid w:val="003A02D2"/>
    <w:rsid w:val="003A088B"/>
    <w:rsid w:val="003A08A9"/>
    <w:rsid w:val="003A0950"/>
    <w:rsid w:val="003A282B"/>
    <w:rsid w:val="003A38C4"/>
    <w:rsid w:val="003A3C0D"/>
    <w:rsid w:val="003A4BBC"/>
    <w:rsid w:val="003A5F32"/>
    <w:rsid w:val="003A6482"/>
    <w:rsid w:val="003A74C6"/>
    <w:rsid w:val="003A7BD2"/>
    <w:rsid w:val="003B07A4"/>
    <w:rsid w:val="003B0F91"/>
    <w:rsid w:val="003B1B2A"/>
    <w:rsid w:val="003B29CB"/>
    <w:rsid w:val="003B2A44"/>
    <w:rsid w:val="003B2D61"/>
    <w:rsid w:val="003B2E76"/>
    <w:rsid w:val="003B31C0"/>
    <w:rsid w:val="003B3261"/>
    <w:rsid w:val="003B37BD"/>
    <w:rsid w:val="003B4093"/>
    <w:rsid w:val="003B40F8"/>
    <w:rsid w:val="003B4AFA"/>
    <w:rsid w:val="003B4F2D"/>
    <w:rsid w:val="003B54AB"/>
    <w:rsid w:val="003C174A"/>
    <w:rsid w:val="003C1B93"/>
    <w:rsid w:val="003C1C4D"/>
    <w:rsid w:val="003C245B"/>
    <w:rsid w:val="003C2462"/>
    <w:rsid w:val="003C2617"/>
    <w:rsid w:val="003C37C5"/>
    <w:rsid w:val="003C3E7F"/>
    <w:rsid w:val="003C473A"/>
    <w:rsid w:val="003C53AF"/>
    <w:rsid w:val="003C57F8"/>
    <w:rsid w:val="003C6117"/>
    <w:rsid w:val="003C68A2"/>
    <w:rsid w:val="003C6A0A"/>
    <w:rsid w:val="003C7698"/>
    <w:rsid w:val="003D07C0"/>
    <w:rsid w:val="003D0A1B"/>
    <w:rsid w:val="003D168F"/>
    <w:rsid w:val="003D1828"/>
    <w:rsid w:val="003D3AAC"/>
    <w:rsid w:val="003D3FCB"/>
    <w:rsid w:val="003D4007"/>
    <w:rsid w:val="003D44AD"/>
    <w:rsid w:val="003D49D7"/>
    <w:rsid w:val="003D51FA"/>
    <w:rsid w:val="003D526B"/>
    <w:rsid w:val="003D5AF3"/>
    <w:rsid w:val="003D5E22"/>
    <w:rsid w:val="003D6469"/>
    <w:rsid w:val="003D6E70"/>
    <w:rsid w:val="003E089F"/>
    <w:rsid w:val="003E1C29"/>
    <w:rsid w:val="003E25C4"/>
    <w:rsid w:val="003E2AAF"/>
    <w:rsid w:val="003E2C89"/>
    <w:rsid w:val="003E3F98"/>
    <w:rsid w:val="003E436D"/>
    <w:rsid w:val="003E5438"/>
    <w:rsid w:val="003E55B0"/>
    <w:rsid w:val="003E5A05"/>
    <w:rsid w:val="003E5ADD"/>
    <w:rsid w:val="003E6263"/>
    <w:rsid w:val="003E690A"/>
    <w:rsid w:val="003E6A4C"/>
    <w:rsid w:val="003E746F"/>
    <w:rsid w:val="003E7675"/>
    <w:rsid w:val="003E7B1C"/>
    <w:rsid w:val="003F10AA"/>
    <w:rsid w:val="003F1807"/>
    <w:rsid w:val="003F1938"/>
    <w:rsid w:val="003F338F"/>
    <w:rsid w:val="003F3632"/>
    <w:rsid w:val="003F38A1"/>
    <w:rsid w:val="003F3AD6"/>
    <w:rsid w:val="003F425B"/>
    <w:rsid w:val="003F470A"/>
    <w:rsid w:val="003F47EF"/>
    <w:rsid w:val="003F4E31"/>
    <w:rsid w:val="003F558E"/>
    <w:rsid w:val="003F57BE"/>
    <w:rsid w:val="003F5EC1"/>
    <w:rsid w:val="003F6354"/>
    <w:rsid w:val="003F6999"/>
    <w:rsid w:val="003F773F"/>
    <w:rsid w:val="004008B9"/>
    <w:rsid w:val="004015B1"/>
    <w:rsid w:val="004018C8"/>
    <w:rsid w:val="0040233D"/>
    <w:rsid w:val="0040267C"/>
    <w:rsid w:val="004029B5"/>
    <w:rsid w:val="00403079"/>
    <w:rsid w:val="004030F6"/>
    <w:rsid w:val="004033C4"/>
    <w:rsid w:val="004033E9"/>
    <w:rsid w:val="004037EF"/>
    <w:rsid w:val="004043AD"/>
    <w:rsid w:val="004045F0"/>
    <w:rsid w:val="00404984"/>
    <w:rsid w:val="00405751"/>
    <w:rsid w:val="0040599C"/>
    <w:rsid w:val="00405C41"/>
    <w:rsid w:val="00406184"/>
    <w:rsid w:val="004066FA"/>
    <w:rsid w:val="0040749F"/>
    <w:rsid w:val="00407880"/>
    <w:rsid w:val="00407ACD"/>
    <w:rsid w:val="00407E42"/>
    <w:rsid w:val="00410E07"/>
    <w:rsid w:val="004117A9"/>
    <w:rsid w:val="00411FB1"/>
    <w:rsid w:val="00412227"/>
    <w:rsid w:val="0041237B"/>
    <w:rsid w:val="00412DDB"/>
    <w:rsid w:val="00413BEB"/>
    <w:rsid w:val="00414268"/>
    <w:rsid w:val="00414A5C"/>
    <w:rsid w:val="004153F5"/>
    <w:rsid w:val="00415838"/>
    <w:rsid w:val="00415D0A"/>
    <w:rsid w:val="00416967"/>
    <w:rsid w:val="00417BC4"/>
    <w:rsid w:val="0042037A"/>
    <w:rsid w:val="00421E8D"/>
    <w:rsid w:val="004225A1"/>
    <w:rsid w:val="00422F1C"/>
    <w:rsid w:val="00423732"/>
    <w:rsid w:val="00423AF2"/>
    <w:rsid w:val="00424609"/>
    <w:rsid w:val="0042471A"/>
    <w:rsid w:val="00424EF2"/>
    <w:rsid w:val="00424F8C"/>
    <w:rsid w:val="00427887"/>
    <w:rsid w:val="00427C9F"/>
    <w:rsid w:val="00430154"/>
    <w:rsid w:val="004306D9"/>
    <w:rsid w:val="00430A5F"/>
    <w:rsid w:val="00430E90"/>
    <w:rsid w:val="00431CED"/>
    <w:rsid w:val="00431DBE"/>
    <w:rsid w:val="00433CAA"/>
    <w:rsid w:val="00434190"/>
    <w:rsid w:val="004355A3"/>
    <w:rsid w:val="00435671"/>
    <w:rsid w:val="004358F8"/>
    <w:rsid w:val="00435FCF"/>
    <w:rsid w:val="004360C3"/>
    <w:rsid w:val="00436240"/>
    <w:rsid w:val="00436B81"/>
    <w:rsid w:val="00436DD3"/>
    <w:rsid w:val="00436DFC"/>
    <w:rsid w:val="0043712A"/>
    <w:rsid w:val="004371F6"/>
    <w:rsid w:val="004404FF"/>
    <w:rsid w:val="00440DF0"/>
    <w:rsid w:val="0044136F"/>
    <w:rsid w:val="004415B5"/>
    <w:rsid w:val="00441E7A"/>
    <w:rsid w:val="00441FAB"/>
    <w:rsid w:val="00442145"/>
    <w:rsid w:val="0044374D"/>
    <w:rsid w:val="00443B07"/>
    <w:rsid w:val="00444032"/>
    <w:rsid w:val="00444E1D"/>
    <w:rsid w:val="0044536B"/>
    <w:rsid w:val="004454F5"/>
    <w:rsid w:val="00445B5C"/>
    <w:rsid w:val="00445DD8"/>
    <w:rsid w:val="00445E36"/>
    <w:rsid w:val="00445FE4"/>
    <w:rsid w:val="00446947"/>
    <w:rsid w:val="00446F55"/>
    <w:rsid w:val="004477B6"/>
    <w:rsid w:val="004477EB"/>
    <w:rsid w:val="00447AD3"/>
    <w:rsid w:val="00447FA4"/>
    <w:rsid w:val="004507B3"/>
    <w:rsid w:val="00450BF1"/>
    <w:rsid w:val="00450E36"/>
    <w:rsid w:val="00451664"/>
    <w:rsid w:val="0045176B"/>
    <w:rsid w:val="00452D8D"/>
    <w:rsid w:val="00452EBF"/>
    <w:rsid w:val="0045334A"/>
    <w:rsid w:val="00454287"/>
    <w:rsid w:val="00454639"/>
    <w:rsid w:val="00454939"/>
    <w:rsid w:val="00454FD6"/>
    <w:rsid w:val="00455E43"/>
    <w:rsid w:val="00455E5B"/>
    <w:rsid w:val="00456024"/>
    <w:rsid w:val="00457CC5"/>
    <w:rsid w:val="00457D11"/>
    <w:rsid w:val="004602BE"/>
    <w:rsid w:val="004602DE"/>
    <w:rsid w:val="004610FA"/>
    <w:rsid w:val="00461A10"/>
    <w:rsid w:val="004621A0"/>
    <w:rsid w:val="00462F66"/>
    <w:rsid w:val="00463F2B"/>
    <w:rsid w:val="0046404C"/>
    <w:rsid w:val="00465306"/>
    <w:rsid w:val="00465683"/>
    <w:rsid w:val="00465C19"/>
    <w:rsid w:val="004667D4"/>
    <w:rsid w:val="00466958"/>
    <w:rsid w:val="004669F9"/>
    <w:rsid w:val="0046769C"/>
    <w:rsid w:val="00467774"/>
    <w:rsid w:val="00467DE6"/>
    <w:rsid w:val="00467FE0"/>
    <w:rsid w:val="0047003A"/>
    <w:rsid w:val="004700E8"/>
    <w:rsid w:val="00472038"/>
    <w:rsid w:val="004723BB"/>
    <w:rsid w:val="00472499"/>
    <w:rsid w:val="004730A0"/>
    <w:rsid w:val="004733EF"/>
    <w:rsid w:val="004740B7"/>
    <w:rsid w:val="00474D03"/>
    <w:rsid w:val="00474FB6"/>
    <w:rsid w:val="00475ADE"/>
    <w:rsid w:val="00475EEB"/>
    <w:rsid w:val="00476D86"/>
    <w:rsid w:val="004802F9"/>
    <w:rsid w:val="00480BC0"/>
    <w:rsid w:val="00481C7C"/>
    <w:rsid w:val="00482377"/>
    <w:rsid w:val="00482393"/>
    <w:rsid w:val="0048297E"/>
    <w:rsid w:val="00482B55"/>
    <w:rsid w:val="00482CC3"/>
    <w:rsid w:val="00482DED"/>
    <w:rsid w:val="00482ED0"/>
    <w:rsid w:val="00482F2A"/>
    <w:rsid w:val="00483135"/>
    <w:rsid w:val="00483C87"/>
    <w:rsid w:val="00483EC8"/>
    <w:rsid w:val="00484C9B"/>
    <w:rsid w:val="00484CEF"/>
    <w:rsid w:val="004855D1"/>
    <w:rsid w:val="0048604A"/>
    <w:rsid w:val="004860D4"/>
    <w:rsid w:val="0048634D"/>
    <w:rsid w:val="0048655E"/>
    <w:rsid w:val="00486566"/>
    <w:rsid w:val="00486D4F"/>
    <w:rsid w:val="004876B6"/>
    <w:rsid w:val="004877CA"/>
    <w:rsid w:val="004921BD"/>
    <w:rsid w:val="00493D02"/>
    <w:rsid w:val="00494221"/>
    <w:rsid w:val="004949CB"/>
    <w:rsid w:val="0049560B"/>
    <w:rsid w:val="0049630D"/>
    <w:rsid w:val="004969FE"/>
    <w:rsid w:val="004A049C"/>
    <w:rsid w:val="004A0503"/>
    <w:rsid w:val="004A0781"/>
    <w:rsid w:val="004A0B3B"/>
    <w:rsid w:val="004A147F"/>
    <w:rsid w:val="004A1DA0"/>
    <w:rsid w:val="004A1E38"/>
    <w:rsid w:val="004A22DF"/>
    <w:rsid w:val="004A2D36"/>
    <w:rsid w:val="004A30A4"/>
    <w:rsid w:val="004A37D8"/>
    <w:rsid w:val="004A49F9"/>
    <w:rsid w:val="004A4BE2"/>
    <w:rsid w:val="004A4F84"/>
    <w:rsid w:val="004A604F"/>
    <w:rsid w:val="004A759D"/>
    <w:rsid w:val="004B02A7"/>
    <w:rsid w:val="004B0CE5"/>
    <w:rsid w:val="004B2B78"/>
    <w:rsid w:val="004B37C7"/>
    <w:rsid w:val="004B3C74"/>
    <w:rsid w:val="004B3F77"/>
    <w:rsid w:val="004B3FB1"/>
    <w:rsid w:val="004B3FC2"/>
    <w:rsid w:val="004B432C"/>
    <w:rsid w:val="004B4408"/>
    <w:rsid w:val="004B48CC"/>
    <w:rsid w:val="004B5783"/>
    <w:rsid w:val="004B60DB"/>
    <w:rsid w:val="004B67CA"/>
    <w:rsid w:val="004B69DF"/>
    <w:rsid w:val="004B6AB9"/>
    <w:rsid w:val="004B7077"/>
    <w:rsid w:val="004B76A3"/>
    <w:rsid w:val="004C0931"/>
    <w:rsid w:val="004C09FE"/>
    <w:rsid w:val="004C0AFF"/>
    <w:rsid w:val="004C1775"/>
    <w:rsid w:val="004C1CFD"/>
    <w:rsid w:val="004C308A"/>
    <w:rsid w:val="004C36E8"/>
    <w:rsid w:val="004C372A"/>
    <w:rsid w:val="004C3BD2"/>
    <w:rsid w:val="004C3D08"/>
    <w:rsid w:val="004C4418"/>
    <w:rsid w:val="004C481F"/>
    <w:rsid w:val="004C5147"/>
    <w:rsid w:val="004C523E"/>
    <w:rsid w:val="004C535F"/>
    <w:rsid w:val="004C5942"/>
    <w:rsid w:val="004C5C4C"/>
    <w:rsid w:val="004C5E91"/>
    <w:rsid w:val="004C7079"/>
    <w:rsid w:val="004C75F7"/>
    <w:rsid w:val="004C7FC1"/>
    <w:rsid w:val="004D0564"/>
    <w:rsid w:val="004D2295"/>
    <w:rsid w:val="004D2997"/>
    <w:rsid w:val="004D357B"/>
    <w:rsid w:val="004D41DF"/>
    <w:rsid w:val="004D4683"/>
    <w:rsid w:val="004D47CB"/>
    <w:rsid w:val="004D4D15"/>
    <w:rsid w:val="004D622B"/>
    <w:rsid w:val="004D6259"/>
    <w:rsid w:val="004D653B"/>
    <w:rsid w:val="004D794F"/>
    <w:rsid w:val="004E184F"/>
    <w:rsid w:val="004E2144"/>
    <w:rsid w:val="004E28FD"/>
    <w:rsid w:val="004E2CD4"/>
    <w:rsid w:val="004E40DA"/>
    <w:rsid w:val="004E5715"/>
    <w:rsid w:val="004E5CFD"/>
    <w:rsid w:val="004E65AB"/>
    <w:rsid w:val="004E6A08"/>
    <w:rsid w:val="004E6BD0"/>
    <w:rsid w:val="004E6BDE"/>
    <w:rsid w:val="004E79BE"/>
    <w:rsid w:val="004E7ED2"/>
    <w:rsid w:val="004F0575"/>
    <w:rsid w:val="004F15BE"/>
    <w:rsid w:val="004F1C6C"/>
    <w:rsid w:val="004F1E91"/>
    <w:rsid w:val="004F23BF"/>
    <w:rsid w:val="004F2FD8"/>
    <w:rsid w:val="004F34A8"/>
    <w:rsid w:val="004F3823"/>
    <w:rsid w:val="004F3A81"/>
    <w:rsid w:val="004F4B66"/>
    <w:rsid w:val="004F506D"/>
    <w:rsid w:val="004F5484"/>
    <w:rsid w:val="004F5A1D"/>
    <w:rsid w:val="004F61B3"/>
    <w:rsid w:val="004F630D"/>
    <w:rsid w:val="004F716A"/>
    <w:rsid w:val="004F72A3"/>
    <w:rsid w:val="004F758E"/>
    <w:rsid w:val="004F76BE"/>
    <w:rsid w:val="004F7B25"/>
    <w:rsid w:val="004F7C18"/>
    <w:rsid w:val="00500018"/>
    <w:rsid w:val="005001F0"/>
    <w:rsid w:val="005002DB"/>
    <w:rsid w:val="005012B5"/>
    <w:rsid w:val="00501ED6"/>
    <w:rsid w:val="00502020"/>
    <w:rsid w:val="00502746"/>
    <w:rsid w:val="00502987"/>
    <w:rsid w:val="00502B16"/>
    <w:rsid w:val="00502EF2"/>
    <w:rsid w:val="00503231"/>
    <w:rsid w:val="00503B73"/>
    <w:rsid w:val="005049C8"/>
    <w:rsid w:val="0050552A"/>
    <w:rsid w:val="00505B4C"/>
    <w:rsid w:val="00506168"/>
    <w:rsid w:val="0050669D"/>
    <w:rsid w:val="00506A93"/>
    <w:rsid w:val="005079D0"/>
    <w:rsid w:val="00510334"/>
    <w:rsid w:val="00510426"/>
    <w:rsid w:val="00510489"/>
    <w:rsid w:val="005104E6"/>
    <w:rsid w:val="0051104C"/>
    <w:rsid w:val="005114BC"/>
    <w:rsid w:val="00511CFF"/>
    <w:rsid w:val="00512C5B"/>
    <w:rsid w:val="0051313E"/>
    <w:rsid w:val="005131F8"/>
    <w:rsid w:val="005136DD"/>
    <w:rsid w:val="00514903"/>
    <w:rsid w:val="00514B1F"/>
    <w:rsid w:val="00514F42"/>
    <w:rsid w:val="005153E5"/>
    <w:rsid w:val="00515C48"/>
    <w:rsid w:val="005163FE"/>
    <w:rsid w:val="00516853"/>
    <w:rsid w:val="00516CDE"/>
    <w:rsid w:val="0051705C"/>
    <w:rsid w:val="005173B0"/>
    <w:rsid w:val="00520245"/>
    <w:rsid w:val="00520413"/>
    <w:rsid w:val="0052074A"/>
    <w:rsid w:val="00520B72"/>
    <w:rsid w:val="00520CA7"/>
    <w:rsid w:val="00521220"/>
    <w:rsid w:val="00522338"/>
    <w:rsid w:val="00522497"/>
    <w:rsid w:val="005227CC"/>
    <w:rsid w:val="0052323F"/>
    <w:rsid w:val="00523C7B"/>
    <w:rsid w:val="00523D3F"/>
    <w:rsid w:val="00523F33"/>
    <w:rsid w:val="00524576"/>
    <w:rsid w:val="00525F2E"/>
    <w:rsid w:val="0052658F"/>
    <w:rsid w:val="00526676"/>
    <w:rsid w:val="005269FE"/>
    <w:rsid w:val="00526B89"/>
    <w:rsid w:val="005274BD"/>
    <w:rsid w:val="005276EB"/>
    <w:rsid w:val="0052794E"/>
    <w:rsid w:val="00527D80"/>
    <w:rsid w:val="00527DF4"/>
    <w:rsid w:val="00527F94"/>
    <w:rsid w:val="00530091"/>
    <w:rsid w:val="00530099"/>
    <w:rsid w:val="005307DA"/>
    <w:rsid w:val="00530B8F"/>
    <w:rsid w:val="00530C76"/>
    <w:rsid w:val="00530D1D"/>
    <w:rsid w:val="0053197E"/>
    <w:rsid w:val="005327BB"/>
    <w:rsid w:val="00532910"/>
    <w:rsid w:val="00532B02"/>
    <w:rsid w:val="00532C63"/>
    <w:rsid w:val="00534015"/>
    <w:rsid w:val="00534507"/>
    <w:rsid w:val="00534668"/>
    <w:rsid w:val="00534759"/>
    <w:rsid w:val="00535E3B"/>
    <w:rsid w:val="005361C1"/>
    <w:rsid w:val="0053658A"/>
    <w:rsid w:val="00536693"/>
    <w:rsid w:val="005366DE"/>
    <w:rsid w:val="00537287"/>
    <w:rsid w:val="00537646"/>
    <w:rsid w:val="00537F3D"/>
    <w:rsid w:val="0054071A"/>
    <w:rsid w:val="00541239"/>
    <w:rsid w:val="005413A4"/>
    <w:rsid w:val="00542193"/>
    <w:rsid w:val="00542874"/>
    <w:rsid w:val="00542B0C"/>
    <w:rsid w:val="00542C01"/>
    <w:rsid w:val="00543315"/>
    <w:rsid w:val="0054334F"/>
    <w:rsid w:val="00543782"/>
    <w:rsid w:val="00544072"/>
    <w:rsid w:val="00544EE1"/>
    <w:rsid w:val="005458F3"/>
    <w:rsid w:val="00545D01"/>
    <w:rsid w:val="00545DB4"/>
    <w:rsid w:val="005463AD"/>
    <w:rsid w:val="00546A18"/>
    <w:rsid w:val="00547E05"/>
    <w:rsid w:val="0055006A"/>
    <w:rsid w:val="00550810"/>
    <w:rsid w:val="00550A29"/>
    <w:rsid w:val="00550E9F"/>
    <w:rsid w:val="00550F9E"/>
    <w:rsid w:val="0055227E"/>
    <w:rsid w:val="0055245D"/>
    <w:rsid w:val="005524DB"/>
    <w:rsid w:val="005529B8"/>
    <w:rsid w:val="00552E6B"/>
    <w:rsid w:val="00553331"/>
    <w:rsid w:val="00553687"/>
    <w:rsid w:val="005542E8"/>
    <w:rsid w:val="0055443C"/>
    <w:rsid w:val="00554C89"/>
    <w:rsid w:val="00555385"/>
    <w:rsid w:val="005554A0"/>
    <w:rsid w:val="005556BE"/>
    <w:rsid w:val="005571C4"/>
    <w:rsid w:val="00557392"/>
    <w:rsid w:val="005576A4"/>
    <w:rsid w:val="00557A2F"/>
    <w:rsid w:val="00560E70"/>
    <w:rsid w:val="005615B0"/>
    <w:rsid w:val="005616E5"/>
    <w:rsid w:val="00562138"/>
    <w:rsid w:val="00562648"/>
    <w:rsid w:val="005628EC"/>
    <w:rsid w:val="0056305F"/>
    <w:rsid w:val="00564036"/>
    <w:rsid w:val="00565230"/>
    <w:rsid w:val="005656A1"/>
    <w:rsid w:val="00565822"/>
    <w:rsid w:val="00565879"/>
    <w:rsid w:val="00565C44"/>
    <w:rsid w:val="005667AD"/>
    <w:rsid w:val="00566BDD"/>
    <w:rsid w:val="00566E2E"/>
    <w:rsid w:val="005671EF"/>
    <w:rsid w:val="005678A1"/>
    <w:rsid w:val="005678F6"/>
    <w:rsid w:val="00567A63"/>
    <w:rsid w:val="005700DB"/>
    <w:rsid w:val="005701C7"/>
    <w:rsid w:val="00570DB9"/>
    <w:rsid w:val="00571006"/>
    <w:rsid w:val="0057169D"/>
    <w:rsid w:val="005716C0"/>
    <w:rsid w:val="00571BE5"/>
    <w:rsid w:val="005723DA"/>
    <w:rsid w:val="005727A6"/>
    <w:rsid w:val="00572A06"/>
    <w:rsid w:val="00573F09"/>
    <w:rsid w:val="00574389"/>
    <w:rsid w:val="005744FD"/>
    <w:rsid w:val="0057476C"/>
    <w:rsid w:val="005757E9"/>
    <w:rsid w:val="00575ED4"/>
    <w:rsid w:val="00576092"/>
    <w:rsid w:val="00576152"/>
    <w:rsid w:val="00576589"/>
    <w:rsid w:val="005766E0"/>
    <w:rsid w:val="00576A67"/>
    <w:rsid w:val="00577361"/>
    <w:rsid w:val="00577A3B"/>
    <w:rsid w:val="00577E09"/>
    <w:rsid w:val="0058001C"/>
    <w:rsid w:val="0058012B"/>
    <w:rsid w:val="00580416"/>
    <w:rsid w:val="005806F2"/>
    <w:rsid w:val="00581272"/>
    <w:rsid w:val="00581567"/>
    <w:rsid w:val="00581F21"/>
    <w:rsid w:val="00581FC2"/>
    <w:rsid w:val="00582541"/>
    <w:rsid w:val="005829CE"/>
    <w:rsid w:val="00583350"/>
    <w:rsid w:val="00583626"/>
    <w:rsid w:val="00583E77"/>
    <w:rsid w:val="00584436"/>
    <w:rsid w:val="00585115"/>
    <w:rsid w:val="005852DF"/>
    <w:rsid w:val="005857F9"/>
    <w:rsid w:val="00585BB8"/>
    <w:rsid w:val="00585E05"/>
    <w:rsid w:val="00585F63"/>
    <w:rsid w:val="005862EC"/>
    <w:rsid w:val="0058670F"/>
    <w:rsid w:val="0058723C"/>
    <w:rsid w:val="0058744E"/>
    <w:rsid w:val="00587DD0"/>
    <w:rsid w:val="00587F29"/>
    <w:rsid w:val="005904F1"/>
    <w:rsid w:val="00590E24"/>
    <w:rsid w:val="005916AF"/>
    <w:rsid w:val="00591895"/>
    <w:rsid w:val="00591B34"/>
    <w:rsid w:val="00591BC6"/>
    <w:rsid w:val="00591D35"/>
    <w:rsid w:val="00592558"/>
    <w:rsid w:val="00592B43"/>
    <w:rsid w:val="00592C0C"/>
    <w:rsid w:val="00593DAA"/>
    <w:rsid w:val="00594382"/>
    <w:rsid w:val="005955BD"/>
    <w:rsid w:val="005958AE"/>
    <w:rsid w:val="0059627C"/>
    <w:rsid w:val="0059682C"/>
    <w:rsid w:val="00596B14"/>
    <w:rsid w:val="00597382"/>
    <w:rsid w:val="00597498"/>
    <w:rsid w:val="005977AE"/>
    <w:rsid w:val="00597A4D"/>
    <w:rsid w:val="005A0804"/>
    <w:rsid w:val="005A1E70"/>
    <w:rsid w:val="005A1F88"/>
    <w:rsid w:val="005A3B3C"/>
    <w:rsid w:val="005A43F8"/>
    <w:rsid w:val="005A4C52"/>
    <w:rsid w:val="005A535C"/>
    <w:rsid w:val="005A556E"/>
    <w:rsid w:val="005A557B"/>
    <w:rsid w:val="005A58C1"/>
    <w:rsid w:val="005A65CC"/>
    <w:rsid w:val="005A6AB7"/>
    <w:rsid w:val="005A7762"/>
    <w:rsid w:val="005B0792"/>
    <w:rsid w:val="005B0813"/>
    <w:rsid w:val="005B1D4F"/>
    <w:rsid w:val="005B2046"/>
    <w:rsid w:val="005B2A0D"/>
    <w:rsid w:val="005B2BDE"/>
    <w:rsid w:val="005B313C"/>
    <w:rsid w:val="005B414F"/>
    <w:rsid w:val="005B43DA"/>
    <w:rsid w:val="005B5910"/>
    <w:rsid w:val="005B68D5"/>
    <w:rsid w:val="005B6E72"/>
    <w:rsid w:val="005B70F8"/>
    <w:rsid w:val="005B78BC"/>
    <w:rsid w:val="005B7AAE"/>
    <w:rsid w:val="005B7D48"/>
    <w:rsid w:val="005C081F"/>
    <w:rsid w:val="005C0954"/>
    <w:rsid w:val="005C1102"/>
    <w:rsid w:val="005C1F46"/>
    <w:rsid w:val="005C20D2"/>
    <w:rsid w:val="005C3418"/>
    <w:rsid w:val="005C3BE3"/>
    <w:rsid w:val="005C4123"/>
    <w:rsid w:val="005C4AEE"/>
    <w:rsid w:val="005C4F42"/>
    <w:rsid w:val="005C5457"/>
    <w:rsid w:val="005C55B4"/>
    <w:rsid w:val="005C59F9"/>
    <w:rsid w:val="005C5AF4"/>
    <w:rsid w:val="005C6255"/>
    <w:rsid w:val="005C63B7"/>
    <w:rsid w:val="005C7053"/>
    <w:rsid w:val="005C78D6"/>
    <w:rsid w:val="005D0189"/>
    <w:rsid w:val="005D01B3"/>
    <w:rsid w:val="005D0BDB"/>
    <w:rsid w:val="005D0CAC"/>
    <w:rsid w:val="005D1722"/>
    <w:rsid w:val="005D1A97"/>
    <w:rsid w:val="005D244B"/>
    <w:rsid w:val="005D2C11"/>
    <w:rsid w:val="005D3051"/>
    <w:rsid w:val="005D3271"/>
    <w:rsid w:val="005D32C2"/>
    <w:rsid w:val="005D3545"/>
    <w:rsid w:val="005D4B13"/>
    <w:rsid w:val="005D55B1"/>
    <w:rsid w:val="005D64FA"/>
    <w:rsid w:val="005D7EB6"/>
    <w:rsid w:val="005E00D7"/>
    <w:rsid w:val="005E10BB"/>
    <w:rsid w:val="005E181C"/>
    <w:rsid w:val="005E1B02"/>
    <w:rsid w:val="005E2188"/>
    <w:rsid w:val="005E2B84"/>
    <w:rsid w:val="005E2EE1"/>
    <w:rsid w:val="005E3D56"/>
    <w:rsid w:val="005E5B79"/>
    <w:rsid w:val="005E5D15"/>
    <w:rsid w:val="005E5DF8"/>
    <w:rsid w:val="005E66B7"/>
    <w:rsid w:val="005E70EC"/>
    <w:rsid w:val="005F060A"/>
    <w:rsid w:val="005F097F"/>
    <w:rsid w:val="005F09EC"/>
    <w:rsid w:val="005F0E2C"/>
    <w:rsid w:val="005F15CB"/>
    <w:rsid w:val="005F19B6"/>
    <w:rsid w:val="005F1D0E"/>
    <w:rsid w:val="005F225D"/>
    <w:rsid w:val="005F26B9"/>
    <w:rsid w:val="005F2F6A"/>
    <w:rsid w:val="005F38F8"/>
    <w:rsid w:val="005F3C0C"/>
    <w:rsid w:val="005F5183"/>
    <w:rsid w:val="005F64D5"/>
    <w:rsid w:val="005F655D"/>
    <w:rsid w:val="005F679E"/>
    <w:rsid w:val="005F686C"/>
    <w:rsid w:val="005F6E72"/>
    <w:rsid w:val="005F7199"/>
    <w:rsid w:val="005F7247"/>
    <w:rsid w:val="005F7E28"/>
    <w:rsid w:val="006000AC"/>
    <w:rsid w:val="006009D7"/>
    <w:rsid w:val="00600D49"/>
    <w:rsid w:val="0060138D"/>
    <w:rsid w:val="006022EB"/>
    <w:rsid w:val="00602FB5"/>
    <w:rsid w:val="00603B32"/>
    <w:rsid w:val="00603C9B"/>
    <w:rsid w:val="00603E98"/>
    <w:rsid w:val="0060402D"/>
    <w:rsid w:val="00604524"/>
    <w:rsid w:val="00604787"/>
    <w:rsid w:val="006048E8"/>
    <w:rsid w:val="00604D7C"/>
    <w:rsid w:val="00604E48"/>
    <w:rsid w:val="00604EBD"/>
    <w:rsid w:val="006056D1"/>
    <w:rsid w:val="00605F86"/>
    <w:rsid w:val="006065D8"/>
    <w:rsid w:val="00606B49"/>
    <w:rsid w:val="00606BC7"/>
    <w:rsid w:val="006078CE"/>
    <w:rsid w:val="00610521"/>
    <w:rsid w:val="00610C53"/>
    <w:rsid w:val="00611B8D"/>
    <w:rsid w:val="006121FA"/>
    <w:rsid w:val="00612471"/>
    <w:rsid w:val="0061369C"/>
    <w:rsid w:val="0061408A"/>
    <w:rsid w:val="006153DB"/>
    <w:rsid w:val="00616639"/>
    <w:rsid w:val="00616A94"/>
    <w:rsid w:val="00617162"/>
    <w:rsid w:val="006174DA"/>
    <w:rsid w:val="00617F32"/>
    <w:rsid w:val="0062041A"/>
    <w:rsid w:val="006215B4"/>
    <w:rsid w:val="006237F6"/>
    <w:rsid w:val="00623D3E"/>
    <w:rsid w:val="006245C1"/>
    <w:rsid w:val="00624CC8"/>
    <w:rsid w:val="00625114"/>
    <w:rsid w:val="00625131"/>
    <w:rsid w:val="00626657"/>
    <w:rsid w:val="00626761"/>
    <w:rsid w:val="00626BD5"/>
    <w:rsid w:val="0062760A"/>
    <w:rsid w:val="00627A35"/>
    <w:rsid w:val="00627BC8"/>
    <w:rsid w:val="00627D40"/>
    <w:rsid w:val="00627ED2"/>
    <w:rsid w:val="00630492"/>
    <w:rsid w:val="00630BF1"/>
    <w:rsid w:val="00630FC6"/>
    <w:rsid w:val="0063138C"/>
    <w:rsid w:val="0063138E"/>
    <w:rsid w:val="00632077"/>
    <w:rsid w:val="00632668"/>
    <w:rsid w:val="0063318C"/>
    <w:rsid w:val="00633CE5"/>
    <w:rsid w:val="00634067"/>
    <w:rsid w:val="006340AC"/>
    <w:rsid w:val="00634630"/>
    <w:rsid w:val="00634F3E"/>
    <w:rsid w:val="00635FFE"/>
    <w:rsid w:val="006373CD"/>
    <w:rsid w:val="006405D4"/>
    <w:rsid w:val="00640695"/>
    <w:rsid w:val="006407A3"/>
    <w:rsid w:val="00640BCD"/>
    <w:rsid w:val="00641A18"/>
    <w:rsid w:val="00641BD7"/>
    <w:rsid w:val="00642390"/>
    <w:rsid w:val="006427D2"/>
    <w:rsid w:val="00642AE8"/>
    <w:rsid w:val="00642AEF"/>
    <w:rsid w:val="006433EA"/>
    <w:rsid w:val="006437AA"/>
    <w:rsid w:val="00643D6F"/>
    <w:rsid w:val="00644277"/>
    <w:rsid w:val="006445F1"/>
    <w:rsid w:val="00644924"/>
    <w:rsid w:val="00644A31"/>
    <w:rsid w:val="00644A4B"/>
    <w:rsid w:val="00644A85"/>
    <w:rsid w:val="00644EA7"/>
    <w:rsid w:val="00645383"/>
    <w:rsid w:val="0064636E"/>
    <w:rsid w:val="00646AA9"/>
    <w:rsid w:val="006472AF"/>
    <w:rsid w:val="006477F3"/>
    <w:rsid w:val="00647B79"/>
    <w:rsid w:val="006507A5"/>
    <w:rsid w:val="00650E5E"/>
    <w:rsid w:val="00650F50"/>
    <w:rsid w:val="00651309"/>
    <w:rsid w:val="00651A4E"/>
    <w:rsid w:val="00651DA5"/>
    <w:rsid w:val="00652667"/>
    <w:rsid w:val="00652C72"/>
    <w:rsid w:val="006539CB"/>
    <w:rsid w:val="00653DD4"/>
    <w:rsid w:val="00654C1F"/>
    <w:rsid w:val="00655436"/>
    <w:rsid w:val="00655A37"/>
    <w:rsid w:val="00656184"/>
    <w:rsid w:val="006566AD"/>
    <w:rsid w:val="006571DC"/>
    <w:rsid w:val="00657A4F"/>
    <w:rsid w:val="00657B2A"/>
    <w:rsid w:val="00657BBB"/>
    <w:rsid w:val="00657D5C"/>
    <w:rsid w:val="0066018B"/>
    <w:rsid w:val="0066025F"/>
    <w:rsid w:val="00660F69"/>
    <w:rsid w:val="0066111E"/>
    <w:rsid w:val="0066262B"/>
    <w:rsid w:val="006629C1"/>
    <w:rsid w:val="00662D2C"/>
    <w:rsid w:val="00663DD7"/>
    <w:rsid w:val="00664368"/>
    <w:rsid w:val="0066456D"/>
    <w:rsid w:val="00664592"/>
    <w:rsid w:val="00664854"/>
    <w:rsid w:val="006663A6"/>
    <w:rsid w:val="006664B6"/>
    <w:rsid w:val="00667A40"/>
    <w:rsid w:val="00667E6E"/>
    <w:rsid w:val="00670F9F"/>
    <w:rsid w:val="006717F5"/>
    <w:rsid w:val="00671878"/>
    <w:rsid w:val="0067198D"/>
    <w:rsid w:val="006722DA"/>
    <w:rsid w:val="006724F6"/>
    <w:rsid w:val="006727EA"/>
    <w:rsid w:val="006733A6"/>
    <w:rsid w:val="00674D5C"/>
    <w:rsid w:val="00675077"/>
    <w:rsid w:val="006753DA"/>
    <w:rsid w:val="00675D91"/>
    <w:rsid w:val="006765A5"/>
    <w:rsid w:val="00677E57"/>
    <w:rsid w:val="0068047F"/>
    <w:rsid w:val="006810BA"/>
    <w:rsid w:val="0068140E"/>
    <w:rsid w:val="006814D9"/>
    <w:rsid w:val="006816AF"/>
    <w:rsid w:val="00681BBB"/>
    <w:rsid w:val="006826E1"/>
    <w:rsid w:val="006829E3"/>
    <w:rsid w:val="006831D4"/>
    <w:rsid w:val="00683810"/>
    <w:rsid w:val="00684DC0"/>
    <w:rsid w:val="006857D5"/>
    <w:rsid w:val="006859D8"/>
    <w:rsid w:val="00686645"/>
    <w:rsid w:val="006866EF"/>
    <w:rsid w:val="00686A65"/>
    <w:rsid w:val="00687148"/>
    <w:rsid w:val="00687286"/>
    <w:rsid w:val="006875FB"/>
    <w:rsid w:val="006904B9"/>
    <w:rsid w:val="006905F9"/>
    <w:rsid w:val="00690C62"/>
    <w:rsid w:val="00691521"/>
    <w:rsid w:val="006924FF"/>
    <w:rsid w:val="0069334E"/>
    <w:rsid w:val="00693BCB"/>
    <w:rsid w:val="00693CEE"/>
    <w:rsid w:val="006942AB"/>
    <w:rsid w:val="00694677"/>
    <w:rsid w:val="00695395"/>
    <w:rsid w:val="0069575B"/>
    <w:rsid w:val="006958B7"/>
    <w:rsid w:val="00695D98"/>
    <w:rsid w:val="00695EAA"/>
    <w:rsid w:val="00696044"/>
    <w:rsid w:val="006960DA"/>
    <w:rsid w:val="0069660A"/>
    <w:rsid w:val="00696640"/>
    <w:rsid w:val="00696AEE"/>
    <w:rsid w:val="00696BF6"/>
    <w:rsid w:val="00696F42"/>
    <w:rsid w:val="0069768B"/>
    <w:rsid w:val="006978A1"/>
    <w:rsid w:val="00697A4F"/>
    <w:rsid w:val="00697A5B"/>
    <w:rsid w:val="006A0E99"/>
    <w:rsid w:val="006A1157"/>
    <w:rsid w:val="006A130B"/>
    <w:rsid w:val="006A1379"/>
    <w:rsid w:val="006A15BF"/>
    <w:rsid w:val="006A16F9"/>
    <w:rsid w:val="006A1C4B"/>
    <w:rsid w:val="006A2020"/>
    <w:rsid w:val="006A2261"/>
    <w:rsid w:val="006A2FFA"/>
    <w:rsid w:val="006A3260"/>
    <w:rsid w:val="006A3AF0"/>
    <w:rsid w:val="006A4825"/>
    <w:rsid w:val="006A4A45"/>
    <w:rsid w:val="006A4DD0"/>
    <w:rsid w:val="006A4F35"/>
    <w:rsid w:val="006A51BC"/>
    <w:rsid w:val="006A6607"/>
    <w:rsid w:val="006A68EA"/>
    <w:rsid w:val="006A69D2"/>
    <w:rsid w:val="006A69EB"/>
    <w:rsid w:val="006A6F2F"/>
    <w:rsid w:val="006A740E"/>
    <w:rsid w:val="006A760B"/>
    <w:rsid w:val="006A7E5F"/>
    <w:rsid w:val="006B0A67"/>
    <w:rsid w:val="006B0BED"/>
    <w:rsid w:val="006B1822"/>
    <w:rsid w:val="006B1ABB"/>
    <w:rsid w:val="006B1CE3"/>
    <w:rsid w:val="006B1EE6"/>
    <w:rsid w:val="006B286A"/>
    <w:rsid w:val="006B28A3"/>
    <w:rsid w:val="006B2A26"/>
    <w:rsid w:val="006B3BE8"/>
    <w:rsid w:val="006B4084"/>
    <w:rsid w:val="006B4755"/>
    <w:rsid w:val="006B4C8A"/>
    <w:rsid w:val="006B5560"/>
    <w:rsid w:val="006B6AA9"/>
    <w:rsid w:val="006B6D82"/>
    <w:rsid w:val="006B778A"/>
    <w:rsid w:val="006C0F74"/>
    <w:rsid w:val="006C0FEB"/>
    <w:rsid w:val="006C1686"/>
    <w:rsid w:val="006C24E5"/>
    <w:rsid w:val="006C2601"/>
    <w:rsid w:val="006C3285"/>
    <w:rsid w:val="006C3B3A"/>
    <w:rsid w:val="006C43D4"/>
    <w:rsid w:val="006C4F25"/>
    <w:rsid w:val="006C4F3C"/>
    <w:rsid w:val="006C59EF"/>
    <w:rsid w:val="006C673C"/>
    <w:rsid w:val="006C6AA8"/>
    <w:rsid w:val="006C6B66"/>
    <w:rsid w:val="006C747A"/>
    <w:rsid w:val="006C781B"/>
    <w:rsid w:val="006C7DEC"/>
    <w:rsid w:val="006D057F"/>
    <w:rsid w:val="006D1303"/>
    <w:rsid w:val="006D17A7"/>
    <w:rsid w:val="006D1C24"/>
    <w:rsid w:val="006D240D"/>
    <w:rsid w:val="006D2A11"/>
    <w:rsid w:val="006D2D0F"/>
    <w:rsid w:val="006D3FA4"/>
    <w:rsid w:val="006D425F"/>
    <w:rsid w:val="006D5A08"/>
    <w:rsid w:val="006D6861"/>
    <w:rsid w:val="006D70CB"/>
    <w:rsid w:val="006D7228"/>
    <w:rsid w:val="006D746C"/>
    <w:rsid w:val="006D7E09"/>
    <w:rsid w:val="006D7E35"/>
    <w:rsid w:val="006E03DD"/>
    <w:rsid w:val="006E1B01"/>
    <w:rsid w:val="006E35D7"/>
    <w:rsid w:val="006E3A22"/>
    <w:rsid w:val="006E3D28"/>
    <w:rsid w:val="006E43A7"/>
    <w:rsid w:val="006E4600"/>
    <w:rsid w:val="006E4835"/>
    <w:rsid w:val="006E6200"/>
    <w:rsid w:val="006E6610"/>
    <w:rsid w:val="006E6885"/>
    <w:rsid w:val="006E7024"/>
    <w:rsid w:val="006E7DBF"/>
    <w:rsid w:val="006F01F2"/>
    <w:rsid w:val="006F04C9"/>
    <w:rsid w:val="006F095C"/>
    <w:rsid w:val="006F0E7E"/>
    <w:rsid w:val="006F0ECE"/>
    <w:rsid w:val="006F1624"/>
    <w:rsid w:val="006F16A0"/>
    <w:rsid w:val="006F1AA2"/>
    <w:rsid w:val="006F20F3"/>
    <w:rsid w:val="006F2450"/>
    <w:rsid w:val="006F2E02"/>
    <w:rsid w:val="006F311E"/>
    <w:rsid w:val="006F324F"/>
    <w:rsid w:val="006F3702"/>
    <w:rsid w:val="006F44C2"/>
    <w:rsid w:val="006F481F"/>
    <w:rsid w:val="006F513B"/>
    <w:rsid w:val="006F51DE"/>
    <w:rsid w:val="006F5E6C"/>
    <w:rsid w:val="006F6006"/>
    <w:rsid w:val="006F6135"/>
    <w:rsid w:val="006F66E5"/>
    <w:rsid w:val="006F6AD4"/>
    <w:rsid w:val="006F6E52"/>
    <w:rsid w:val="006F77CF"/>
    <w:rsid w:val="006F7B2A"/>
    <w:rsid w:val="006F7EAF"/>
    <w:rsid w:val="0070000C"/>
    <w:rsid w:val="00700B64"/>
    <w:rsid w:val="00700FDE"/>
    <w:rsid w:val="00701534"/>
    <w:rsid w:val="00701F85"/>
    <w:rsid w:val="00702A26"/>
    <w:rsid w:val="00702E51"/>
    <w:rsid w:val="00702FB1"/>
    <w:rsid w:val="00703138"/>
    <w:rsid w:val="00703467"/>
    <w:rsid w:val="00703D8C"/>
    <w:rsid w:val="00704414"/>
    <w:rsid w:val="00704AF9"/>
    <w:rsid w:val="00704D20"/>
    <w:rsid w:val="007054AC"/>
    <w:rsid w:val="0070587E"/>
    <w:rsid w:val="007060D3"/>
    <w:rsid w:val="00706185"/>
    <w:rsid w:val="007063BF"/>
    <w:rsid w:val="00706BEC"/>
    <w:rsid w:val="007071A3"/>
    <w:rsid w:val="0070730A"/>
    <w:rsid w:val="00707F05"/>
    <w:rsid w:val="007106F3"/>
    <w:rsid w:val="00710763"/>
    <w:rsid w:val="00710799"/>
    <w:rsid w:val="007110EF"/>
    <w:rsid w:val="00711B1F"/>
    <w:rsid w:val="007121EE"/>
    <w:rsid w:val="00713573"/>
    <w:rsid w:val="00713E40"/>
    <w:rsid w:val="00713E6F"/>
    <w:rsid w:val="00714597"/>
    <w:rsid w:val="00714D92"/>
    <w:rsid w:val="007150A3"/>
    <w:rsid w:val="007152CE"/>
    <w:rsid w:val="0071592B"/>
    <w:rsid w:val="00716177"/>
    <w:rsid w:val="00720471"/>
    <w:rsid w:val="0072078F"/>
    <w:rsid w:val="00720CD2"/>
    <w:rsid w:val="007211D9"/>
    <w:rsid w:val="00721528"/>
    <w:rsid w:val="00722994"/>
    <w:rsid w:val="00723C48"/>
    <w:rsid w:val="0072425B"/>
    <w:rsid w:val="0072444B"/>
    <w:rsid w:val="00724531"/>
    <w:rsid w:val="0072457B"/>
    <w:rsid w:val="00724671"/>
    <w:rsid w:val="00724B17"/>
    <w:rsid w:val="00725307"/>
    <w:rsid w:val="007258D4"/>
    <w:rsid w:val="0072671B"/>
    <w:rsid w:val="0072682A"/>
    <w:rsid w:val="00726925"/>
    <w:rsid w:val="00726D77"/>
    <w:rsid w:val="0072773B"/>
    <w:rsid w:val="00727812"/>
    <w:rsid w:val="00730369"/>
    <w:rsid w:val="00730492"/>
    <w:rsid w:val="007304D8"/>
    <w:rsid w:val="00730718"/>
    <w:rsid w:val="00730AE5"/>
    <w:rsid w:val="00731F32"/>
    <w:rsid w:val="00732BE6"/>
    <w:rsid w:val="00733F5C"/>
    <w:rsid w:val="007346F8"/>
    <w:rsid w:val="00734911"/>
    <w:rsid w:val="00734B98"/>
    <w:rsid w:val="007358FD"/>
    <w:rsid w:val="00735B09"/>
    <w:rsid w:val="00735B94"/>
    <w:rsid w:val="00736172"/>
    <w:rsid w:val="00736983"/>
    <w:rsid w:val="00736A1A"/>
    <w:rsid w:val="00736F96"/>
    <w:rsid w:val="007373C8"/>
    <w:rsid w:val="00737A11"/>
    <w:rsid w:val="00740629"/>
    <w:rsid w:val="00741DB2"/>
    <w:rsid w:val="00742475"/>
    <w:rsid w:val="007431E7"/>
    <w:rsid w:val="007435D7"/>
    <w:rsid w:val="007444DD"/>
    <w:rsid w:val="00744A18"/>
    <w:rsid w:val="00744D7B"/>
    <w:rsid w:val="00744DCC"/>
    <w:rsid w:val="0074502B"/>
    <w:rsid w:val="00745286"/>
    <w:rsid w:val="00745EBA"/>
    <w:rsid w:val="0074666E"/>
    <w:rsid w:val="00746D3E"/>
    <w:rsid w:val="0074702D"/>
    <w:rsid w:val="00747C75"/>
    <w:rsid w:val="007509F4"/>
    <w:rsid w:val="00751B62"/>
    <w:rsid w:val="00751FB5"/>
    <w:rsid w:val="00752796"/>
    <w:rsid w:val="00752812"/>
    <w:rsid w:val="0075317C"/>
    <w:rsid w:val="00753613"/>
    <w:rsid w:val="007537F2"/>
    <w:rsid w:val="00753B08"/>
    <w:rsid w:val="00754112"/>
    <w:rsid w:val="0075449B"/>
    <w:rsid w:val="00754A7E"/>
    <w:rsid w:val="00755FE7"/>
    <w:rsid w:val="007569C7"/>
    <w:rsid w:val="00757795"/>
    <w:rsid w:val="00757CAD"/>
    <w:rsid w:val="00760329"/>
    <w:rsid w:val="00761370"/>
    <w:rsid w:val="0076189A"/>
    <w:rsid w:val="00762B3F"/>
    <w:rsid w:val="00762EE0"/>
    <w:rsid w:val="00763028"/>
    <w:rsid w:val="00763537"/>
    <w:rsid w:val="00763D49"/>
    <w:rsid w:val="00764352"/>
    <w:rsid w:val="007646AA"/>
    <w:rsid w:val="00764779"/>
    <w:rsid w:val="007649C6"/>
    <w:rsid w:val="007667BC"/>
    <w:rsid w:val="00766A63"/>
    <w:rsid w:val="00766C25"/>
    <w:rsid w:val="00766F51"/>
    <w:rsid w:val="00767D3B"/>
    <w:rsid w:val="00770195"/>
    <w:rsid w:val="00770803"/>
    <w:rsid w:val="00770D72"/>
    <w:rsid w:val="00770E1C"/>
    <w:rsid w:val="0077109F"/>
    <w:rsid w:val="00771777"/>
    <w:rsid w:val="00772437"/>
    <w:rsid w:val="00772C3A"/>
    <w:rsid w:val="00773367"/>
    <w:rsid w:val="00773913"/>
    <w:rsid w:val="00774A1C"/>
    <w:rsid w:val="00774A1E"/>
    <w:rsid w:val="00774E13"/>
    <w:rsid w:val="00774F91"/>
    <w:rsid w:val="00776613"/>
    <w:rsid w:val="007772F4"/>
    <w:rsid w:val="00777503"/>
    <w:rsid w:val="00777700"/>
    <w:rsid w:val="00777F74"/>
    <w:rsid w:val="00780C85"/>
    <w:rsid w:val="00781A15"/>
    <w:rsid w:val="00782704"/>
    <w:rsid w:val="007837EC"/>
    <w:rsid w:val="00783E6F"/>
    <w:rsid w:val="00785221"/>
    <w:rsid w:val="007858E5"/>
    <w:rsid w:val="00785D9C"/>
    <w:rsid w:val="0078605B"/>
    <w:rsid w:val="007860D2"/>
    <w:rsid w:val="0078626C"/>
    <w:rsid w:val="00786579"/>
    <w:rsid w:val="00786FCA"/>
    <w:rsid w:val="00791442"/>
    <w:rsid w:val="007916B1"/>
    <w:rsid w:val="00791DB7"/>
    <w:rsid w:val="00792770"/>
    <w:rsid w:val="00792AF0"/>
    <w:rsid w:val="00792D8C"/>
    <w:rsid w:val="00792E5C"/>
    <w:rsid w:val="0079317D"/>
    <w:rsid w:val="007931D8"/>
    <w:rsid w:val="00793E72"/>
    <w:rsid w:val="007944BA"/>
    <w:rsid w:val="00794B59"/>
    <w:rsid w:val="0079532D"/>
    <w:rsid w:val="00795C99"/>
    <w:rsid w:val="00796A56"/>
    <w:rsid w:val="00797D25"/>
    <w:rsid w:val="007A0490"/>
    <w:rsid w:val="007A17E9"/>
    <w:rsid w:val="007A1E84"/>
    <w:rsid w:val="007A1FF7"/>
    <w:rsid w:val="007A2983"/>
    <w:rsid w:val="007A2CEF"/>
    <w:rsid w:val="007A3105"/>
    <w:rsid w:val="007A35F1"/>
    <w:rsid w:val="007A3A02"/>
    <w:rsid w:val="007A3B81"/>
    <w:rsid w:val="007A4149"/>
    <w:rsid w:val="007A418E"/>
    <w:rsid w:val="007A41B2"/>
    <w:rsid w:val="007A58EE"/>
    <w:rsid w:val="007A5AFA"/>
    <w:rsid w:val="007A5D1A"/>
    <w:rsid w:val="007A5E5B"/>
    <w:rsid w:val="007A73AB"/>
    <w:rsid w:val="007A7BC2"/>
    <w:rsid w:val="007B0139"/>
    <w:rsid w:val="007B0941"/>
    <w:rsid w:val="007B1191"/>
    <w:rsid w:val="007B125E"/>
    <w:rsid w:val="007B1700"/>
    <w:rsid w:val="007B19ED"/>
    <w:rsid w:val="007B20E6"/>
    <w:rsid w:val="007B240F"/>
    <w:rsid w:val="007B2486"/>
    <w:rsid w:val="007B2947"/>
    <w:rsid w:val="007B2C0F"/>
    <w:rsid w:val="007B2EA0"/>
    <w:rsid w:val="007B38AD"/>
    <w:rsid w:val="007B3D5C"/>
    <w:rsid w:val="007B40EE"/>
    <w:rsid w:val="007B41C6"/>
    <w:rsid w:val="007B42BC"/>
    <w:rsid w:val="007B4719"/>
    <w:rsid w:val="007B4844"/>
    <w:rsid w:val="007B531E"/>
    <w:rsid w:val="007B6104"/>
    <w:rsid w:val="007B6168"/>
    <w:rsid w:val="007B6C86"/>
    <w:rsid w:val="007B6E72"/>
    <w:rsid w:val="007C0B64"/>
    <w:rsid w:val="007C0B86"/>
    <w:rsid w:val="007C0D0F"/>
    <w:rsid w:val="007C0F5C"/>
    <w:rsid w:val="007C18E3"/>
    <w:rsid w:val="007C1B93"/>
    <w:rsid w:val="007C2079"/>
    <w:rsid w:val="007C2350"/>
    <w:rsid w:val="007C24A6"/>
    <w:rsid w:val="007C322D"/>
    <w:rsid w:val="007C3727"/>
    <w:rsid w:val="007C372C"/>
    <w:rsid w:val="007C387A"/>
    <w:rsid w:val="007C3E79"/>
    <w:rsid w:val="007C4153"/>
    <w:rsid w:val="007C436B"/>
    <w:rsid w:val="007C4A38"/>
    <w:rsid w:val="007C4DD0"/>
    <w:rsid w:val="007C5A34"/>
    <w:rsid w:val="007C6266"/>
    <w:rsid w:val="007C6876"/>
    <w:rsid w:val="007C6B17"/>
    <w:rsid w:val="007C743E"/>
    <w:rsid w:val="007C793F"/>
    <w:rsid w:val="007C7C5F"/>
    <w:rsid w:val="007D0160"/>
    <w:rsid w:val="007D042F"/>
    <w:rsid w:val="007D05D6"/>
    <w:rsid w:val="007D190D"/>
    <w:rsid w:val="007D1D7A"/>
    <w:rsid w:val="007D4F86"/>
    <w:rsid w:val="007D5350"/>
    <w:rsid w:val="007D7EF0"/>
    <w:rsid w:val="007E00BD"/>
    <w:rsid w:val="007E01B3"/>
    <w:rsid w:val="007E0C04"/>
    <w:rsid w:val="007E10B3"/>
    <w:rsid w:val="007E18C6"/>
    <w:rsid w:val="007E2807"/>
    <w:rsid w:val="007E2955"/>
    <w:rsid w:val="007E2A8A"/>
    <w:rsid w:val="007E2EAF"/>
    <w:rsid w:val="007E32A5"/>
    <w:rsid w:val="007E4D4E"/>
    <w:rsid w:val="007E5205"/>
    <w:rsid w:val="007E56B7"/>
    <w:rsid w:val="007E5F99"/>
    <w:rsid w:val="007E6D66"/>
    <w:rsid w:val="007E7411"/>
    <w:rsid w:val="007E747A"/>
    <w:rsid w:val="007E7583"/>
    <w:rsid w:val="007F05BF"/>
    <w:rsid w:val="007F0E50"/>
    <w:rsid w:val="007F102F"/>
    <w:rsid w:val="007F1932"/>
    <w:rsid w:val="007F1FD9"/>
    <w:rsid w:val="007F25C5"/>
    <w:rsid w:val="007F266D"/>
    <w:rsid w:val="007F2D36"/>
    <w:rsid w:val="007F33F2"/>
    <w:rsid w:val="007F3D4A"/>
    <w:rsid w:val="007F46BF"/>
    <w:rsid w:val="007F47BD"/>
    <w:rsid w:val="007F4ABC"/>
    <w:rsid w:val="007F5BB5"/>
    <w:rsid w:val="007F6572"/>
    <w:rsid w:val="007F6E7F"/>
    <w:rsid w:val="007F7227"/>
    <w:rsid w:val="00801007"/>
    <w:rsid w:val="008017F4"/>
    <w:rsid w:val="00801F30"/>
    <w:rsid w:val="00801F49"/>
    <w:rsid w:val="008027EC"/>
    <w:rsid w:val="00802F0C"/>
    <w:rsid w:val="0080310C"/>
    <w:rsid w:val="008034AE"/>
    <w:rsid w:val="00803524"/>
    <w:rsid w:val="00803862"/>
    <w:rsid w:val="00804852"/>
    <w:rsid w:val="00804861"/>
    <w:rsid w:val="00804A64"/>
    <w:rsid w:val="00804CF2"/>
    <w:rsid w:val="00805E7C"/>
    <w:rsid w:val="008060B5"/>
    <w:rsid w:val="00806974"/>
    <w:rsid w:val="00806991"/>
    <w:rsid w:val="0080707F"/>
    <w:rsid w:val="00807784"/>
    <w:rsid w:val="008078CD"/>
    <w:rsid w:val="00807ED7"/>
    <w:rsid w:val="008103DA"/>
    <w:rsid w:val="008111F3"/>
    <w:rsid w:val="0081126B"/>
    <w:rsid w:val="00811F1F"/>
    <w:rsid w:val="008133B6"/>
    <w:rsid w:val="008136E2"/>
    <w:rsid w:val="008139D7"/>
    <w:rsid w:val="00813EC3"/>
    <w:rsid w:val="008145CC"/>
    <w:rsid w:val="00814701"/>
    <w:rsid w:val="00814852"/>
    <w:rsid w:val="00814980"/>
    <w:rsid w:val="00814984"/>
    <w:rsid w:val="008151D9"/>
    <w:rsid w:val="008152BD"/>
    <w:rsid w:val="00815D22"/>
    <w:rsid w:val="00815DE2"/>
    <w:rsid w:val="00816378"/>
    <w:rsid w:val="008166E5"/>
    <w:rsid w:val="00816E97"/>
    <w:rsid w:val="00816EA5"/>
    <w:rsid w:val="00816FF7"/>
    <w:rsid w:val="00817473"/>
    <w:rsid w:val="008175BE"/>
    <w:rsid w:val="00817FCD"/>
    <w:rsid w:val="00820092"/>
    <w:rsid w:val="0082087C"/>
    <w:rsid w:val="008209F4"/>
    <w:rsid w:val="008210E8"/>
    <w:rsid w:val="008213C9"/>
    <w:rsid w:val="00821D06"/>
    <w:rsid w:val="00821E2A"/>
    <w:rsid w:val="0082227B"/>
    <w:rsid w:val="008222A4"/>
    <w:rsid w:val="008237A0"/>
    <w:rsid w:val="00823A79"/>
    <w:rsid w:val="0082484E"/>
    <w:rsid w:val="008251E7"/>
    <w:rsid w:val="008253A6"/>
    <w:rsid w:val="008260D4"/>
    <w:rsid w:val="0082671D"/>
    <w:rsid w:val="0082797E"/>
    <w:rsid w:val="008300D3"/>
    <w:rsid w:val="008309D4"/>
    <w:rsid w:val="0083116D"/>
    <w:rsid w:val="008313ED"/>
    <w:rsid w:val="00831A16"/>
    <w:rsid w:val="00831A6F"/>
    <w:rsid w:val="008324B1"/>
    <w:rsid w:val="0083273F"/>
    <w:rsid w:val="00832AF8"/>
    <w:rsid w:val="00833C32"/>
    <w:rsid w:val="00833D12"/>
    <w:rsid w:val="00834974"/>
    <w:rsid w:val="00834A47"/>
    <w:rsid w:val="00834F59"/>
    <w:rsid w:val="00834F9C"/>
    <w:rsid w:val="008357B5"/>
    <w:rsid w:val="00835A9C"/>
    <w:rsid w:val="00835EBC"/>
    <w:rsid w:val="00836759"/>
    <w:rsid w:val="008368DF"/>
    <w:rsid w:val="0084001F"/>
    <w:rsid w:val="008400D0"/>
    <w:rsid w:val="00840528"/>
    <w:rsid w:val="00840CFE"/>
    <w:rsid w:val="008415BC"/>
    <w:rsid w:val="0084281C"/>
    <w:rsid w:val="00843392"/>
    <w:rsid w:val="00843CAF"/>
    <w:rsid w:val="008441B8"/>
    <w:rsid w:val="0084480D"/>
    <w:rsid w:val="00844C78"/>
    <w:rsid w:val="00845A8F"/>
    <w:rsid w:val="0084692B"/>
    <w:rsid w:val="0084719F"/>
    <w:rsid w:val="00847B48"/>
    <w:rsid w:val="0085017C"/>
    <w:rsid w:val="00851341"/>
    <w:rsid w:val="00851D7A"/>
    <w:rsid w:val="00853739"/>
    <w:rsid w:val="00853DBD"/>
    <w:rsid w:val="008541F9"/>
    <w:rsid w:val="00854677"/>
    <w:rsid w:val="00854A39"/>
    <w:rsid w:val="00855595"/>
    <w:rsid w:val="00855D60"/>
    <w:rsid w:val="00856113"/>
    <w:rsid w:val="008568D0"/>
    <w:rsid w:val="00856BD9"/>
    <w:rsid w:val="008571B4"/>
    <w:rsid w:val="0085742B"/>
    <w:rsid w:val="00857645"/>
    <w:rsid w:val="00860309"/>
    <w:rsid w:val="00860960"/>
    <w:rsid w:val="008613E2"/>
    <w:rsid w:val="00861F34"/>
    <w:rsid w:val="00862CF6"/>
    <w:rsid w:val="00862FEE"/>
    <w:rsid w:val="0086327F"/>
    <w:rsid w:val="00863286"/>
    <w:rsid w:val="00863C3A"/>
    <w:rsid w:val="008643B2"/>
    <w:rsid w:val="00864B2F"/>
    <w:rsid w:val="00865848"/>
    <w:rsid w:val="00870BCD"/>
    <w:rsid w:val="008711F3"/>
    <w:rsid w:val="0087121B"/>
    <w:rsid w:val="008715E4"/>
    <w:rsid w:val="00871830"/>
    <w:rsid w:val="008730BD"/>
    <w:rsid w:val="008734AA"/>
    <w:rsid w:val="008734DE"/>
    <w:rsid w:val="00873886"/>
    <w:rsid w:val="008738BF"/>
    <w:rsid w:val="00874163"/>
    <w:rsid w:val="00874F04"/>
    <w:rsid w:val="008754FE"/>
    <w:rsid w:val="00875D52"/>
    <w:rsid w:val="008763A4"/>
    <w:rsid w:val="00876B6E"/>
    <w:rsid w:val="00877147"/>
    <w:rsid w:val="00880ACF"/>
    <w:rsid w:val="00880AF3"/>
    <w:rsid w:val="0088135C"/>
    <w:rsid w:val="0088164A"/>
    <w:rsid w:val="008817E3"/>
    <w:rsid w:val="0088180D"/>
    <w:rsid w:val="00882859"/>
    <w:rsid w:val="00883AA6"/>
    <w:rsid w:val="008845B1"/>
    <w:rsid w:val="008848BE"/>
    <w:rsid w:val="00884955"/>
    <w:rsid w:val="008850C9"/>
    <w:rsid w:val="00885A96"/>
    <w:rsid w:val="00887398"/>
    <w:rsid w:val="00887C62"/>
    <w:rsid w:val="00887CBE"/>
    <w:rsid w:val="00887DA3"/>
    <w:rsid w:val="00887FF7"/>
    <w:rsid w:val="008909EC"/>
    <w:rsid w:val="00891245"/>
    <w:rsid w:val="00891990"/>
    <w:rsid w:val="00891FA0"/>
    <w:rsid w:val="008920F2"/>
    <w:rsid w:val="00892F06"/>
    <w:rsid w:val="008930E8"/>
    <w:rsid w:val="008943C2"/>
    <w:rsid w:val="0089489D"/>
    <w:rsid w:val="00894BDE"/>
    <w:rsid w:val="00895812"/>
    <w:rsid w:val="00895E90"/>
    <w:rsid w:val="008970B6"/>
    <w:rsid w:val="008974A5"/>
    <w:rsid w:val="0089770C"/>
    <w:rsid w:val="008A1DC5"/>
    <w:rsid w:val="008A4209"/>
    <w:rsid w:val="008A45C9"/>
    <w:rsid w:val="008A51EA"/>
    <w:rsid w:val="008A5CCD"/>
    <w:rsid w:val="008A5DF3"/>
    <w:rsid w:val="008A613B"/>
    <w:rsid w:val="008A6E89"/>
    <w:rsid w:val="008A6F3B"/>
    <w:rsid w:val="008A7D21"/>
    <w:rsid w:val="008B037B"/>
    <w:rsid w:val="008B078C"/>
    <w:rsid w:val="008B0ACB"/>
    <w:rsid w:val="008B17C0"/>
    <w:rsid w:val="008B257D"/>
    <w:rsid w:val="008B269B"/>
    <w:rsid w:val="008B2BC5"/>
    <w:rsid w:val="008B2E6F"/>
    <w:rsid w:val="008B3957"/>
    <w:rsid w:val="008B3C69"/>
    <w:rsid w:val="008B4914"/>
    <w:rsid w:val="008B4B1A"/>
    <w:rsid w:val="008B54CF"/>
    <w:rsid w:val="008B57CE"/>
    <w:rsid w:val="008B5F21"/>
    <w:rsid w:val="008B6408"/>
    <w:rsid w:val="008B64FC"/>
    <w:rsid w:val="008B65E7"/>
    <w:rsid w:val="008B708E"/>
    <w:rsid w:val="008B750B"/>
    <w:rsid w:val="008B7BA8"/>
    <w:rsid w:val="008B7EFF"/>
    <w:rsid w:val="008C0D3C"/>
    <w:rsid w:val="008C0EEB"/>
    <w:rsid w:val="008C1947"/>
    <w:rsid w:val="008C1D60"/>
    <w:rsid w:val="008C2485"/>
    <w:rsid w:val="008C4801"/>
    <w:rsid w:val="008C5C13"/>
    <w:rsid w:val="008C7005"/>
    <w:rsid w:val="008C7049"/>
    <w:rsid w:val="008C74C7"/>
    <w:rsid w:val="008D00C2"/>
    <w:rsid w:val="008D102E"/>
    <w:rsid w:val="008D1400"/>
    <w:rsid w:val="008D14DF"/>
    <w:rsid w:val="008D15DB"/>
    <w:rsid w:val="008D1DFE"/>
    <w:rsid w:val="008D2B36"/>
    <w:rsid w:val="008D3A6D"/>
    <w:rsid w:val="008D3D1A"/>
    <w:rsid w:val="008D3E6D"/>
    <w:rsid w:val="008D3E91"/>
    <w:rsid w:val="008D461B"/>
    <w:rsid w:val="008D4950"/>
    <w:rsid w:val="008D4B95"/>
    <w:rsid w:val="008D5EC5"/>
    <w:rsid w:val="008D639A"/>
    <w:rsid w:val="008D6BC5"/>
    <w:rsid w:val="008D792C"/>
    <w:rsid w:val="008D7E66"/>
    <w:rsid w:val="008E1297"/>
    <w:rsid w:val="008E1495"/>
    <w:rsid w:val="008E244B"/>
    <w:rsid w:val="008E2875"/>
    <w:rsid w:val="008E299B"/>
    <w:rsid w:val="008E2BDA"/>
    <w:rsid w:val="008E34C0"/>
    <w:rsid w:val="008E3674"/>
    <w:rsid w:val="008E3DD5"/>
    <w:rsid w:val="008E45EE"/>
    <w:rsid w:val="008E4A82"/>
    <w:rsid w:val="008E4C11"/>
    <w:rsid w:val="008E5924"/>
    <w:rsid w:val="008E7B02"/>
    <w:rsid w:val="008F0093"/>
    <w:rsid w:val="008F00BD"/>
    <w:rsid w:val="008F03C2"/>
    <w:rsid w:val="008F0CAD"/>
    <w:rsid w:val="008F2380"/>
    <w:rsid w:val="008F4B7B"/>
    <w:rsid w:val="008F4F37"/>
    <w:rsid w:val="008F5257"/>
    <w:rsid w:val="008F5B42"/>
    <w:rsid w:val="008F5F94"/>
    <w:rsid w:val="008F6750"/>
    <w:rsid w:val="008F68CF"/>
    <w:rsid w:val="008F740A"/>
    <w:rsid w:val="0090027C"/>
    <w:rsid w:val="0090033C"/>
    <w:rsid w:val="00900CAD"/>
    <w:rsid w:val="00901E52"/>
    <w:rsid w:val="00901FC4"/>
    <w:rsid w:val="00902523"/>
    <w:rsid w:val="009026D0"/>
    <w:rsid w:val="0090274C"/>
    <w:rsid w:val="009027F1"/>
    <w:rsid w:val="00903651"/>
    <w:rsid w:val="0090399C"/>
    <w:rsid w:val="00903E4A"/>
    <w:rsid w:val="00903F12"/>
    <w:rsid w:val="00904C32"/>
    <w:rsid w:val="00905615"/>
    <w:rsid w:val="00905879"/>
    <w:rsid w:val="00905D81"/>
    <w:rsid w:val="00905F47"/>
    <w:rsid w:val="009061E5"/>
    <w:rsid w:val="009062C3"/>
    <w:rsid w:val="009065C1"/>
    <w:rsid w:val="009065E2"/>
    <w:rsid w:val="0090677A"/>
    <w:rsid w:val="009069B6"/>
    <w:rsid w:val="0090723F"/>
    <w:rsid w:val="00907F21"/>
    <w:rsid w:val="009109CB"/>
    <w:rsid w:val="00910D9D"/>
    <w:rsid w:val="00910FD4"/>
    <w:rsid w:val="00911084"/>
    <w:rsid w:val="0091151B"/>
    <w:rsid w:val="009119FD"/>
    <w:rsid w:val="00912ACA"/>
    <w:rsid w:val="00912E8D"/>
    <w:rsid w:val="0091302D"/>
    <w:rsid w:val="00913117"/>
    <w:rsid w:val="00913A66"/>
    <w:rsid w:val="00913BD5"/>
    <w:rsid w:val="00914364"/>
    <w:rsid w:val="00914548"/>
    <w:rsid w:val="00914E64"/>
    <w:rsid w:val="00914FC6"/>
    <w:rsid w:val="00915D49"/>
    <w:rsid w:val="009161BC"/>
    <w:rsid w:val="00916421"/>
    <w:rsid w:val="009165C3"/>
    <w:rsid w:val="00916EEB"/>
    <w:rsid w:val="009171EF"/>
    <w:rsid w:val="00917BEA"/>
    <w:rsid w:val="009203D2"/>
    <w:rsid w:val="00921A00"/>
    <w:rsid w:val="00923240"/>
    <w:rsid w:val="009233EB"/>
    <w:rsid w:val="00923860"/>
    <w:rsid w:val="00924AD0"/>
    <w:rsid w:val="00924C4C"/>
    <w:rsid w:val="00925B6F"/>
    <w:rsid w:val="00925D0C"/>
    <w:rsid w:val="0092610E"/>
    <w:rsid w:val="00926190"/>
    <w:rsid w:val="00926193"/>
    <w:rsid w:val="0092668E"/>
    <w:rsid w:val="0093050C"/>
    <w:rsid w:val="00930C75"/>
    <w:rsid w:val="00931AE8"/>
    <w:rsid w:val="0093205D"/>
    <w:rsid w:val="0093227A"/>
    <w:rsid w:val="009327E1"/>
    <w:rsid w:val="00932900"/>
    <w:rsid w:val="00932BD9"/>
    <w:rsid w:val="00933813"/>
    <w:rsid w:val="00933D7A"/>
    <w:rsid w:val="00933DD8"/>
    <w:rsid w:val="00933E50"/>
    <w:rsid w:val="0093436E"/>
    <w:rsid w:val="009348DF"/>
    <w:rsid w:val="00935241"/>
    <w:rsid w:val="009353AF"/>
    <w:rsid w:val="0093585C"/>
    <w:rsid w:val="00935998"/>
    <w:rsid w:val="0093671C"/>
    <w:rsid w:val="00937675"/>
    <w:rsid w:val="0094089C"/>
    <w:rsid w:val="00941B40"/>
    <w:rsid w:val="00942086"/>
    <w:rsid w:val="009426CC"/>
    <w:rsid w:val="009433A2"/>
    <w:rsid w:val="0094351E"/>
    <w:rsid w:val="009437D6"/>
    <w:rsid w:val="00943AF8"/>
    <w:rsid w:val="00943B8B"/>
    <w:rsid w:val="00943D45"/>
    <w:rsid w:val="00943FBA"/>
    <w:rsid w:val="0094419C"/>
    <w:rsid w:val="00944C31"/>
    <w:rsid w:val="00944C6C"/>
    <w:rsid w:val="00944EE0"/>
    <w:rsid w:val="00945770"/>
    <w:rsid w:val="00946361"/>
    <w:rsid w:val="00946407"/>
    <w:rsid w:val="009466A7"/>
    <w:rsid w:val="009469DE"/>
    <w:rsid w:val="00946A06"/>
    <w:rsid w:val="009473E2"/>
    <w:rsid w:val="0094756A"/>
    <w:rsid w:val="009503A3"/>
    <w:rsid w:val="009507EE"/>
    <w:rsid w:val="009508C1"/>
    <w:rsid w:val="00950B53"/>
    <w:rsid w:val="009511AB"/>
    <w:rsid w:val="00952098"/>
    <w:rsid w:val="009523BD"/>
    <w:rsid w:val="00952AB0"/>
    <w:rsid w:val="00952FFC"/>
    <w:rsid w:val="00953040"/>
    <w:rsid w:val="00953614"/>
    <w:rsid w:val="009539B3"/>
    <w:rsid w:val="00955490"/>
    <w:rsid w:val="0095680B"/>
    <w:rsid w:val="00956C33"/>
    <w:rsid w:val="00956CBB"/>
    <w:rsid w:val="009573C7"/>
    <w:rsid w:val="009576A0"/>
    <w:rsid w:val="009608C7"/>
    <w:rsid w:val="00960DBB"/>
    <w:rsid w:val="00961253"/>
    <w:rsid w:val="00961398"/>
    <w:rsid w:val="00961C45"/>
    <w:rsid w:val="00961E35"/>
    <w:rsid w:val="00961E43"/>
    <w:rsid w:val="009629B2"/>
    <w:rsid w:val="00962C2C"/>
    <w:rsid w:val="00962D08"/>
    <w:rsid w:val="00963540"/>
    <w:rsid w:val="00963D7E"/>
    <w:rsid w:val="009646D0"/>
    <w:rsid w:val="00964F18"/>
    <w:rsid w:val="0096567D"/>
    <w:rsid w:val="00965A99"/>
    <w:rsid w:val="00965E6E"/>
    <w:rsid w:val="00965EC9"/>
    <w:rsid w:val="00966F28"/>
    <w:rsid w:val="009673A4"/>
    <w:rsid w:val="009675E0"/>
    <w:rsid w:val="00967E1B"/>
    <w:rsid w:val="0097036B"/>
    <w:rsid w:val="009704ED"/>
    <w:rsid w:val="009717D9"/>
    <w:rsid w:val="009736CF"/>
    <w:rsid w:val="00973D21"/>
    <w:rsid w:val="00974135"/>
    <w:rsid w:val="00974DF9"/>
    <w:rsid w:val="00975236"/>
    <w:rsid w:val="0097552F"/>
    <w:rsid w:val="00975F0E"/>
    <w:rsid w:val="0097601D"/>
    <w:rsid w:val="009770A4"/>
    <w:rsid w:val="0098018D"/>
    <w:rsid w:val="009801C7"/>
    <w:rsid w:val="0098023C"/>
    <w:rsid w:val="009805E3"/>
    <w:rsid w:val="009807C9"/>
    <w:rsid w:val="00980DB0"/>
    <w:rsid w:val="00981541"/>
    <w:rsid w:val="009815ED"/>
    <w:rsid w:val="00982216"/>
    <w:rsid w:val="009830A7"/>
    <w:rsid w:val="0098374D"/>
    <w:rsid w:val="00983FCB"/>
    <w:rsid w:val="0098596C"/>
    <w:rsid w:val="00985AE9"/>
    <w:rsid w:val="00986332"/>
    <w:rsid w:val="00986BDB"/>
    <w:rsid w:val="00986F9A"/>
    <w:rsid w:val="00987124"/>
    <w:rsid w:val="00990081"/>
    <w:rsid w:val="00991112"/>
    <w:rsid w:val="0099181E"/>
    <w:rsid w:val="009919E8"/>
    <w:rsid w:val="00991BC1"/>
    <w:rsid w:val="00991FF1"/>
    <w:rsid w:val="00992D73"/>
    <w:rsid w:val="00993565"/>
    <w:rsid w:val="00993E75"/>
    <w:rsid w:val="009953D0"/>
    <w:rsid w:val="00996058"/>
    <w:rsid w:val="009960AA"/>
    <w:rsid w:val="009964E4"/>
    <w:rsid w:val="0099672B"/>
    <w:rsid w:val="00996825"/>
    <w:rsid w:val="00996F6A"/>
    <w:rsid w:val="009970BC"/>
    <w:rsid w:val="009976EC"/>
    <w:rsid w:val="00997A34"/>
    <w:rsid w:val="009A05FB"/>
    <w:rsid w:val="009A1055"/>
    <w:rsid w:val="009A175B"/>
    <w:rsid w:val="009A1B87"/>
    <w:rsid w:val="009A1DD3"/>
    <w:rsid w:val="009A2194"/>
    <w:rsid w:val="009A2AB1"/>
    <w:rsid w:val="009A2C9C"/>
    <w:rsid w:val="009A2F3D"/>
    <w:rsid w:val="009A34CD"/>
    <w:rsid w:val="009A376E"/>
    <w:rsid w:val="009A39FF"/>
    <w:rsid w:val="009A47B1"/>
    <w:rsid w:val="009A4991"/>
    <w:rsid w:val="009A5C74"/>
    <w:rsid w:val="009A6377"/>
    <w:rsid w:val="009A6518"/>
    <w:rsid w:val="009A6616"/>
    <w:rsid w:val="009A71DA"/>
    <w:rsid w:val="009A7257"/>
    <w:rsid w:val="009A7610"/>
    <w:rsid w:val="009B013A"/>
    <w:rsid w:val="009B079D"/>
    <w:rsid w:val="009B093C"/>
    <w:rsid w:val="009B0ADC"/>
    <w:rsid w:val="009B276E"/>
    <w:rsid w:val="009B2FBA"/>
    <w:rsid w:val="009B38D9"/>
    <w:rsid w:val="009B5A5F"/>
    <w:rsid w:val="009B5D4D"/>
    <w:rsid w:val="009B5DB1"/>
    <w:rsid w:val="009B66BF"/>
    <w:rsid w:val="009C00D8"/>
    <w:rsid w:val="009C061F"/>
    <w:rsid w:val="009C0CF7"/>
    <w:rsid w:val="009C0D22"/>
    <w:rsid w:val="009C13E2"/>
    <w:rsid w:val="009C20E4"/>
    <w:rsid w:val="009C27E2"/>
    <w:rsid w:val="009C2AF0"/>
    <w:rsid w:val="009C2C97"/>
    <w:rsid w:val="009C2EAA"/>
    <w:rsid w:val="009C30E3"/>
    <w:rsid w:val="009C35A8"/>
    <w:rsid w:val="009C4733"/>
    <w:rsid w:val="009C5826"/>
    <w:rsid w:val="009C5C53"/>
    <w:rsid w:val="009C62E0"/>
    <w:rsid w:val="009C6378"/>
    <w:rsid w:val="009C6B4D"/>
    <w:rsid w:val="009C7542"/>
    <w:rsid w:val="009D0685"/>
    <w:rsid w:val="009D07E7"/>
    <w:rsid w:val="009D0838"/>
    <w:rsid w:val="009D100F"/>
    <w:rsid w:val="009D10DB"/>
    <w:rsid w:val="009D1EC5"/>
    <w:rsid w:val="009D2D2C"/>
    <w:rsid w:val="009D2FAD"/>
    <w:rsid w:val="009D39B1"/>
    <w:rsid w:val="009D3E0E"/>
    <w:rsid w:val="009D44FC"/>
    <w:rsid w:val="009D4F2C"/>
    <w:rsid w:val="009D5275"/>
    <w:rsid w:val="009D55F3"/>
    <w:rsid w:val="009D5D80"/>
    <w:rsid w:val="009D6AC5"/>
    <w:rsid w:val="009D6E29"/>
    <w:rsid w:val="009D7523"/>
    <w:rsid w:val="009E019B"/>
    <w:rsid w:val="009E037E"/>
    <w:rsid w:val="009E0733"/>
    <w:rsid w:val="009E0976"/>
    <w:rsid w:val="009E1182"/>
    <w:rsid w:val="009E1F6B"/>
    <w:rsid w:val="009E2138"/>
    <w:rsid w:val="009E22DD"/>
    <w:rsid w:val="009E28DC"/>
    <w:rsid w:val="009E31B9"/>
    <w:rsid w:val="009E3693"/>
    <w:rsid w:val="009E3C64"/>
    <w:rsid w:val="009E3F84"/>
    <w:rsid w:val="009E483A"/>
    <w:rsid w:val="009E5F6B"/>
    <w:rsid w:val="009E61F4"/>
    <w:rsid w:val="009E6715"/>
    <w:rsid w:val="009E692C"/>
    <w:rsid w:val="009E6A16"/>
    <w:rsid w:val="009E6FEA"/>
    <w:rsid w:val="009E737D"/>
    <w:rsid w:val="009F0140"/>
    <w:rsid w:val="009F05B5"/>
    <w:rsid w:val="009F05F5"/>
    <w:rsid w:val="009F0600"/>
    <w:rsid w:val="009F0986"/>
    <w:rsid w:val="009F0B31"/>
    <w:rsid w:val="009F0C93"/>
    <w:rsid w:val="009F0CD2"/>
    <w:rsid w:val="009F150F"/>
    <w:rsid w:val="009F1FEE"/>
    <w:rsid w:val="009F2918"/>
    <w:rsid w:val="009F3DC5"/>
    <w:rsid w:val="009F554A"/>
    <w:rsid w:val="009F5A05"/>
    <w:rsid w:val="009F78C5"/>
    <w:rsid w:val="009F7B88"/>
    <w:rsid w:val="00A002D3"/>
    <w:rsid w:val="00A008AD"/>
    <w:rsid w:val="00A00B17"/>
    <w:rsid w:val="00A00DAA"/>
    <w:rsid w:val="00A01225"/>
    <w:rsid w:val="00A013D3"/>
    <w:rsid w:val="00A01777"/>
    <w:rsid w:val="00A01CC0"/>
    <w:rsid w:val="00A024D2"/>
    <w:rsid w:val="00A027E9"/>
    <w:rsid w:val="00A02F5B"/>
    <w:rsid w:val="00A033CE"/>
    <w:rsid w:val="00A0363C"/>
    <w:rsid w:val="00A0487D"/>
    <w:rsid w:val="00A04955"/>
    <w:rsid w:val="00A04B00"/>
    <w:rsid w:val="00A0687D"/>
    <w:rsid w:val="00A108CD"/>
    <w:rsid w:val="00A10B74"/>
    <w:rsid w:val="00A10B9B"/>
    <w:rsid w:val="00A10C63"/>
    <w:rsid w:val="00A11752"/>
    <w:rsid w:val="00A117D9"/>
    <w:rsid w:val="00A11C0D"/>
    <w:rsid w:val="00A12BEC"/>
    <w:rsid w:val="00A13172"/>
    <w:rsid w:val="00A136A0"/>
    <w:rsid w:val="00A14102"/>
    <w:rsid w:val="00A143CA"/>
    <w:rsid w:val="00A149A8"/>
    <w:rsid w:val="00A14E4B"/>
    <w:rsid w:val="00A1590C"/>
    <w:rsid w:val="00A15C11"/>
    <w:rsid w:val="00A16803"/>
    <w:rsid w:val="00A17C5F"/>
    <w:rsid w:val="00A17E5B"/>
    <w:rsid w:val="00A20935"/>
    <w:rsid w:val="00A20F88"/>
    <w:rsid w:val="00A21CF7"/>
    <w:rsid w:val="00A220D0"/>
    <w:rsid w:val="00A22BC5"/>
    <w:rsid w:val="00A22F97"/>
    <w:rsid w:val="00A23447"/>
    <w:rsid w:val="00A23578"/>
    <w:rsid w:val="00A236D1"/>
    <w:rsid w:val="00A237E2"/>
    <w:rsid w:val="00A25040"/>
    <w:rsid w:val="00A257C8"/>
    <w:rsid w:val="00A25930"/>
    <w:rsid w:val="00A25A5C"/>
    <w:rsid w:val="00A25EF9"/>
    <w:rsid w:val="00A26288"/>
    <w:rsid w:val="00A26955"/>
    <w:rsid w:val="00A269AD"/>
    <w:rsid w:val="00A2752A"/>
    <w:rsid w:val="00A27AD5"/>
    <w:rsid w:val="00A3069D"/>
    <w:rsid w:val="00A30D2C"/>
    <w:rsid w:val="00A30D5B"/>
    <w:rsid w:val="00A31B0A"/>
    <w:rsid w:val="00A31BA5"/>
    <w:rsid w:val="00A327B3"/>
    <w:rsid w:val="00A32D69"/>
    <w:rsid w:val="00A32FC8"/>
    <w:rsid w:val="00A33204"/>
    <w:rsid w:val="00A33333"/>
    <w:rsid w:val="00A34096"/>
    <w:rsid w:val="00A344D5"/>
    <w:rsid w:val="00A34C2F"/>
    <w:rsid w:val="00A35247"/>
    <w:rsid w:val="00A35DCB"/>
    <w:rsid w:val="00A35F5C"/>
    <w:rsid w:val="00A36F3C"/>
    <w:rsid w:val="00A37577"/>
    <w:rsid w:val="00A379AD"/>
    <w:rsid w:val="00A37BA0"/>
    <w:rsid w:val="00A4042E"/>
    <w:rsid w:val="00A4118E"/>
    <w:rsid w:val="00A417C7"/>
    <w:rsid w:val="00A41A0F"/>
    <w:rsid w:val="00A429DE"/>
    <w:rsid w:val="00A43439"/>
    <w:rsid w:val="00A43B3E"/>
    <w:rsid w:val="00A44359"/>
    <w:rsid w:val="00A4536D"/>
    <w:rsid w:val="00A45C3F"/>
    <w:rsid w:val="00A46074"/>
    <w:rsid w:val="00A465E3"/>
    <w:rsid w:val="00A46F74"/>
    <w:rsid w:val="00A46FFC"/>
    <w:rsid w:val="00A47A68"/>
    <w:rsid w:val="00A508FF"/>
    <w:rsid w:val="00A50C03"/>
    <w:rsid w:val="00A512F2"/>
    <w:rsid w:val="00A522AD"/>
    <w:rsid w:val="00A52815"/>
    <w:rsid w:val="00A529EA"/>
    <w:rsid w:val="00A529ED"/>
    <w:rsid w:val="00A52CD7"/>
    <w:rsid w:val="00A532D1"/>
    <w:rsid w:val="00A53B85"/>
    <w:rsid w:val="00A53F75"/>
    <w:rsid w:val="00A54563"/>
    <w:rsid w:val="00A546AC"/>
    <w:rsid w:val="00A54CA3"/>
    <w:rsid w:val="00A54FD0"/>
    <w:rsid w:val="00A6010C"/>
    <w:rsid w:val="00A60377"/>
    <w:rsid w:val="00A60F6B"/>
    <w:rsid w:val="00A612D6"/>
    <w:rsid w:val="00A61679"/>
    <w:rsid w:val="00A6196F"/>
    <w:rsid w:val="00A61CCE"/>
    <w:rsid w:val="00A61FE8"/>
    <w:rsid w:val="00A62331"/>
    <w:rsid w:val="00A62C39"/>
    <w:rsid w:val="00A62DBE"/>
    <w:rsid w:val="00A63120"/>
    <w:rsid w:val="00A63A28"/>
    <w:rsid w:val="00A641A0"/>
    <w:rsid w:val="00A6455F"/>
    <w:rsid w:val="00A64BFF"/>
    <w:rsid w:val="00A665DC"/>
    <w:rsid w:val="00A6777A"/>
    <w:rsid w:val="00A70C14"/>
    <w:rsid w:val="00A71749"/>
    <w:rsid w:val="00A718F5"/>
    <w:rsid w:val="00A71B1D"/>
    <w:rsid w:val="00A71B93"/>
    <w:rsid w:val="00A73AAC"/>
    <w:rsid w:val="00A74327"/>
    <w:rsid w:val="00A74D13"/>
    <w:rsid w:val="00A75599"/>
    <w:rsid w:val="00A75D66"/>
    <w:rsid w:val="00A765A8"/>
    <w:rsid w:val="00A76D6F"/>
    <w:rsid w:val="00A77106"/>
    <w:rsid w:val="00A777E3"/>
    <w:rsid w:val="00A777F1"/>
    <w:rsid w:val="00A77EB0"/>
    <w:rsid w:val="00A804CA"/>
    <w:rsid w:val="00A806C4"/>
    <w:rsid w:val="00A807ED"/>
    <w:rsid w:val="00A80DAA"/>
    <w:rsid w:val="00A8131B"/>
    <w:rsid w:val="00A81355"/>
    <w:rsid w:val="00A81524"/>
    <w:rsid w:val="00A825F3"/>
    <w:rsid w:val="00A8287D"/>
    <w:rsid w:val="00A8356A"/>
    <w:rsid w:val="00A848E5"/>
    <w:rsid w:val="00A85274"/>
    <w:rsid w:val="00A85927"/>
    <w:rsid w:val="00A85BA7"/>
    <w:rsid w:val="00A86465"/>
    <w:rsid w:val="00A86E36"/>
    <w:rsid w:val="00A87961"/>
    <w:rsid w:val="00A87F41"/>
    <w:rsid w:val="00A87FD5"/>
    <w:rsid w:val="00A90497"/>
    <w:rsid w:val="00A90AA2"/>
    <w:rsid w:val="00A90D3A"/>
    <w:rsid w:val="00A90F68"/>
    <w:rsid w:val="00A91763"/>
    <w:rsid w:val="00A9196F"/>
    <w:rsid w:val="00A9221F"/>
    <w:rsid w:val="00A92A27"/>
    <w:rsid w:val="00A9323E"/>
    <w:rsid w:val="00A93710"/>
    <w:rsid w:val="00A938AC"/>
    <w:rsid w:val="00A94BA5"/>
    <w:rsid w:val="00A94CD5"/>
    <w:rsid w:val="00A953D5"/>
    <w:rsid w:val="00A95740"/>
    <w:rsid w:val="00A95820"/>
    <w:rsid w:val="00A9598B"/>
    <w:rsid w:val="00A960BD"/>
    <w:rsid w:val="00A96137"/>
    <w:rsid w:val="00A973B7"/>
    <w:rsid w:val="00A9747D"/>
    <w:rsid w:val="00A97528"/>
    <w:rsid w:val="00AA1196"/>
    <w:rsid w:val="00AA15E9"/>
    <w:rsid w:val="00AA18C4"/>
    <w:rsid w:val="00AA1C79"/>
    <w:rsid w:val="00AA201C"/>
    <w:rsid w:val="00AA21D8"/>
    <w:rsid w:val="00AA246C"/>
    <w:rsid w:val="00AA27F1"/>
    <w:rsid w:val="00AA2E06"/>
    <w:rsid w:val="00AA2EEC"/>
    <w:rsid w:val="00AA2F7B"/>
    <w:rsid w:val="00AA31CE"/>
    <w:rsid w:val="00AA3A8C"/>
    <w:rsid w:val="00AA3C7D"/>
    <w:rsid w:val="00AA44D7"/>
    <w:rsid w:val="00AA48A4"/>
    <w:rsid w:val="00AA5AA8"/>
    <w:rsid w:val="00AA5C0F"/>
    <w:rsid w:val="00AA6BB0"/>
    <w:rsid w:val="00AA716A"/>
    <w:rsid w:val="00AB0161"/>
    <w:rsid w:val="00AB0308"/>
    <w:rsid w:val="00AB0406"/>
    <w:rsid w:val="00AB0D39"/>
    <w:rsid w:val="00AB1203"/>
    <w:rsid w:val="00AB19FB"/>
    <w:rsid w:val="00AB1A8F"/>
    <w:rsid w:val="00AB1AAA"/>
    <w:rsid w:val="00AB1D65"/>
    <w:rsid w:val="00AB2CC9"/>
    <w:rsid w:val="00AB2CD7"/>
    <w:rsid w:val="00AB2E25"/>
    <w:rsid w:val="00AB3080"/>
    <w:rsid w:val="00AB3B18"/>
    <w:rsid w:val="00AB3DA8"/>
    <w:rsid w:val="00AB40BA"/>
    <w:rsid w:val="00AB54A2"/>
    <w:rsid w:val="00AB590C"/>
    <w:rsid w:val="00AB5B27"/>
    <w:rsid w:val="00AB7696"/>
    <w:rsid w:val="00AC1296"/>
    <w:rsid w:val="00AC1870"/>
    <w:rsid w:val="00AC24EE"/>
    <w:rsid w:val="00AC35E1"/>
    <w:rsid w:val="00AC389C"/>
    <w:rsid w:val="00AC3A6C"/>
    <w:rsid w:val="00AC3DEB"/>
    <w:rsid w:val="00AC4925"/>
    <w:rsid w:val="00AC4C8E"/>
    <w:rsid w:val="00AC5BC6"/>
    <w:rsid w:val="00AC6380"/>
    <w:rsid w:val="00AC6DCC"/>
    <w:rsid w:val="00AC71E5"/>
    <w:rsid w:val="00AC76F0"/>
    <w:rsid w:val="00AD00C6"/>
    <w:rsid w:val="00AD0167"/>
    <w:rsid w:val="00AD1394"/>
    <w:rsid w:val="00AD211E"/>
    <w:rsid w:val="00AD2F3B"/>
    <w:rsid w:val="00AD50C8"/>
    <w:rsid w:val="00AD582D"/>
    <w:rsid w:val="00AD5BC2"/>
    <w:rsid w:val="00AD695E"/>
    <w:rsid w:val="00AD6A83"/>
    <w:rsid w:val="00AD6D47"/>
    <w:rsid w:val="00AD72DE"/>
    <w:rsid w:val="00AD7309"/>
    <w:rsid w:val="00AD74E1"/>
    <w:rsid w:val="00AD7BE1"/>
    <w:rsid w:val="00AD7D99"/>
    <w:rsid w:val="00AE0361"/>
    <w:rsid w:val="00AE0EDA"/>
    <w:rsid w:val="00AE1EDC"/>
    <w:rsid w:val="00AE220B"/>
    <w:rsid w:val="00AE2516"/>
    <w:rsid w:val="00AE25A6"/>
    <w:rsid w:val="00AE3B55"/>
    <w:rsid w:val="00AE3E12"/>
    <w:rsid w:val="00AE48B2"/>
    <w:rsid w:val="00AE4AB6"/>
    <w:rsid w:val="00AE6758"/>
    <w:rsid w:val="00AE6A2C"/>
    <w:rsid w:val="00AE6B58"/>
    <w:rsid w:val="00AE7C57"/>
    <w:rsid w:val="00AF11C8"/>
    <w:rsid w:val="00AF12A8"/>
    <w:rsid w:val="00AF152C"/>
    <w:rsid w:val="00AF1A04"/>
    <w:rsid w:val="00AF1A62"/>
    <w:rsid w:val="00AF1FDC"/>
    <w:rsid w:val="00AF2A86"/>
    <w:rsid w:val="00AF40C5"/>
    <w:rsid w:val="00AF4321"/>
    <w:rsid w:val="00AF43F0"/>
    <w:rsid w:val="00AF4413"/>
    <w:rsid w:val="00AF4AB8"/>
    <w:rsid w:val="00AF4FC9"/>
    <w:rsid w:val="00AF63E8"/>
    <w:rsid w:val="00AF678D"/>
    <w:rsid w:val="00AF6DFD"/>
    <w:rsid w:val="00AF77FB"/>
    <w:rsid w:val="00AF7DFE"/>
    <w:rsid w:val="00B003CD"/>
    <w:rsid w:val="00B00A35"/>
    <w:rsid w:val="00B00AF9"/>
    <w:rsid w:val="00B0166D"/>
    <w:rsid w:val="00B02354"/>
    <w:rsid w:val="00B02533"/>
    <w:rsid w:val="00B02D15"/>
    <w:rsid w:val="00B0373F"/>
    <w:rsid w:val="00B05653"/>
    <w:rsid w:val="00B058CE"/>
    <w:rsid w:val="00B05E03"/>
    <w:rsid w:val="00B060E9"/>
    <w:rsid w:val="00B06447"/>
    <w:rsid w:val="00B06912"/>
    <w:rsid w:val="00B06A07"/>
    <w:rsid w:val="00B06B73"/>
    <w:rsid w:val="00B06D0D"/>
    <w:rsid w:val="00B07FAE"/>
    <w:rsid w:val="00B102D3"/>
    <w:rsid w:val="00B11292"/>
    <w:rsid w:val="00B11F94"/>
    <w:rsid w:val="00B12140"/>
    <w:rsid w:val="00B126C4"/>
    <w:rsid w:val="00B12B4B"/>
    <w:rsid w:val="00B12BC6"/>
    <w:rsid w:val="00B1320A"/>
    <w:rsid w:val="00B13E3B"/>
    <w:rsid w:val="00B13F64"/>
    <w:rsid w:val="00B13FB7"/>
    <w:rsid w:val="00B1411D"/>
    <w:rsid w:val="00B14A76"/>
    <w:rsid w:val="00B14B43"/>
    <w:rsid w:val="00B14DDB"/>
    <w:rsid w:val="00B15058"/>
    <w:rsid w:val="00B15922"/>
    <w:rsid w:val="00B1665F"/>
    <w:rsid w:val="00B202D2"/>
    <w:rsid w:val="00B204F1"/>
    <w:rsid w:val="00B21B99"/>
    <w:rsid w:val="00B21C28"/>
    <w:rsid w:val="00B21CDB"/>
    <w:rsid w:val="00B21F9B"/>
    <w:rsid w:val="00B2269E"/>
    <w:rsid w:val="00B23BF4"/>
    <w:rsid w:val="00B247F2"/>
    <w:rsid w:val="00B259BD"/>
    <w:rsid w:val="00B25A34"/>
    <w:rsid w:val="00B2611A"/>
    <w:rsid w:val="00B26436"/>
    <w:rsid w:val="00B265B0"/>
    <w:rsid w:val="00B269F0"/>
    <w:rsid w:val="00B27499"/>
    <w:rsid w:val="00B27866"/>
    <w:rsid w:val="00B30D72"/>
    <w:rsid w:val="00B30E45"/>
    <w:rsid w:val="00B31A23"/>
    <w:rsid w:val="00B31F03"/>
    <w:rsid w:val="00B32573"/>
    <w:rsid w:val="00B32AEB"/>
    <w:rsid w:val="00B32BF4"/>
    <w:rsid w:val="00B32E7F"/>
    <w:rsid w:val="00B3389D"/>
    <w:rsid w:val="00B33D08"/>
    <w:rsid w:val="00B349EC"/>
    <w:rsid w:val="00B355E8"/>
    <w:rsid w:val="00B3576D"/>
    <w:rsid w:val="00B36000"/>
    <w:rsid w:val="00B36265"/>
    <w:rsid w:val="00B36E33"/>
    <w:rsid w:val="00B407F1"/>
    <w:rsid w:val="00B41AE9"/>
    <w:rsid w:val="00B41B87"/>
    <w:rsid w:val="00B4261F"/>
    <w:rsid w:val="00B42756"/>
    <w:rsid w:val="00B42DF5"/>
    <w:rsid w:val="00B42FAB"/>
    <w:rsid w:val="00B4374D"/>
    <w:rsid w:val="00B44800"/>
    <w:rsid w:val="00B4578E"/>
    <w:rsid w:val="00B50059"/>
    <w:rsid w:val="00B5046E"/>
    <w:rsid w:val="00B50A3A"/>
    <w:rsid w:val="00B50AA2"/>
    <w:rsid w:val="00B51910"/>
    <w:rsid w:val="00B51BD7"/>
    <w:rsid w:val="00B522E6"/>
    <w:rsid w:val="00B52A8A"/>
    <w:rsid w:val="00B53DFA"/>
    <w:rsid w:val="00B53E08"/>
    <w:rsid w:val="00B5473D"/>
    <w:rsid w:val="00B5476C"/>
    <w:rsid w:val="00B55A31"/>
    <w:rsid w:val="00B56C25"/>
    <w:rsid w:val="00B56DFB"/>
    <w:rsid w:val="00B57FB5"/>
    <w:rsid w:val="00B60A02"/>
    <w:rsid w:val="00B61880"/>
    <w:rsid w:val="00B61D57"/>
    <w:rsid w:val="00B61F44"/>
    <w:rsid w:val="00B62206"/>
    <w:rsid w:val="00B62A2A"/>
    <w:rsid w:val="00B62EF9"/>
    <w:rsid w:val="00B63AF1"/>
    <w:rsid w:val="00B63B43"/>
    <w:rsid w:val="00B63D2B"/>
    <w:rsid w:val="00B64CE2"/>
    <w:rsid w:val="00B658FF"/>
    <w:rsid w:val="00B65FCF"/>
    <w:rsid w:val="00B677C5"/>
    <w:rsid w:val="00B70222"/>
    <w:rsid w:val="00B7087F"/>
    <w:rsid w:val="00B71016"/>
    <w:rsid w:val="00B7143F"/>
    <w:rsid w:val="00B71D91"/>
    <w:rsid w:val="00B7250C"/>
    <w:rsid w:val="00B727C2"/>
    <w:rsid w:val="00B72E55"/>
    <w:rsid w:val="00B7359A"/>
    <w:rsid w:val="00B73B78"/>
    <w:rsid w:val="00B74454"/>
    <w:rsid w:val="00B74646"/>
    <w:rsid w:val="00B7591E"/>
    <w:rsid w:val="00B761A7"/>
    <w:rsid w:val="00B767D3"/>
    <w:rsid w:val="00B77E59"/>
    <w:rsid w:val="00B80368"/>
    <w:rsid w:val="00B80B99"/>
    <w:rsid w:val="00B811E3"/>
    <w:rsid w:val="00B81707"/>
    <w:rsid w:val="00B81C0A"/>
    <w:rsid w:val="00B82BD1"/>
    <w:rsid w:val="00B8347B"/>
    <w:rsid w:val="00B836AA"/>
    <w:rsid w:val="00B836C0"/>
    <w:rsid w:val="00B83F28"/>
    <w:rsid w:val="00B83FEC"/>
    <w:rsid w:val="00B847CA"/>
    <w:rsid w:val="00B84D53"/>
    <w:rsid w:val="00B85D5E"/>
    <w:rsid w:val="00B863CD"/>
    <w:rsid w:val="00B86429"/>
    <w:rsid w:val="00B875EF"/>
    <w:rsid w:val="00B87657"/>
    <w:rsid w:val="00B876A7"/>
    <w:rsid w:val="00B879F8"/>
    <w:rsid w:val="00B87B28"/>
    <w:rsid w:val="00B90EE9"/>
    <w:rsid w:val="00B90F16"/>
    <w:rsid w:val="00B91261"/>
    <w:rsid w:val="00B921AC"/>
    <w:rsid w:val="00B9239A"/>
    <w:rsid w:val="00B92F37"/>
    <w:rsid w:val="00B938A7"/>
    <w:rsid w:val="00B93D91"/>
    <w:rsid w:val="00B93FD6"/>
    <w:rsid w:val="00B94923"/>
    <w:rsid w:val="00B94FD9"/>
    <w:rsid w:val="00B955AD"/>
    <w:rsid w:val="00B95978"/>
    <w:rsid w:val="00B95CF7"/>
    <w:rsid w:val="00B9600F"/>
    <w:rsid w:val="00B964EB"/>
    <w:rsid w:val="00B9656B"/>
    <w:rsid w:val="00B969A3"/>
    <w:rsid w:val="00B96B43"/>
    <w:rsid w:val="00B9724B"/>
    <w:rsid w:val="00B973D6"/>
    <w:rsid w:val="00B973EE"/>
    <w:rsid w:val="00B97742"/>
    <w:rsid w:val="00B978D1"/>
    <w:rsid w:val="00BA072C"/>
    <w:rsid w:val="00BA08CC"/>
    <w:rsid w:val="00BA09F7"/>
    <w:rsid w:val="00BA0CCE"/>
    <w:rsid w:val="00BA15E3"/>
    <w:rsid w:val="00BA1E78"/>
    <w:rsid w:val="00BA1EB2"/>
    <w:rsid w:val="00BA2458"/>
    <w:rsid w:val="00BA2788"/>
    <w:rsid w:val="00BA2EEB"/>
    <w:rsid w:val="00BA31BB"/>
    <w:rsid w:val="00BA3298"/>
    <w:rsid w:val="00BA379C"/>
    <w:rsid w:val="00BA390F"/>
    <w:rsid w:val="00BA3D95"/>
    <w:rsid w:val="00BA4285"/>
    <w:rsid w:val="00BA493F"/>
    <w:rsid w:val="00BA5ECC"/>
    <w:rsid w:val="00BA5EEE"/>
    <w:rsid w:val="00BA626F"/>
    <w:rsid w:val="00BA6CE6"/>
    <w:rsid w:val="00BA6EC1"/>
    <w:rsid w:val="00BA70A6"/>
    <w:rsid w:val="00BA79CD"/>
    <w:rsid w:val="00BA7AFC"/>
    <w:rsid w:val="00BA7BC6"/>
    <w:rsid w:val="00BB0518"/>
    <w:rsid w:val="00BB0728"/>
    <w:rsid w:val="00BB1191"/>
    <w:rsid w:val="00BB1FB1"/>
    <w:rsid w:val="00BB368A"/>
    <w:rsid w:val="00BB3C56"/>
    <w:rsid w:val="00BB4476"/>
    <w:rsid w:val="00BB4BAD"/>
    <w:rsid w:val="00BB5AB7"/>
    <w:rsid w:val="00BB6094"/>
    <w:rsid w:val="00BB674E"/>
    <w:rsid w:val="00BB7079"/>
    <w:rsid w:val="00BB7427"/>
    <w:rsid w:val="00BB76E3"/>
    <w:rsid w:val="00BC04E1"/>
    <w:rsid w:val="00BC0C9D"/>
    <w:rsid w:val="00BC0D9D"/>
    <w:rsid w:val="00BC116D"/>
    <w:rsid w:val="00BC2351"/>
    <w:rsid w:val="00BC3393"/>
    <w:rsid w:val="00BC37AA"/>
    <w:rsid w:val="00BC3CC3"/>
    <w:rsid w:val="00BC4010"/>
    <w:rsid w:val="00BC40C5"/>
    <w:rsid w:val="00BC4148"/>
    <w:rsid w:val="00BC4446"/>
    <w:rsid w:val="00BC4ABE"/>
    <w:rsid w:val="00BC4B89"/>
    <w:rsid w:val="00BC5CA0"/>
    <w:rsid w:val="00BC6027"/>
    <w:rsid w:val="00BC6C7E"/>
    <w:rsid w:val="00BC73E5"/>
    <w:rsid w:val="00BD0847"/>
    <w:rsid w:val="00BD0D0F"/>
    <w:rsid w:val="00BD1730"/>
    <w:rsid w:val="00BD1890"/>
    <w:rsid w:val="00BD1B21"/>
    <w:rsid w:val="00BD1DBB"/>
    <w:rsid w:val="00BD1F41"/>
    <w:rsid w:val="00BD3563"/>
    <w:rsid w:val="00BD4F5B"/>
    <w:rsid w:val="00BD62E9"/>
    <w:rsid w:val="00BD633B"/>
    <w:rsid w:val="00BD651E"/>
    <w:rsid w:val="00BD6678"/>
    <w:rsid w:val="00BD72E9"/>
    <w:rsid w:val="00BD7CA2"/>
    <w:rsid w:val="00BE0055"/>
    <w:rsid w:val="00BE06A6"/>
    <w:rsid w:val="00BE0796"/>
    <w:rsid w:val="00BE0953"/>
    <w:rsid w:val="00BE1039"/>
    <w:rsid w:val="00BE131F"/>
    <w:rsid w:val="00BE153E"/>
    <w:rsid w:val="00BE1DCC"/>
    <w:rsid w:val="00BE25C1"/>
    <w:rsid w:val="00BE3059"/>
    <w:rsid w:val="00BE4354"/>
    <w:rsid w:val="00BE44A7"/>
    <w:rsid w:val="00BE4634"/>
    <w:rsid w:val="00BE4C25"/>
    <w:rsid w:val="00BE5804"/>
    <w:rsid w:val="00BE5D86"/>
    <w:rsid w:val="00BE6EA9"/>
    <w:rsid w:val="00BE723B"/>
    <w:rsid w:val="00BF0BF6"/>
    <w:rsid w:val="00BF113A"/>
    <w:rsid w:val="00BF1DA0"/>
    <w:rsid w:val="00BF1DE4"/>
    <w:rsid w:val="00BF200C"/>
    <w:rsid w:val="00BF28D7"/>
    <w:rsid w:val="00BF2BA6"/>
    <w:rsid w:val="00BF2CC8"/>
    <w:rsid w:val="00BF2CCE"/>
    <w:rsid w:val="00BF3149"/>
    <w:rsid w:val="00BF3334"/>
    <w:rsid w:val="00BF356D"/>
    <w:rsid w:val="00BF43B6"/>
    <w:rsid w:val="00BF49E1"/>
    <w:rsid w:val="00BF533D"/>
    <w:rsid w:val="00BF56C6"/>
    <w:rsid w:val="00BF5864"/>
    <w:rsid w:val="00BF59D4"/>
    <w:rsid w:val="00BF6F96"/>
    <w:rsid w:val="00BF70E5"/>
    <w:rsid w:val="00BF745E"/>
    <w:rsid w:val="00BF7B2C"/>
    <w:rsid w:val="00BF7B5D"/>
    <w:rsid w:val="00C00E6B"/>
    <w:rsid w:val="00C01359"/>
    <w:rsid w:val="00C0287B"/>
    <w:rsid w:val="00C0347C"/>
    <w:rsid w:val="00C043BB"/>
    <w:rsid w:val="00C0440F"/>
    <w:rsid w:val="00C04AF9"/>
    <w:rsid w:val="00C05D89"/>
    <w:rsid w:val="00C0622F"/>
    <w:rsid w:val="00C06371"/>
    <w:rsid w:val="00C0681D"/>
    <w:rsid w:val="00C06A4F"/>
    <w:rsid w:val="00C072AC"/>
    <w:rsid w:val="00C07F3E"/>
    <w:rsid w:val="00C111B0"/>
    <w:rsid w:val="00C1130B"/>
    <w:rsid w:val="00C11BFA"/>
    <w:rsid w:val="00C120E7"/>
    <w:rsid w:val="00C122E4"/>
    <w:rsid w:val="00C123E4"/>
    <w:rsid w:val="00C12695"/>
    <w:rsid w:val="00C139A6"/>
    <w:rsid w:val="00C13BBE"/>
    <w:rsid w:val="00C13F4B"/>
    <w:rsid w:val="00C14D1B"/>
    <w:rsid w:val="00C152B1"/>
    <w:rsid w:val="00C163F9"/>
    <w:rsid w:val="00C16FF2"/>
    <w:rsid w:val="00C174CE"/>
    <w:rsid w:val="00C201A2"/>
    <w:rsid w:val="00C20717"/>
    <w:rsid w:val="00C209CC"/>
    <w:rsid w:val="00C21EA0"/>
    <w:rsid w:val="00C22860"/>
    <w:rsid w:val="00C22E02"/>
    <w:rsid w:val="00C23E7D"/>
    <w:rsid w:val="00C24162"/>
    <w:rsid w:val="00C247A6"/>
    <w:rsid w:val="00C24856"/>
    <w:rsid w:val="00C24971"/>
    <w:rsid w:val="00C24E1C"/>
    <w:rsid w:val="00C25643"/>
    <w:rsid w:val="00C256B0"/>
    <w:rsid w:val="00C26132"/>
    <w:rsid w:val="00C268B2"/>
    <w:rsid w:val="00C26A31"/>
    <w:rsid w:val="00C26AFD"/>
    <w:rsid w:val="00C2752E"/>
    <w:rsid w:val="00C275C5"/>
    <w:rsid w:val="00C27647"/>
    <w:rsid w:val="00C27E10"/>
    <w:rsid w:val="00C30351"/>
    <w:rsid w:val="00C30417"/>
    <w:rsid w:val="00C309E5"/>
    <w:rsid w:val="00C31465"/>
    <w:rsid w:val="00C31F71"/>
    <w:rsid w:val="00C32449"/>
    <w:rsid w:val="00C3283D"/>
    <w:rsid w:val="00C33E72"/>
    <w:rsid w:val="00C3465F"/>
    <w:rsid w:val="00C34806"/>
    <w:rsid w:val="00C34997"/>
    <w:rsid w:val="00C36053"/>
    <w:rsid w:val="00C36497"/>
    <w:rsid w:val="00C36638"/>
    <w:rsid w:val="00C37889"/>
    <w:rsid w:val="00C37FF5"/>
    <w:rsid w:val="00C40B8E"/>
    <w:rsid w:val="00C4180C"/>
    <w:rsid w:val="00C42231"/>
    <w:rsid w:val="00C43204"/>
    <w:rsid w:val="00C43B9E"/>
    <w:rsid w:val="00C43C7B"/>
    <w:rsid w:val="00C447B6"/>
    <w:rsid w:val="00C4498C"/>
    <w:rsid w:val="00C45A85"/>
    <w:rsid w:val="00C45BCD"/>
    <w:rsid w:val="00C46431"/>
    <w:rsid w:val="00C4673A"/>
    <w:rsid w:val="00C46773"/>
    <w:rsid w:val="00C469B7"/>
    <w:rsid w:val="00C46C4F"/>
    <w:rsid w:val="00C51573"/>
    <w:rsid w:val="00C520EA"/>
    <w:rsid w:val="00C5227E"/>
    <w:rsid w:val="00C5230E"/>
    <w:rsid w:val="00C52586"/>
    <w:rsid w:val="00C52657"/>
    <w:rsid w:val="00C52ABA"/>
    <w:rsid w:val="00C53183"/>
    <w:rsid w:val="00C53419"/>
    <w:rsid w:val="00C5369B"/>
    <w:rsid w:val="00C5395E"/>
    <w:rsid w:val="00C54250"/>
    <w:rsid w:val="00C54603"/>
    <w:rsid w:val="00C5464F"/>
    <w:rsid w:val="00C5555C"/>
    <w:rsid w:val="00C55BF8"/>
    <w:rsid w:val="00C56099"/>
    <w:rsid w:val="00C569F1"/>
    <w:rsid w:val="00C56E30"/>
    <w:rsid w:val="00C573C8"/>
    <w:rsid w:val="00C57810"/>
    <w:rsid w:val="00C57FB2"/>
    <w:rsid w:val="00C613D9"/>
    <w:rsid w:val="00C61679"/>
    <w:rsid w:val="00C616E4"/>
    <w:rsid w:val="00C61746"/>
    <w:rsid w:val="00C61B53"/>
    <w:rsid w:val="00C61D8F"/>
    <w:rsid w:val="00C61E73"/>
    <w:rsid w:val="00C61ECE"/>
    <w:rsid w:val="00C621EF"/>
    <w:rsid w:val="00C62AF9"/>
    <w:rsid w:val="00C62D10"/>
    <w:rsid w:val="00C63E40"/>
    <w:rsid w:val="00C63F5C"/>
    <w:rsid w:val="00C64557"/>
    <w:rsid w:val="00C65F3D"/>
    <w:rsid w:val="00C67102"/>
    <w:rsid w:val="00C7013D"/>
    <w:rsid w:val="00C70AE7"/>
    <w:rsid w:val="00C70FA4"/>
    <w:rsid w:val="00C718E6"/>
    <w:rsid w:val="00C71965"/>
    <w:rsid w:val="00C723E4"/>
    <w:rsid w:val="00C724F3"/>
    <w:rsid w:val="00C73259"/>
    <w:rsid w:val="00C73282"/>
    <w:rsid w:val="00C73A0D"/>
    <w:rsid w:val="00C73ADA"/>
    <w:rsid w:val="00C7517D"/>
    <w:rsid w:val="00C75544"/>
    <w:rsid w:val="00C7559A"/>
    <w:rsid w:val="00C75E20"/>
    <w:rsid w:val="00C763EB"/>
    <w:rsid w:val="00C80E10"/>
    <w:rsid w:val="00C81837"/>
    <w:rsid w:val="00C822E3"/>
    <w:rsid w:val="00C829C6"/>
    <w:rsid w:val="00C82A84"/>
    <w:rsid w:val="00C8317E"/>
    <w:rsid w:val="00C83E7A"/>
    <w:rsid w:val="00C842D4"/>
    <w:rsid w:val="00C84694"/>
    <w:rsid w:val="00C849C4"/>
    <w:rsid w:val="00C850AF"/>
    <w:rsid w:val="00C86CC5"/>
    <w:rsid w:val="00C90A0F"/>
    <w:rsid w:val="00C90EA9"/>
    <w:rsid w:val="00C91A54"/>
    <w:rsid w:val="00C91C6E"/>
    <w:rsid w:val="00C92AC0"/>
    <w:rsid w:val="00C92C82"/>
    <w:rsid w:val="00C933EC"/>
    <w:rsid w:val="00C9391C"/>
    <w:rsid w:val="00C93D45"/>
    <w:rsid w:val="00C95267"/>
    <w:rsid w:val="00C95676"/>
    <w:rsid w:val="00C9571C"/>
    <w:rsid w:val="00C960F0"/>
    <w:rsid w:val="00C96726"/>
    <w:rsid w:val="00C96966"/>
    <w:rsid w:val="00C96BC7"/>
    <w:rsid w:val="00C976DD"/>
    <w:rsid w:val="00CA013A"/>
    <w:rsid w:val="00CA0FDA"/>
    <w:rsid w:val="00CA10CA"/>
    <w:rsid w:val="00CA10F3"/>
    <w:rsid w:val="00CA132B"/>
    <w:rsid w:val="00CA1929"/>
    <w:rsid w:val="00CA1F08"/>
    <w:rsid w:val="00CA241F"/>
    <w:rsid w:val="00CA2AF4"/>
    <w:rsid w:val="00CA2C06"/>
    <w:rsid w:val="00CA3378"/>
    <w:rsid w:val="00CA35B8"/>
    <w:rsid w:val="00CA43B1"/>
    <w:rsid w:val="00CA4BDB"/>
    <w:rsid w:val="00CA4C60"/>
    <w:rsid w:val="00CA59D5"/>
    <w:rsid w:val="00CA668A"/>
    <w:rsid w:val="00CA7A30"/>
    <w:rsid w:val="00CB06DF"/>
    <w:rsid w:val="00CB07D1"/>
    <w:rsid w:val="00CB1611"/>
    <w:rsid w:val="00CB1A83"/>
    <w:rsid w:val="00CB1E3B"/>
    <w:rsid w:val="00CB20E5"/>
    <w:rsid w:val="00CB2608"/>
    <w:rsid w:val="00CB381D"/>
    <w:rsid w:val="00CB3D7C"/>
    <w:rsid w:val="00CB42F6"/>
    <w:rsid w:val="00CB47BF"/>
    <w:rsid w:val="00CB4A0F"/>
    <w:rsid w:val="00CB5AB3"/>
    <w:rsid w:val="00CB5B16"/>
    <w:rsid w:val="00CB5C08"/>
    <w:rsid w:val="00CB5D2E"/>
    <w:rsid w:val="00CB5D82"/>
    <w:rsid w:val="00CB6497"/>
    <w:rsid w:val="00CB6B78"/>
    <w:rsid w:val="00CB6FFF"/>
    <w:rsid w:val="00CB7203"/>
    <w:rsid w:val="00CB74C1"/>
    <w:rsid w:val="00CB7547"/>
    <w:rsid w:val="00CB7A46"/>
    <w:rsid w:val="00CB7ACB"/>
    <w:rsid w:val="00CB7C15"/>
    <w:rsid w:val="00CC0533"/>
    <w:rsid w:val="00CC0A1E"/>
    <w:rsid w:val="00CC1469"/>
    <w:rsid w:val="00CC1C13"/>
    <w:rsid w:val="00CC1D2F"/>
    <w:rsid w:val="00CC244F"/>
    <w:rsid w:val="00CC3FBB"/>
    <w:rsid w:val="00CC4229"/>
    <w:rsid w:val="00CC4F7D"/>
    <w:rsid w:val="00CC5031"/>
    <w:rsid w:val="00CC541D"/>
    <w:rsid w:val="00CC5E74"/>
    <w:rsid w:val="00CC5F53"/>
    <w:rsid w:val="00CC6E79"/>
    <w:rsid w:val="00CC72D9"/>
    <w:rsid w:val="00CC750D"/>
    <w:rsid w:val="00CC7D75"/>
    <w:rsid w:val="00CD0136"/>
    <w:rsid w:val="00CD08BC"/>
    <w:rsid w:val="00CD0DEB"/>
    <w:rsid w:val="00CD1057"/>
    <w:rsid w:val="00CD1247"/>
    <w:rsid w:val="00CD1D2A"/>
    <w:rsid w:val="00CD1DDC"/>
    <w:rsid w:val="00CD458B"/>
    <w:rsid w:val="00CD4693"/>
    <w:rsid w:val="00CD4835"/>
    <w:rsid w:val="00CD4939"/>
    <w:rsid w:val="00CD4B12"/>
    <w:rsid w:val="00CD53E9"/>
    <w:rsid w:val="00CD5430"/>
    <w:rsid w:val="00CD662E"/>
    <w:rsid w:val="00CD6E2D"/>
    <w:rsid w:val="00CD74F3"/>
    <w:rsid w:val="00CD7B48"/>
    <w:rsid w:val="00CD7BEE"/>
    <w:rsid w:val="00CD7E6A"/>
    <w:rsid w:val="00CE10D7"/>
    <w:rsid w:val="00CE17BF"/>
    <w:rsid w:val="00CE1D73"/>
    <w:rsid w:val="00CE45D7"/>
    <w:rsid w:val="00CE4A47"/>
    <w:rsid w:val="00CE4FEF"/>
    <w:rsid w:val="00CE50C6"/>
    <w:rsid w:val="00CE520B"/>
    <w:rsid w:val="00CE5488"/>
    <w:rsid w:val="00CE5AFE"/>
    <w:rsid w:val="00CE5F68"/>
    <w:rsid w:val="00CE6185"/>
    <w:rsid w:val="00CE6867"/>
    <w:rsid w:val="00CE6FBA"/>
    <w:rsid w:val="00CF00D6"/>
    <w:rsid w:val="00CF0148"/>
    <w:rsid w:val="00CF02C7"/>
    <w:rsid w:val="00CF0601"/>
    <w:rsid w:val="00CF0824"/>
    <w:rsid w:val="00CF0A2B"/>
    <w:rsid w:val="00CF11E7"/>
    <w:rsid w:val="00CF129C"/>
    <w:rsid w:val="00CF1594"/>
    <w:rsid w:val="00CF17FD"/>
    <w:rsid w:val="00CF1892"/>
    <w:rsid w:val="00CF199B"/>
    <w:rsid w:val="00CF264E"/>
    <w:rsid w:val="00CF2939"/>
    <w:rsid w:val="00CF2B5E"/>
    <w:rsid w:val="00CF3D73"/>
    <w:rsid w:val="00CF4BD1"/>
    <w:rsid w:val="00CF5652"/>
    <w:rsid w:val="00CF5DE2"/>
    <w:rsid w:val="00CF6708"/>
    <w:rsid w:val="00CF6EB4"/>
    <w:rsid w:val="00CF6EC4"/>
    <w:rsid w:val="00CF7168"/>
    <w:rsid w:val="00CF7373"/>
    <w:rsid w:val="00CF7E47"/>
    <w:rsid w:val="00D0030C"/>
    <w:rsid w:val="00D004BC"/>
    <w:rsid w:val="00D01AAA"/>
    <w:rsid w:val="00D0231C"/>
    <w:rsid w:val="00D0240A"/>
    <w:rsid w:val="00D02886"/>
    <w:rsid w:val="00D02E42"/>
    <w:rsid w:val="00D03194"/>
    <w:rsid w:val="00D04D41"/>
    <w:rsid w:val="00D0537A"/>
    <w:rsid w:val="00D05F67"/>
    <w:rsid w:val="00D05FA4"/>
    <w:rsid w:val="00D05FDD"/>
    <w:rsid w:val="00D06813"/>
    <w:rsid w:val="00D0781D"/>
    <w:rsid w:val="00D07B4F"/>
    <w:rsid w:val="00D102D8"/>
    <w:rsid w:val="00D10447"/>
    <w:rsid w:val="00D10F0D"/>
    <w:rsid w:val="00D11DBA"/>
    <w:rsid w:val="00D120F8"/>
    <w:rsid w:val="00D124A8"/>
    <w:rsid w:val="00D1280E"/>
    <w:rsid w:val="00D13148"/>
    <w:rsid w:val="00D1317E"/>
    <w:rsid w:val="00D13CF6"/>
    <w:rsid w:val="00D144D1"/>
    <w:rsid w:val="00D15A0B"/>
    <w:rsid w:val="00D15A7D"/>
    <w:rsid w:val="00D16754"/>
    <w:rsid w:val="00D16E82"/>
    <w:rsid w:val="00D172D8"/>
    <w:rsid w:val="00D178C1"/>
    <w:rsid w:val="00D17DA3"/>
    <w:rsid w:val="00D17F1B"/>
    <w:rsid w:val="00D2003A"/>
    <w:rsid w:val="00D207AA"/>
    <w:rsid w:val="00D20A91"/>
    <w:rsid w:val="00D2171E"/>
    <w:rsid w:val="00D2177F"/>
    <w:rsid w:val="00D22757"/>
    <w:rsid w:val="00D228B9"/>
    <w:rsid w:val="00D237F8"/>
    <w:rsid w:val="00D23A52"/>
    <w:rsid w:val="00D24281"/>
    <w:rsid w:val="00D2467E"/>
    <w:rsid w:val="00D25ABE"/>
    <w:rsid w:val="00D2641D"/>
    <w:rsid w:val="00D27E7B"/>
    <w:rsid w:val="00D30695"/>
    <w:rsid w:val="00D30856"/>
    <w:rsid w:val="00D30BE5"/>
    <w:rsid w:val="00D30DBD"/>
    <w:rsid w:val="00D314EA"/>
    <w:rsid w:val="00D315FA"/>
    <w:rsid w:val="00D31753"/>
    <w:rsid w:val="00D317A8"/>
    <w:rsid w:val="00D317BC"/>
    <w:rsid w:val="00D31CDA"/>
    <w:rsid w:val="00D31FAD"/>
    <w:rsid w:val="00D323DF"/>
    <w:rsid w:val="00D32584"/>
    <w:rsid w:val="00D32E49"/>
    <w:rsid w:val="00D3325A"/>
    <w:rsid w:val="00D33475"/>
    <w:rsid w:val="00D33C59"/>
    <w:rsid w:val="00D35693"/>
    <w:rsid w:val="00D356DE"/>
    <w:rsid w:val="00D35DA6"/>
    <w:rsid w:val="00D363D2"/>
    <w:rsid w:val="00D36465"/>
    <w:rsid w:val="00D36E95"/>
    <w:rsid w:val="00D37E00"/>
    <w:rsid w:val="00D40534"/>
    <w:rsid w:val="00D40C20"/>
    <w:rsid w:val="00D40F45"/>
    <w:rsid w:val="00D41584"/>
    <w:rsid w:val="00D41A9A"/>
    <w:rsid w:val="00D426C1"/>
    <w:rsid w:val="00D43771"/>
    <w:rsid w:val="00D43F43"/>
    <w:rsid w:val="00D451A1"/>
    <w:rsid w:val="00D45214"/>
    <w:rsid w:val="00D4575D"/>
    <w:rsid w:val="00D46404"/>
    <w:rsid w:val="00D47B9A"/>
    <w:rsid w:val="00D509F7"/>
    <w:rsid w:val="00D52D8C"/>
    <w:rsid w:val="00D52EB1"/>
    <w:rsid w:val="00D53863"/>
    <w:rsid w:val="00D538D9"/>
    <w:rsid w:val="00D53E8C"/>
    <w:rsid w:val="00D549B3"/>
    <w:rsid w:val="00D55AF8"/>
    <w:rsid w:val="00D562FC"/>
    <w:rsid w:val="00D56392"/>
    <w:rsid w:val="00D56B39"/>
    <w:rsid w:val="00D56F81"/>
    <w:rsid w:val="00D57031"/>
    <w:rsid w:val="00D57697"/>
    <w:rsid w:val="00D578DE"/>
    <w:rsid w:val="00D57DE5"/>
    <w:rsid w:val="00D60ACE"/>
    <w:rsid w:val="00D610A1"/>
    <w:rsid w:val="00D61ADF"/>
    <w:rsid w:val="00D625BD"/>
    <w:rsid w:val="00D62658"/>
    <w:rsid w:val="00D63538"/>
    <w:rsid w:val="00D6357E"/>
    <w:rsid w:val="00D6376A"/>
    <w:rsid w:val="00D644F7"/>
    <w:rsid w:val="00D646AA"/>
    <w:rsid w:val="00D651CD"/>
    <w:rsid w:val="00D651F4"/>
    <w:rsid w:val="00D652B9"/>
    <w:rsid w:val="00D6546F"/>
    <w:rsid w:val="00D66328"/>
    <w:rsid w:val="00D6698E"/>
    <w:rsid w:val="00D670DD"/>
    <w:rsid w:val="00D676AD"/>
    <w:rsid w:val="00D712B1"/>
    <w:rsid w:val="00D719CB"/>
    <w:rsid w:val="00D72032"/>
    <w:rsid w:val="00D729FA"/>
    <w:rsid w:val="00D7314E"/>
    <w:rsid w:val="00D7329B"/>
    <w:rsid w:val="00D733C7"/>
    <w:rsid w:val="00D73BF9"/>
    <w:rsid w:val="00D73C54"/>
    <w:rsid w:val="00D74166"/>
    <w:rsid w:val="00D743B2"/>
    <w:rsid w:val="00D7472F"/>
    <w:rsid w:val="00D74B55"/>
    <w:rsid w:val="00D750EC"/>
    <w:rsid w:val="00D7516E"/>
    <w:rsid w:val="00D75E2D"/>
    <w:rsid w:val="00D76844"/>
    <w:rsid w:val="00D76920"/>
    <w:rsid w:val="00D76E65"/>
    <w:rsid w:val="00D772CC"/>
    <w:rsid w:val="00D77B26"/>
    <w:rsid w:val="00D77DAD"/>
    <w:rsid w:val="00D805AF"/>
    <w:rsid w:val="00D80F99"/>
    <w:rsid w:val="00D818DF"/>
    <w:rsid w:val="00D81B47"/>
    <w:rsid w:val="00D81D0C"/>
    <w:rsid w:val="00D81D4A"/>
    <w:rsid w:val="00D82605"/>
    <w:rsid w:val="00D8261F"/>
    <w:rsid w:val="00D833DD"/>
    <w:rsid w:val="00D83F84"/>
    <w:rsid w:val="00D84635"/>
    <w:rsid w:val="00D84AC1"/>
    <w:rsid w:val="00D8542D"/>
    <w:rsid w:val="00D85D6E"/>
    <w:rsid w:val="00D86217"/>
    <w:rsid w:val="00D86DDC"/>
    <w:rsid w:val="00D9053D"/>
    <w:rsid w:val="00D90CB7"/>
    <w:rsid w:val="00D9127B"/>
    <w:rsid w:val="00D921B5"/>
    <w:rsid w:val="00D92223"/>
    <w:rsid w:val="00D92306"/>
    <w:rsid w:val="00D925FB"/>
    <w:rsid w:val="00D9290C"/>
    <w:rsid w:val="00D938B4"/>
    <w:rsid w:val="00D940C1"/>
    <w:rsid w:val="00D94BD0"/>
    <w:rsid w:val="00D94FFD"/>
    <w:rsid w:val="00D95643"/>
    <w:rsid w:val="00D95E44"/>
    <w:rsid w:val="00D968D8"/>
    <w:rsid w:val="00D96C1E"/>
    <w:rsid w:val="00D96F39"/>
    <w:rsid w:val="00D970EE"/>
    <w:rsid w:val="00D97384"/>
    <w:rsid w:val="00DA0941"/>
    <w:rsid w:val="00DA0B30"/>
    <w:rsid w:val="00DA166E"/>
    <w:rsid w:val="00DA177C"/>
    <w:rsid w:val="00DA29F8"/>
    <w:rsid w:val="00DA3025"/>
    <w:rsid w:val="00DA31A6"/>
    <w:rsid w:val="00DA4D9D"/>
    <w:rsid w:val="00DA63F8"/>
    <w:rsid w:val="00DA67C4"/>
    <w:rsid w:val="00DA69CE"/>
    <w:rsid w:val="00DA6EFC"/>
    <w:rsid w:val="00DA6FFA"/>
    <w:rsid w:val="00DA7940"/>
    <w:rsid w:val="00DB0310"/>
    <w:rsid w:val="00DB0A2F"/>
    <w:rsid w:val="00DB0C98"/>
    <w:rsid w:val="00DB0DED"/>
    <w:rsid w:val="00DB0E39"/>
    <w:rsid w:val="00DB15E9"/>
    <w:rsid w:val="00DB1822"/>
    <w:rsid w:val="00DB1BE3"/>
    <w:rsid w:val="00DB1C72"/>
    <w:rsid w:val="00DB1D75"/>
    <w:rsid w:val="00DB1E27"/>
    <w:rsid w:val="00DB1FF1"/>
    <w:rsid w:val="00DB202E"/>
    <w:rsid w:val="00DB26D5"/>
    <w:rsid w:val="00DB28DC"/>
    <w:rsid w:val="00DB2B22"/>
    <w:rsid w:val="00DB2CCD"/>
    <w:rsid w:val="00DB3651"/>
    <w:rsid w:val="00DB3D6C"/>
    <w:rsid w:val="00DB4B86"/>
    <w:rsid w:val="00DB5204"/>
    <w:rsid w:val="00DB52BF"/>
    <w:rsid w:val="00DB682E"/>
    <w:rsid w:val="00DB7CAD"/>
    <w:rsid w:val="00DC1681"/>
    <w:rsid w:val="00DC1709"/>
    <w:rsid w:val="00DC181F"/>
    <w:rsid w:val="00DC1997"/>
    <w:rsid w:val="00DC2BB6"/>
    <w:rsid w:val="00DC347F"/>
    <w:rsid w:val="00DC3646"/>
    <w:rsid w:val="00DC3B6A"/>
    <w:rsid w:val="00DC3EDD"/>
    <w:rsid w:val="00DC4481"/>
    <w:rsid w:val="00DC4912"/>
    <w:rsid w:val="00DC4AD9"/>
    <w:rsid w:val="00DC525A"/>
    <w:rsid w:val="00DC58F4"/>
    <w:rsid w:val="00DC7C69"/>
    <w:rsid w:val="00DD0F4D"/>
    <w:rsid w:val="00DD279C"/>
    <w:rsid w:val="00DD31CD"/>
    <w:rsid w:val="00DD353C"/>
    <w:rsid w:val="00DD372A"/>
    <w:rsid w:val="00DD414D"/>
    <w:rsid w:val="00DD42D0"/>
    <w:rsid w:val="00DD5A2C"/>
    <w:rsid w:val="00DD5D07"/>
    <w:rsid w:val="00DD69E1"/>
    <w:rsid w:val="00DD7008"/>
    <w:rsid w:val="00DD75C7"/>
    <w:rsid w:val="00DD7C87"/>
    <w:rsid w:val="00DD7D2E"/>
    <w:rsid w:val="00DE02C0"/>
    <w:rsid w:val="00DE0D47"/>
    <w:rsid w:val="00DE1209"/>
    <w:rsid w:val="00DE1BE4"/>
    <w:rsid w:val="00DE1E51"/>
    <w:rsid w:val="00DE2C8F"/>
    <w:rsid w:val="00DE307A"/>
    <w:rsid w:val="00DE343E"/>
    <w:rsid w:val="00DE39B8"/>
    <w:rsid w:val="00DE3AFF"/>
    <w:rsid w:val="00DE5009"/>
    <w:rsid w:val="00DE5025"/>
    <w:rsid w:val="00DE5908"/>
    <w:rsid w:val="00DE5D59"/>
    <w:rsid w:val="00DE5ECA"/>
    <w:rsid w:val="00DE623C"/>
    <w:rsid w:val="00DE6313"/>
    <w:rsid w:val="00DE666E"/>
    <w:rsid w:val="00DE70C4"/>
    <w:rsid w:val="00DE785A"/>
    <w:rsid w:val="00DE7CD3"/>
    <w:rsid w:val="00DF0AC7"/>
    <w:rsid w:val="00DF0EA6"/>
    <w:rsid w:val="00DF1070"/>
    <w:rsid w:val="00DF133A"/>
    <w:rsid w:val="00DF262D"/>
    <w:rsid w:val="00DF2664"/>
    <w:rsid w:val="00DF2909"/>
    <w:rsid w:val="00DF3584"/>
    <w:rsid w:val="00DF35F2"/>
    <w:rsid w:val="00DF377F"/>
    <w:rsid w:val="00DF3CA8"/>
    <w:rsid w:val="00DF43B0"/>
    <w:rsid w:val="00DF6190"/>
    <w:rsid w:val="00DF62AD"/>
    <w:rsid w:val="00DF66F1"/>
    <w:rsid w:val="00DF6C3A"/>
    <w:rsid w:val="00DF713B"/>
    <w:rsid w:val="00DF7F62"/>
    <w:rsid w:val="00E0121F"/>
    <w:rsid w:val="00E017A7"/>
    <w:rsid w:val="00E01AA4"/>
    <w:rsid w:val="00E023D5"/>
    <w:rsid w:val="00E02831"/>
    <w:rsid w:val="00E0338D"/>
    <w:rsid w:val="00E035A1"/>
    <w:rsid w:val="00E03D56"/>
    <w:rsid w:val="00E03F8D"/>
    <w:rsid w:val="00E04163"/>
    <w:rsid w:val="00E046D1"/>
    <w:rsid w:val="00E05DCF"/>
    <w:rsid w:val="00E06646"/>
    <w:rsid w:val="00E06BFE"/>
    <w:rsid w:val="00E06D21"/>
    <w:rsid w:val="00E07914"/>
    <w:rsid w:val="00E1012D"/>
    <w:rsid w:val="00E10599"/>
    <w:rsid w:val="00E10600"/>
    <w:rsid w:val="00E10C62"/>
    <w:rsid w:val="00E11BAC"/>
    <w:rsid w:val="00E11E1B"/>
    <w:rsid w:val="00E11E9C"/>
    <w:rsid w:val="00E12F17"/>
    <w:rsid w:val="00E12F53"/>
    <w:rsid w:val="00E12FF0"/>
    <w:rsid w:val="00E1341C"/>
    <w:rsid w:val="00E138A5"/>
    <w:rsid w:val="00E13B15"/>
    <w:rsid w:val="00E1455C"/>
    <w:rsid w:val="00E15694"/>
    <w:rsid w:val="00E1586D"/>
    <w:rsid w:val="00E15C78"/>
    <w:rsid w:val="00E16693"/>
    <w:rsid w:val="00E17190"/>
    <w:rsid w:val="00E17ADA"/>
    <w:rsid w:val="00E17DD9"/>
    <w:rsid w:val="00E17FD2"/>
    <w:rsid w:val="00E2047B"/>
    <w:rsid w:val="00E2098D"/>
    <w:rsid w:val="00E20B6A"/>
    <w:rsid w:val="00E2142B"/>
    <w:rsid w:val="00E21761"/>
    <w:rsid w:val="00E21BC6"/>
    <w:rsid w:val="00E22797"/>
    <w:rsid w:val="00E22A18"/>
    <w:rsid w:val="00E22AAF"/>
    <w:rsid w:val="00E23024"/>
    <w:rsid w:val="00E23D92"/>
    <w:rsid w:val="00E23E8E"/>
    <w:rsid w:val="00E23FBC"/>
    <w:rsid w:val="00E24028"/>
    <w:rsid w:val="00E240CE"/>
    <w:rsid w:val="00E24C9C"/>
    <w:rsid w:val="00E25444"/>
    <w:rsid w:val="00E26A17"/>
    <w:rsid w:val="00E27337"/>
    <w:rsid w:val="00E27686"/>
    <w:rsid w:val="00E30497"/>
    <w:rsid w:val="00E30781"/>
    <w:rsid w:val="00E30D31"/>
    <w:rsid w:val="00E31AF1"/>
    <w:rsid w:val="00E31C02"/>
    <w:rsid w:val="00E31E09"/>
    <w:rsid w:val="00E32272"/>
    <w:rsid w:val="00E332B8"/>
    <w:rsid w:val="00E3385C"/>
    <w:rsid w:val="00E34490"/>
    <w:rsid w:val="00E3482F"/>
    <w:rsid w:val="00E34B44"/>
    <w:rsid w:val="00E35228"/>
    <w:rsid w:val="00E354A3"/>
    <w:rsid w:val="00E378B1"/>
    <w:rsid w:val="00E40075"/>
    <w:rsid w:val="00E4047F"/>
    <w:rsid w:val="00E405F9"/>
    <w:rsid w:val="00E41092"/>
    <w:rsid w:val="00E41887"/>
    <w:rsid w:val="00E418B8"/>
    <w:rsid w:val="00E418ED"/>
    <w:rsid w:val="00E41D9B"/>
    <w:rsid w:val="00E42211"/>
    <w:rsid w:val="00E4259E"/>
    <w:rsid w:val="00E425F1"/>
    <w:rsid w:val="00E42D9E"/>
    <w:rsid w:val="00E4368D"/>
    <w:rsid w:val="00E43824"/>
    <w:rsid w:val="00E43D1E"/>
    <w:rsid w:val="00E4468D"/>
    <w:rsid w:val="00E4478F"/>
    <w:rsid w:val="00E45D83"/>
    <w:rsid w:val="00E4606D"/>
    <w:rsid w:val="00E46A36"/>
    <w:rsid w:val="00E47BE0"/>
    <w:rsid w:val="00E50122"/>
    <w:rsid w:val="00E5179B"/>
    <w:rsid w:val="00E5183D"/>
    <w:rsid w:val="00E51DBB"/>
    <w:rsid w:val="00E52215"/>
    <w:rsid w:val="00E52CC5"/>
    <w:rsid w:val="00E52D26"/>
    <w:rsid w:val="00E5315F"/>
    <w:rsid w:val="00E533C7"/>
    <w:rsid w:val="00E53431"/>
    <w:rsid w:val="00E53F73"/>
    <w:rsid w:val="00E541A3"/>
    <w:rsid w:val="00E54423"/>
    <w:rsid w:val="00E54500"/>
    <w:rsid w:val="00E5454C"/>
    <w:rsid w:val="00E5567F"/>
    <w:rsid w:val="00E5598D"/>
    <w:rsid w:val="00E55B14"/>
    <w:rsid w:val="00E5607C"/>
    <w:rsid w:val="00E56415"/>
    <w:rsid w:val="00E5715B"/>
    <w:rsid w:val="00E57C8F"/>
    <w:rsid w:val="00E609CA"/>
    <w:rsid w:val="00E6100B"/>
    <w:rsid w:val="00E61256"/>
    <w:rsid w:val="00E61594"/>
    <w:rsid w:val="00E6162F"/>
    <w:rsid w:val="00E61A20"/>
    <w:rsid w:val="00E61E5B"/>
    <w:rsid w:val="00E61EE1"/>
    <w:rsid w:val="00E62B4F"/>
    <w:rsid w:val="00E6355C"/>
    <w:rsid w:val="00E63994"/>
    <w:rsid w:val="00E64BBC"/>
    <w:rsid w:val="00E6572B"/>
    <w:rsid w:val="00E658D1"/>
    <w:rsid w:val="00E65A7B"/>
    <w:rsid w:val="00E6667B"/>
    <w:rsid w:val="00E67007"/>
    <w:rsid w:val="00E6760C"/>
    <w:rsid w:val="00E67F08"/>
    <w:rsid w:val="00E7020F"/>
    <w:rsid w:val="00E70836"/>
    <w:rsid w:val="00E70CED"/>
    <w:rsid w:val="00E713B0"/>
    <w:rsid w:val="00E715F3"/>
    <w:rsid w:val="00E71D9D"/>
    <w:rsid w:val="00E71EC2"/>
    <w:rsid w:val="00E720E9"/>
    <w:rsid w:val="00E72146"/>
    <w:rsid w:val="00E72486"/>
    <w:rsid w:val="00E7294E"/>
    <w:rsid w:val="00E72A0D"/>
    <w:rsid w:val="00E733D7"/>
    <w:rsid w:val="00E73715"/>
    <w:rsid w:val="00E7390B"/>
    <w:rsid w:val="00E73D46"/>
    <w:rsid w:val="00E73DF4"/>
    <w:rsid w:val="00E752D1"/>
    <w:rsid w:val="00E756E3"/>
    <w:rsid w:val="00E75B52"/>
    <w:rsid w:val="00E75CA8"/>
    <w:rsid w:val="00E75FF1"/>
    <w:rsid w:val="00E761BA"/>
    <w:rsid w:val="00E7683B"/>
    <w:rsid w:val="00E76914"/>
    <w:rsid w:val="00E77510"/>
    <w:rsid w:val="00E7754E"/>
    <w:rsid w:val="00E77591"/>
    <w:rsid w:val="00E806E9"/>
    <w:rsid w:val="00E80882"/>
    <w:rsid w:val="00E80DE1"/>
    <w:rsid w:val="00E810EE"/>
    <w:rsid w:val="00E812A9"/>
    <w:rsid w:val="00E81305"/>
    <w:rsid w:val="00E818DD"/>
    <w:rsid w:val="00E81939"/>
    <w:rsid w:val="00E82787"/>
    <w:rsid w:val="00E82C03"/>
    <w:rsid w:val="00E82C5C"/>
    <w:rsid w:val="00E82E30"/>
    <w:rsid w:val="00E8318F"/>
    <w:rsid w:val="00E835F0"/>
    <w:rsid w:val="00E83E62"/>
    <w:rsid w:val="00E84D9C"/>
    <w:rsid w:val="00E84F97"/>
    <w:rsid w:val="00E8594E"/>
    <w:rsid w:val="00E85CDC"/>
    <w:rsid w:val="00E85F5D"/>
    <w:rsid w:val="00E87B6C"/>
    <w:rsid w:val="00E87C35"/>
    <w:rsid w:val="00E9018A"/>
    <w:rsid w:val="00E90975"/>
    <w:rsid w:val="00E91DBB"/>
    <w:rsid w:val="00E92581"/>
    <w:rsid w:val="00E93B9B"/>
    <w:rsid w:val="00E940F1"/>
    <w:rsid w:val="00E958C7"/>
    <w:rsid w:val="00E95DBD"/>
    <w:rsid w:val="00E97410"/>
    <w:rsid w:val="00E97C02"/>
    <w:rsid w:val="00E97E77"/>
    <w:rsid w:val="00EA090F"/>
    <w:rsid w:val="00EA1293"/>
    <w:rsid w:val="00EA14DA"/>
    <w:rsid w:val="00EA1612"/>
    <w:rsid w:val="00EA1C77"/>
    <w:rsid w:val="00EA1EBA"/>
    <w:rsid w:val="00EA237A"/>
    <w:rsid w:val="00EA3B37"/>
    <w:rsid w:val="00EA3CA9"/>
    <w:rsid w:val="00EA404C"/>
    <w:rsid w:val="00EA4051"/>
    <w:rsid w:val="00EA4063"/>
    <w:rsid w:val="00EA475E"/>
    <w:rsid w:val="00EA4B5E"/>
    <w:rsid w:val="00EA57FF"/>
    <w:rsid w:val="00EA5822"/>
    <w:rsid w:val="00EA590C"/>
    <w:rsid w:val="00EA5C10"/>
    <w:rsid w:val="00EA615A"/>
    <w:rsid w:val="00EA61DA"/>
    <w:rsid w:val="00EA61F9"/>
    <w:rsid w:val="00EA63E2"/>
    <w:rsid w:val="00EA64F0"/>
    <w:rsid w:val="00EA67F1"/>
    <w:rsid w:val="00EA690F"/>
    <w:rsid w:val="00EA6947"/>
    <w:rsid w:val="00EA7A16"/>
    <w:rsid w:val="00EA7DA7"/>
    <w:rsid w:val="00EB0735"/>
    <w:rsid w:val="00EB098B"/>
    <w:rsid w:val="00EB0D49"/>
    <w:rsid w:val="00EB1C70"/>
    <w:rsid w:val="00EB1EAD"/>
    <w:rsid w:val="00EB1F33"/>
    <w:rsid w:val="00EB1FF0"/>
    <w:rsid w:val="00EB2DF3"/>
    <w:rsid w:val="00EB391E"/>
    <w:rsid w:val="00EB3AD1"/>
    <w:rsid w:val="00EB3BCD"/>
    <w:rsid w:val="00EB3C9F"/>
    <w:rsid w:val="00EB48B0"/>
    <w:rsid w:val="00EB5CE6"/>
    <w:rsid w:val="00EB6331"/>
    <w:rsid w:val="00EB6715"/>
    <w:rsid w:val="00EB77C9"/>
    <w:rsid w:val="00EB7D8E"/>
    <w:rsid w:val="00EC0EB3"/>
    <w:rsid w:val="00EC0FAD"/>
    <w:rsid w:val="00EC1939"/>
    <w:rsid w:val="00EC2615"/>
    <w:rsid w:val="00EC269D"/>
    <w:rsid w:val="00EC2B78"/>
    <w:rsid w:val="00EC419D"/>
    <w:rsid w:val="00EC47F1"/>
    <w:rsid w:val="00EC4C82"/>
    <w:rsid w:val="00EC52BC"/>
    <w:rsid w:val="00EC5D4E"/>
    <w:rsid w:val="00EC70DC"/>
    <w:rsid w:val="00EC71C5"/>
    <w:rsid w:val="00EC72FB"/>
    <w:rsid w:val="00ED0D10"/>
    <w:rsid w:val="00ED1C03"/>
    <w:rsid w:val="00ED1D39"/>
    <w:rsid w:val="00ED260E"/>
    <w:rsid w:val="00ED2BC8"/>
    <w:rsid w:val="00ED31F6"/>
    <w:rsid w:val="00ED3C57"/>
    <w:rsid w:val="00ED3DA8"/>
    <w:rsid w:val="00ED4D0B"/>
    <w:rsid w:val="00ED5069"/>
    <w:rsid w:val="00ED524E"/>
    <w:rsid w:val="00ED575C"/>
    <w:rsid w:val="00ED5C66"/>
    <w:rsid w:val="00ED5FA6"/>
    <w:rsid w:val="00ED68B4"/>
    <w:rsid w:val="00ED68B6"/>
    <w:rsid w:val="00ED7169"/>
    <w:rsid w:val="00ED732D"/>
    <w:rsid w:val="00ED75F8"/>
    <w:rsid w:val="00ED7E27"/>
    <w:rsid w:val="00ED7FC5"/>
    <w:rsid w:val="00EE00A0"/>
    <w:rsid w:val="00EE0322"/>
    <w:rsid w:val="00EE0CDA"/>
    <w:rsid w:val="00EE0D93"/>
    <w:rsid w:val="00EE0E13"/>
    <w:rsid w:val="00EE18A1"/>
    <w:rsid w:val="00EE18AC"/>
    <w:rsid w:val="00EE1A21"/>
    <w:rsid w:val="00EE1BC7"/>
    <w:rsid w:val="00EE3D8A"/>
    <w:rsid w:val="00EE41C7"/>
    <w:rsid w:val="00EE4616"/>
    <w:rsid w:val="00EE4B4A"/>
    <w:rsid w:val="00EE5977"/>
    <w:rsid w:val="00EE5A7A"/>
    <w:rsid w:val="00EE5ECC"/>
    <w:rsid w:val="00EE6147"/>
    <w:rsid w:val="00EE702F"/>
    <w:rsid w:val="00EE7877"/>
    <w:rsid w:val="00EE7A75"/>
    <w:rsid w:val="00EF05EF"/>
    <w:rsid w:val="00EF0682"/>
    <w:rsid w:val="00EF0A47"/>
    <w:rsid w:val="00EF168D"/>
    <w:rsid w:val="00EF17E4"/>
    <w:rsid w:val="00EF1D87"/>
    <w:rsid w:val="00EF33F8"/>
    <w:rsid w:val="00EF3940"/>
    <w:rsid w:val="00EF449A"/>
    <w:rsid w:val="00EF457B"/>
    <w:rsid w:val="00EF55C4"/>
    <w:rsid w:val="00EF5FAF"/>
    <w:rsid w:val="00EF636F"/>
    <w:rsid w:val="00EF7139"/>
    <w:rsid w:val="00EF731F"/>
    <w:rsid w:val="00EF745B"/>
    <w:rsid w:val="00EF7A7E"/>
    <w:rsid w:val="00EF7D29"/>
    <w:rsid w:val="00F00DA1"/>
    <w:rsid w:val="00F012AB"/>
    <w:rsid w:val="00F013FD"/>
    <w:rsid w:val="00F019DC"/>
    <w:rsid w:val="00F01A82"/>
    <w:rsid w:val="00F01D06"/>
    <w:rsid w:val="00F03D4B"/>
    <w:rsid w:val="00F05782"/>
    <w:rsid w:val="00F05A10"/>
    <w:rsid w:val="00F05A97"/>
    <w:rsid w:val="00F06025"/>
    <w:rsid w:val="00F06564"/>
    <w:rsid w:val="00F12144"/>
    <w:rsid w:val="00F12246"/>
    <w:rsid w:val="00F12308"/>
    <w:rsid w:val="00F12B0A"/>
    <w:rsid w:val="00F148B8"/>
    <w:rsid w:val="00F14A48"/>
    <w:rsid w:val="00F14FE9"/>
    <w:rsid w:val="00F15020"/>
    <w:rsid w:val="00F1516A"/>
    <w:rsid w:val="00F1526A"/>
    <w:rsid w:val="00F15562"/>
    <w:rsid w:val="00F1737D"/>
    <w:rsid w:val="00F17903"/>
    <w:rsid w:val="00F17FDD"/>
    <w:rsid w:val="00F204FC"/>
    <w:rsid w:val="00F20FE3"/>
    <w:rsid w:val="00F21835"/>
    <w:rsid w:val="00F225BB"/>
    <w:rsid w:val="00F22FA9"/>
    <w:rsid w:val="00F241ED"/>
    <w:rsid w:val="00F247AF"/>
    <w:rsid w:val="00F2518C"/>
    <w:rsid w:val="00F25FD8"/>
    <w:rsid w:val="00F26E9B"/>
    <w:rsid w:val="00F27B8A"/>
    <w:rsid w:val="00F27DD4"/>
    <w:rsid w:val="00F303B6"/>
    <w:rsid w:val="00F30CCA"/>
    <w:rsid w:val="00F30EC9"/>
    <w:rsid w:val="00F312DB"/>
    <w:rsid w:val="00F31C6D"/>
    <w:rsid w:val="00F32CB8"/>
    <w:rsid w:val="00F3368E"/>
    <w:rsid w:val="00F342F1"/>
    <w:rsid w:val="00F342F8"/>
    <w:rsid w:val="00F34652"/>
    <w:rsid w:val="00F350A9"/>
    <w:rsid w:val="00F36100"/>
    <w:rsid w:val="00F36205"/>
    <w:rsid w:val="00F36A0B"/>
    <w:rsid w:val="00F36F80"/>
    <w:rsid w:val="00F37882"/>
    <w:rsid w:val="00F37BB9"/>
    <w:rsid w:val="00F4023E"/>
    <w:rsid w:val="00F404F3"/>
    <w:rsid w:val="00F40BB8"/>
    <w:rsid w:val="00F4105F"/>
    <w:rsid w:val="00F410CB"/>
    <w:rsid w:val="00F4164B"/>
    <w:rsid w:val="00F4199A"/>
    <w:rsid w:val="00F42381"/>
    <w:rsid w:val="00F42497"/>
    <w:rsid w:val="00F43050"/>
    <w:rsid w:val="00F43127"/>
    <w:rsid w:val="00F44930"/>
    <w:rsid w:val="00F449C1"/>
    <w:rsid w:val="00F44CD9"/>
    <w:rsid w:val="00F4526C"/>
    <w:rsid w:val="00F453CD"/>
    <w:rsid w:val="00F45D9E"/>
    <w:rsid w:val="00F46333"/>
    <w:rsid w:val="00F475E9"/>
    <w:rsid w:val="00F47627"/>
    <w:rsid w:val="00F47C79"/>
    <w:rsid w:val="00F50907"/>
    <w:rsid w:val="00F50D56"/>
    <w:rsid w:val="00F51921"/>
    <w:rsid w:val="00F51CB8"/>
    <w:rsid w:val="00F52B69"/>
    <w:rsid w:val="00F5366E"/>
    <w:rsid w:val="00F53833"/>
    <w:rsid w:val="00F54301"/>
    <w:rsid w:val="00F551FB"/>
    <w:rsid w:val="00F55726"/>
    <w:rsid w:val="00F55975"/>
    <w:rsid w:val="00F55979"/>
    <w:rsid w:val="00F55ABD"/>
    <w:rsid w:val="00F56E96"/>
    <w:rsid w:val="00F573B2"/>
    <w:rsid w:val="00F57A73"/>
    <w:rsid w:val="00F57C35"/>
    <w:rsid w:val="00F57C96"/>
    <w:rsid w:val="00F60632"/>
    <w:rsid w:val="00F60C9F"/>
    <w:rsid w:val="00F6119F"/>
    <w:rsid w:val="00F61700"/>
    <w:rsid w:val="00F61799"/>
    <w:rsid w:val="00F61BFC"/>
    <w:rsid w:val="00F6229E"/>
    <w:rsid w:val="00F62E9E"/>
    <w:rsid w:val="00F630B3"/>
    <w:rsid w:val="00F63F66"/>
    <w:rsid w:val="00F64136"/>
    <w:rsid w:val="00F647E1"/>
    <w:rsid w:val="00F65FB6"/>
    <w:rsid w:val="00F6643D"/>
    <w:rsid w:val="00F664CD"/>
    <w:rsid w:val="00F6654B"/>
    <w:rsid w:val="00F66903"/>
    <w:rsid w:val="00F674CF"/>
    <w:rsid w:val="00F67529"/>
    <w:rsid w:val="00F67916"/>
    <w:rsid w:val="00F679B4"/>
    <w:rsid w:val="00F67D8C"/>
    <w:rsid w:val="00F706E9"/>
    <w:rsid w:val="00F7233A"/>
    <w:rsid w:val="00F72E3B"/>
    <w:rsid w:val="00F732CD"/>
    <w:rsid w:val="00F73C4E"/>
    <w:rsid w:val="00F74777"/>
    <w:rsid w:val="00F74C03"/>
    <w:rsid w:val="00F7555E"/>
    <w:rsid w:val="00F760F9"/>
    <w:rsid w:val="00F76D37"/>
    <w:rsid w:val="00F7704F"/>
    <w:rsid w:val="00F77649"/>
    <w:rsid w:val="00F7769A"/>
    <w:rsid w:val="00F77927"/>
    <w:rsid w:val="00F77D38"/>
    <w:rsid w:val="00F8075B"/>
    <w:rsid w:val="00F8108B"/>
    <w:rsid w:val="00F81705"/>
    <w:rsid w:val="00F817BF"/>
    <w:rsid w:val="00F81C60"/>
    <w:rsid w:val="00F81F44"/>
    <w:rsid w:val="00F824C0"/>
    <w:rsid w:val="00F82539"/>
    <w:rsid w:val="00F82992"/>
    <w:rsid w:val="00F83064"/>
    <w:rsid w:val="00F8309C"/>
    <w:rsid w:val="00F832CF"/>
    <w:rsid w:val="00F83479"/>
    <w:rsid w:val="00F83AD9"/>
    <w:rsid w:val="00F840E9"/>
    <w:rsid w:val="00F84B64"/>
    <w:rsid w:val="00F84BC2"/>
    <w:rsid w:val="00F84C50"/>
    <w:rsid w:val="00F85F64"/>
    <w:rsid w:val="00F86574"/>
    <w:rsid w:val="00F865D1"/>
    <w:rsid w:val="00F87BB7"/>
    <w:rsid w:val="00F87C16"/>
    <w:rsid w:val="00F901C5"/>
    <w:rsid w:val="00F901E3"/>
    <w:rsid w:val="00F90DCD"/>
    <w:rsid w:val="00F91C3C"/>
    <w:rsid w:val="00F92ACE"/>
    <w:rsid w:val="00F92F27"/>
    <w:rsid w:val="00F9423E"/>
    <w:rsid w:val="00F94244"/>
    <w:rsid w:val="00F94C4C"/>
    <w:rsid w:val="00F94E7E"/>
    <w:rsid w:val="00F95D3C"/>
    <w:rsid w:val="00F961B1"/>
    <w:rsid w:val="00F97C20"/>
    <w:rsid w:val="00F97F8C"/>
    <w:rsid w:val="00F97F9E"/>
    <w:rsid w:val="00FA06DC"/>
    <w:rsid w:val="00FA159C"/>
    <w:rsid w:val="00FA16E2"/>
    <w:rsid w:val="00FA1948"/>
    <w:rsid w:val="00FA2EDF"/>
    <w:rsid w:val="00FA466B"/>
    <w:rsid w:val="00FA5CFF"/>
    <w:rsid w:val="00FA7527"/>
    <w:rsid w:val="00FA79BC"/>
    <w:rsid w:val="00FB01D3"/>
    <w:rsid w:val="00FB0605"/>
    <w:rsid w:val="00FB0BCF"/>
    <w:rsid w:val="00FB10A4"/>
    <w:rsid w:val="00FB11D1"/>
    <w:rsid w:val="00FB13B8"/>
    <w:rsid w:val="00FB3018"/>
    <w:rsid w:val="00FB310E"/>
    <w:rsid w:val="00FB4518"/>
    <w:rsid w:val="00FB4A4F"/>
    <w:rsid w:val="00FB4D74"/>
    <w:rsid w:val="00FB515E"/>
    <w:rsid w:val="00FB5608"/>
    <w:rsid w:val="00FB5943"/>
    <w:rsid w:val="00FB5C6E"/>
    <w:rsid w:val="00FB6796"/>
    <w:rsid w:val="00FB6B91"/>
    <w:rsid w:val="00FB6BD3"/>
    <w:rsid w:val="00FB6BD7"/>
    <w:rsid w:val="00FB7258"/>
    <w:rsid w:val="00FB7449"/>
    <w:rsid w:val="00FB798A"/>
    <w:rsid w:val="00FC0E4F"/>
    <w:rsid w:val="00FC10FC"/>
    <w:rsid w:val="00FC12CA"/>
    <w:rsid w:val="00FC17AF"/>
    <w:rsid w:val="00FC1AD4"/>
    <w:rsid w:val="00FC1B01"/>
    <w:rsid w:val="00FC2BFF"/>
    <w:rsid w:val="00FC3E13"/>
    <w:rsid w:val="00FC3E8F"/>
    <w:rsid w:val="00FC42BE"/>
    <w:rsid w:val="00FC5EF5"/>
    <w:rsid w:val="00FC654F"/>
    <w:rsid w:val="00FC7026"/>
    <w:rsid w:val="00FC717F"/>
    <w:rsid w:val="00FD111B"/>
    <w:rsid w:val="00FD243E"/>
    <w:rsid w:val="00FD261D"/>
    <w:rsid w:val="00FD26ED"/>
    <w:rsid w:val="00FD2B3F"/>
    <w:rsid w:val="00FD3BCB"/>
    <w:rsid w:val="00FD4553"/>
    <w:rsid w:val="00FD5171"/>
    <w:rsid w:val="00FD52F5"/>
    <w:rsid w:val="00FD554C"/>
    <w:rsid w:val="00FD5B1B"/>
    <w:rsid w:val="00FD624A"/>
    <w:rsid w:val="00FD641F"/>
    <w:rsid w:val="00FD65EE"/>
    <w:rsid w:val="00FD67ED"/>
    <w:rsid w:val="00FD6B5D"/>
    <w:rsid w:val="00FD6CED"/>
    <w:rsid w:val="00FD6E5A"/>
    <w:rsid w:val="00FD6F61"/>
    <w:rsid w:val="00FD7A38"/>
    <w:rsid w:val="00FD7BFF"/>
    <w:rsid w:val="00FE0570"/>
    <w:rsid w:val="00FE0E63"/>
    <w:rsid w:val="00FE12CC"/>
    <w:rsid w:val="00FE13BF"/>
    <w:rsid w:val="00FE1637"/>
    <w:rsid w:val="00FE1B75"/>
    <w:rsid w:val="00FE25A6"/>
    <w:rsid w:val="00FE2AFB"/>
    <w:rsid w:val="00FE3047"/>
    <w:rsid w:val="00FE3486"/>
    <w:rsid w:val="00FE367E"/>
    <w:rsid w:val="00FE420D"/>
    <w:rsid w:val="00FE446B"/>
    <w:rsid w:val="00FE4929"/>
    <w:rsid w:val="00FE519E"/>
    <w:rsid w:val="00FE5902"/>
    <w:rsid w:val="00FE5928"/>
    <w:rsid w:val="00FE5C8F"/>
    <w:rsid w:val="00FE623C"/>
    <w:rsid w:val="00FE6B75"/>
    <w:rsid w:val="00FE78E2"/>
    <w:rsid w:val="00FE7C0F"/>
    <w:rsid w:val="00FF03FE"/>
    <w:rsid w:val="00FF1317"/>
    <w:rsid w:val="00FF14AC"/>
    <w:rsid w:val="00FF24B6"/>
    <w:rsid w:val="00FF2D2B"/>
    <w:rsid w:val="00FF2DF4"/>
    <w:rsid w:val="00FF349C"/>
    <w:rsid w:val="00FF356D"/>
    <w:rsid w:val="00FF3D64"/>
    <w:rsid w:val="00FF4598"/>
    <w:rsid w:val="00FF4C76"/>
    <w:rsid w:val="00FF5280"/>
    <w:rsid w:val="00FF5697"/>
    <w:rsid w:val="00FF5EAF"/>
    <w:rsid w:val="00FF632E"/>
    <w:rsid w:val="00FF7628"/>
    <w:rsid w:val="00FF7693"/>
    <w:rsid w:val="00FF77A0"/>
    <w:rsid w:val="0607158B"/>
    <w:rsid w:val="0A6F718C"/>
    <w:rsid w:val="1127033D"/>
    <w:rsid w:val="12731626"/>
    <w:rsid w:val="1CB83294"/>
    <w:rsid w:val="2DD60748"/>
    <w:rsid w:val="3AC37FF8"/>
    <w:rsid w:val="4DC71AF0"/>
    <w:rsid w:val="57E1BC9A"/>
    <w:rsid w:val="5B3E47B9"/>
    <w:rsid w:val="615FA82C"/>
    <w:rsid w:val="62812C8D"/>
    <w:rsid w:val="676BA250"/>
    <w:rsid w:val="68000B7C"/>
    <w:rsid w:val="7B556D0A"/>
    <w:rsid w:val="7BEE95FE"/>
    <w:rsid w:val="7D9B7846"/>
    <w:rsid w:val="7F7BEB7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8E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55A31"/>
    <w:pPr>
      <w:spacing w:before="120" w:line="240" w:lineRule="auto"/>
    </w:pPr>
    <w:rPr>
      <w:rFonts w:ascii="VIC" w:eastAsia="Times New Roman" w:hAnsi="VIC" w:cs="Times New Roman"/>
      <w:color w:val="53565A"/>
      <w:sz w:val="18"/>
      <w:szCs w:val="20"/>
    </w:rPr>
  </w:style>
  <w:style w:type="paragraph" w:styleId="Heading1">
    <w:name w:val="heading 1"/>
    <w:basedOn w:val="Normal"/>
    <w:next w:val="Normal"/>
    <w:link w:val="Heading1Char"/>
    <w:uiPriority w:val="9"/>
    <w:qFormat/>
    <w:rsid w:val="00C91A54"/>
    <w:pPr>
      <w:keepNext/>
      <w:keepLines/>
      <w:numPr>
        <w:numId w:val="2"/>
      </w:numPr>
      <w:spacing w:before="520" w:after="480"/>
      <w:outlineLvl w:val="0"/>
    </w:pPr>
    <w:rPr>
      <w:b/>
      <w:bCs/>
      <w:color w:val="AF272F"/>
      <w:sz w:val="36"/>
      <w:szCs w:val="32"/>
    </w:rPr>
  </w:style>
  <w:style w:type="paragraph" w:styleId="Heading2">
    <w:name w:val="heading 2"/>
    <w:basedOn w:val="Normal"/>
    <w:next w:val="Normal"/>
    <w:link w:val="Heading2Char"/>
    <w:uiPriority w:val="9"/>
    <w:qFormat/>
    <w:rsid w:val="00502746"/>
    <w:pPr>
      <w:keepNext/>
      <w:keepLines/>
      <w:numPr>
        <w:ilvl w:val="1"/>
        <w:numId w:val="2"/>
      </w:numPr>
      <w:spacing w:before="400"/>
      <w:outlineLvl w:val="1"/>
    </w:pPr>
    <w:rPr>
      <w:bCs/>
      <w:color w:val="D51F35"/>
      <w:sz w:val="28"/>
      <w:szCs w:val="26"/>
    </w:rPr>
  </w:style>
  <w:style w:type="paragraph" w:styleId="Heading3">
    <w:name w:val="heading 3"/>
    <w:basedOn w:val="Normal"/>
    <w:next w:val="Normal"/>
    <w:link w:val="Heading3Char"/>
    <w:uiPriority w:val="9"/>
    <w:qFormat/>
    <w:rsid w:val="00502746"/>
    <w:pPr>
      <w:keepNext/>
      <w:keepLines/>
      <w:numPr>
        <w:ilvl w:val="2"/>
        <w:numId w:val="2"/>
      </w:numPr>
      <w:spacing w:before="320" w:after="160"/>
      <w:outlineLvl w:val="2"/>
    </w:pPr>
    <w:rPr>
      <w:b/>
      <w:bCs/>
      <w:sz w:val="22"/>
    </w:rPr>
  </w:style>
  <w:style w:type="paragraph" w:styleId="Heading4">
    <w:name w:val="heading 4"/>
    <w:basedOn w:val="Normal"/>
    <w:next w:val="Normal"/>
    <w:link w:val="Heading4Char"/>
    <w:uiPriority w:val="9"/>
    <w:unhideWhenUsed/>
    <w:rsid w:val="006B778A"/>
    <w:pPr>
      <w:keepNext/>
      <w:keepLines/>
      <w:numPr>
        <w:ilvl w:val="3"/>
        <w:numId w:val="2"/>
      </w:numPr>
      <w:spacing w:before="280" w:after="0"/>
      <w:outlineLvl w:val="3"/>
    </w:pPr>
    <w:rPr>
      <w:rFonts w:eastAsiaTheme="majorEastAsia" w:cstheme="majorBidi"/>
      <w:b/>
      <w:bCs/>
      <w:iCs/>
      <w:color w:val="201547" w:themeColor="text1"/>
    </w:rPr>
  </w:style>
  <w:style w:type="paragraph" w:styleId="Heading5">
    <w:name w:val="heading 5"/>
    <w:basedOn w:val="Normal"/>
    <w:next w:val="Normal"/>
    <w:link w:val="Heading5Char"/>
    <w:uiPriority w:val="9"/>
    <w:unhideWhenUsed/>
    <w:rsid w:val="00892F06"/>
    <w:pPr>
      <w:keepNext/>
      <w:keepLines/>
      <w:numPr>
        <w:ilvl w:val="4"/>
        <w:numId w:val="2"/>
      </w:numPr>
      <w:spacing w:before="280" w:after="0"/>
      <w:outlineLvl w:val="4"/>
    </w:pPr>
    <w:rPr>
      <w:rFonts w:eastAsiaTheme="majorEastAsia" w:cstheme="majorBidi"/>
      <w:color w:val="201547" w:themeColor="text1"/>
    </w:rPr>
  </w:style>
  <w:style w:type="paragraph" w:styleId="Heading6">
    <w:name w:val="heading 6"/>
    <w:basedOn w:val="Normal"/>
    <w:next w:val="Normal"/>
    <w:link w:val="Heading6Char"/>
    <w:uiPriority w:val="9"/>
    <w:semiHidden/>
    <w:unhideWhenUsed/>
    <w:qFormat/>
    <w:rsid w:val="00502746"/>
    <w:pPr>
      <w:keepNext/>
      <w:keepLines/>
      <w:numPr>
        <w:ilvl w:val="5"/>
        <w:numId w:val="2"/>
      </w:numPr>
      <w:spacing w:before="200" w:after="0"/>
      <w:outlineLvl w:val="5"/>
    </w:pPr>
    <w:rPr>
      <w:rFonts w:asciiTheme="majorHAnsi" w:eastAsiaTheme="majorEastAsia" w:hAnsiTheme="majorHAnsi" w:cstheme="majorBidi"/>
      <w:i/>
      <w:iCs/>
      <w:color w:val="AF272F"/>
    </w:rPr>
  </w:style>
  <w:style w:type="paragraph" w:styleId="Heading7">
    <w:name w:val="heading 7"/>
    <w:basedOn w:val="Normal"/>
    <w:next w:val="Normal"/>
    <w:link w:val="Heading7Char"/>
    <w:uiPriority w:val="9"/>
    <w:semiHidden/>
    <w:unhideWhenUsed/>
    <w:qFormat/>
    <w:rsid w:val="00DB0DED"/>
    <w:pPr>
      <w:keepNext/>
      <w:keepLines/>
      <w:numPr>
        <w:ilvl w:val="6"/>
        <w:numId w:val="2"/>
      </w:numPr>
      <w:spacing w:before="200" w:after="0"/>
      <w:outlineLvl w:val="6"/>
    </w:pPr>
    <w:rPr>
      <w:rFonts w:asciiTheme="majorHAnsi" w:eastAsiaTheme="majorEastAsia" w:hAnsiTheme="majorHAnsi" w:cstheme="majorBidi"/>
      <w:i/>
      <w:iCs/>
      <w:color w:val="442D97" w:themeColor="text1" w:themeTint="BF"/>
    </w:rPr>
  </w:style>
  <w:style w:type="paragraph" w:styleId="Heading8">
    <w:name w:val="heading 8"/>
    <w:basedOn w:val="Normal"/>
    <w:next w:val="Normal"/>
    <w:link w:val="Heading8Char"/>
    <w:uiPriority w:val="9"/>
    <w:semiHidden/>
    <w:unhideWhenUsed/>
    <w:qFormat/>
    <w:rsid w:val="00DB0DED"/>
    <w:pPr>
      <w:keepNext/>
      <w:keepLines/>
      <w:numPr>
        <w:ilvl w:val="7"/>
        <w:numId w:val="2"/>
      </w:numPr>
      <w:spacing w:before="200" w:after="0"/>
      <w:outlineLvl w:val="7"/>
    </w:pPr>
    <w:rPr>
      <w:rFonts w:asciiTheme="majorHAnsi" w:eastAsiaTheme="majorEastAsia" w:hAnsiTheme="majorHAnsi" w:cstheme="majorBidi"/>
      <w:color w:val="442D97" w:themeColor="text1" w:themeTint="BF"/>
    </w:rPr>
  </w:style>
  <w:style w:type="paragraph" w:styleId="Heading9">
    <w:name w:val="heading 9"/>
    <w:basedOn w:val="Normal"/>
    <w:next w:val="Normal"/>
    <w:link w:val="Heading9Char"/>
    <w:uiPriority w:val="9"/>
    <w:semiHidden/>
    <w:unhideWhenUsed/>
    <w:qFormat/>
    <w:rsid w:val="00DB0DED"/>
    <w:pPr>
      <w:keepNext/>
      <w:keepLines/>
      <w:numPr>
        <w:ilvl w:val="8"/>
        <w:numId w:val="2"/>
      </w:numPr>
      <w:spacing w:before="200" w:after="0"/>
      <w:outlineLvl w:val="8"/>
    </w:pPr>
    <w:rPr>
      <w:rFonts w:asciiTheme="majorHAnsi" w:eastAsiaTheme="majorEastAsia" w:hAnsiTheme="majorHAnsi" w:cstheme="majorBidi"/>
      <w:i/>
      <w:iCs/>
      <w:color w:val="442D97"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746"/>
    <w:rPr>
      <w:rFonts w:ascii="Arial" w:eastAsia="Times New Roman" w:hAnsi="Arial" w:cs="Times New Roman"/>
      <w:b/>
      <w:bCs/>
      <w:color w:val="AF272F"/>
      <w:sz w:val="36"/>
      <w:szCs w:val="32"/>
    </w:rPr>
  </w:style>
  <w:style w:type="character" w:customStyle="1" w:styleId="Heading2Char">
    <w:name w:val="Heading 2 Char"/>
    <w:basedOn w:val="DefaultParagraphFont"/>
    <w:link w:val="Heading2"/>
    <w:uiPriority w:val="9"/>
    <w:rsid w:val="00502746"/>
    <w:rPr>
      <w:rFonts w:ascii="Arial" w:eastAsia="Times New Roman" w:hAnsi="Arial" w:cs="Times New Roman"/>
      <w:bCs/>
      <w:color w:val="D51F35"/>
      <w:sz w:val="28"/>
      <w:szCs w:val="26"/>
    </w:rPr>
  </w:style>
  <w:style w:type="character" w:customStyle="1" w:styleId="Heading3Char">
    <w:name w:val="Heading 3 Char"/>
    <w:basedOn w:val="DefaultParagraphFont"/>
    <w:link w:val="Heading3"/>
    <w:uiPriority w:val="9"/>
    <w:rsid w:val="00502746"/>
    <w:rPr>
      <w:rFonts w:ascii="Arial" w:eastAsia="Times New Roman" w:hAnsi="Arial" w:cs="Times New Roman"/>
      <w:b/>
      <w:bCs/>
      <w:color w:val="53565A"/>
      <w:szCs w:val="20"/>
    </w:rPr>
  </w:style>
  <w:style w:type="character" w:styleId="FollowedHyperlink">
    <w:name w:val="FollowedHyperlink"/>
    <w:basedOn w:val="DefaultParagraphFont"/>
    <w:semiHidden/>
    <w:unhideWhenUsed/>
    <w:rsid w:val="00E02831"/>
    <w:rPr>
      <w:color w:val="88DBDF" w:themeColor="followedHyperlink"/>
      <w:u w:val="single"/>
    </w:rPr>
  </w:style>
  <w:style w:type="paragraph" w:styleId="Footer">
    <w:name w:val="footer"/>
    <w:basedOn w:val="Normal"/>
    <w:link w:val="FooterChar"/>
    <w:uiPriority w:val="99"/>
    <w:rsid w:val="00135B6F"/>
    <w:pPr>
      <w:tabs>
        <w:tab w:val="center" w:pos="4320"/>
        <w:tab w:val="right" w:pos="8640"/>
      </w:tabs>
    </w:pPr>
  </w:style>
  <w:style w:type="character" w:customStyle="1" w:styleId="FooterChar">
    <w:name w:val="Footer Char"/>
    <w:basedOn w:val="DefaultParagraphFont"/>
    <w:link w:val="Footer"/>
    <w:uiPriority w:val="99"/>
    <w:rsid w:val="00135B6F"/>
    <w:rPr>
      <w:rFonts w:ascii="Arial" w:eastAsia="Times New Roman" w:hAnsi="Arial" w:cs="Times New Roman"/>
      <w:sz w:val="20"/>
      <w:szCs w:val="20"/>
    </w:rPr>
  </w:style>
  <w:style w:type="paragraph" w:styleId="Header">
    <w:name w:val="header"/>
    <w:basedOn w:val="Normal"/>
    <w:link w:val="HeaderChar"/>
    <w:uiPriority w:val="99"/>
    <w:unhideWhenUsed/>
    <w:rsid w:val="00135B6F"/>
    <w:pPr>
      <w:tabs>
        <w:tab w:val="center" w:pos="4320"/>
        <w:tab w:val="right" w:pos="8640"/>
      </w:tabs>
      <w:spacing w:before="0" w:after="0"/>
    </w:pPr>
  </w:style>
  <w:style w:type="character" w:customStyle="1" w:styleId="HeaderChar">
    <w:name w:val="Header Char"/>
    <w:basedOn w:val="DefaultParagraphFont"/>
    <w:link w:val="Header"/>
    <w:uiPriority w:val="99"/>
    <w:rsid w:val="00135B6F"/>
    <w:rPr>
      <w:rFonts w:ascii="Arial" w:eastAsia="Times New Roman" w:hAnsi="Arial" w:cs="Times New Roman"/>
      <w:sz w:val="20"/>
      <w:szCs w:val="20"/>
    </w:rPr>
  </w:style>
  <w:style w:type="character" w:styleId="Hyperlink">
    <w:name w:val="Hyperlink"/>
    <w:basedOn w:val="DefaultParagraphFont"/>
    <w:uiPriority w:val="99"/>
    <w:unhideWhenUsed/>
    <w:rsid w:val="00AB1D65"/>
    <w:rPr>
      <w:color w:val="5236B7" w:themeColor="text1" w:themeTint="A6"/>
      <w:u w:val="single"/>
    </w:rPr>
  </w:style>
  <w:style w:type="character" w:styleId="PageNumber">
    <w:name w:val="page number"/>
    <w:uiPriority w:val="99"/>
    <w:unhideWhenUsed/>
    <w:rsid w:val="00921A00"/>
    <w:rPr>
      <w:sz w:val="16"/>
      <w:szCs w:val="16"/>
    </w:rPr>
  </w:style>
  <w:style w:type="character" w:customStyle="1" w:styleId="Heading4Char">
    <w:name w:val="Heading 4 Char"/>
    <w:basedOn w:val="DefaultParagraphFont"/>
    <w:link w:val="Heading4"/>
    <w:uiPriority w:val="9"/>
    <w:rsid w:val="006B778A"/>
    <w:rPr>
      <w:rFonts w:ascii="Arial" w:eastAsiaTheme="majorEastAsia" w:hAnsi="Arial" w:cstheme="majorBidi"/>
      <w:b/>
      <w:bCs/>
      <w:iCs/>
      <w:color w:val="201547" w:themeColor="text1"/>
      <w:sz w:val="18"/>
      <w:szCs w:val="20"/>
    </w:rPr>
  </w:style>
  <w:style w:type="paragraph" w:styleId="BalloonText">
    <w:name w:val="Balloon Text"/>
    <w:basedOn w:val="Normal"/>
    <w:link w:val="BalloonTextChar"/>
    <w:uiPriority w:val="99"/>
    <w:semiHidden/>
    <w:unhideWhenUsed/>
    <w:rsid w:val="009E692C"/>
    <w:pPr>
      <w:spacing w:before="0" w:after="0"/>
    </w:pPr>
    <w:rPr>
      <w:rFonts w:cs="Tahoma"/>
      <w:sz w:val="16"/>
      <w:szCs w:val="16"/>
    </w:rPr>
  </w:style>
  <w:style w:type="character" w:customStyle="1" w:styleId="BalloonTextChar">
    <w:name w:val="Balloon Text Char"/>
    <w:basedOn w:val="DefaultParagraphFont"/>
    <w:link w:val="BalloonText"/>
    <w:uiPriority w:val="99"/>
    <w:semiHidden/>
    <w:rsid w:val="009E692C"/>
    <w:rPr>
      <w:rFonts w:ascii="Tahoma" w:eastAsia="Times New Roman" w:hAnsi="Tahoma" w:cs="Tahoma"/>
      <w:sz w:val="16"/>
      <w:szCs w:val="16"/>
    </w:rPr>
  </w:style>
  <w:style w:type="paragraph" w:styleId="TOCHeading">
    <w:name w:val="TOC Heading"/>
    <w:basedOn w:val="Normal"/>
    <w:next w:val="Normal"/>
    <w:uiPriority w:val="39"/>
    <w:unhideWhenUsed/>
    <w:qFormat/>
    <w:rsid w:val="00502746"/>
    <w:pPr>
      <w:spacing w:before="0" w:after="400"/>
    </w:pPr>
    <w:rPr>
      <w:b/>
      <w:caps/>
      <w:sz w:val="36"/>
      <w:szCs w:val="48"/>
    </w:rPr>
  </w:style>
  <w:style w:type="character" w:customStyle="1" w:styleId="Heading5Char">
    <w:name w:val="Heading 5 Char"/>
    <w:basedOn w:val="DefaultParagraphFont"/>
    <w:link w:val="Heading5"/>
    <w:uiPriority w:val="9"/>
    <w:rsid w:val="00892F06"/>
    <w:rPr>
      <w:rFonts w:ascii="Arial" w:eastAsiaTheme="majorEastAsia" w:hAnsi="Arial" w:cstheme="majorBidi"/>
      <w:color w:val="201547" w:themeColor="text1"/>
      <w:sz w:val="18"/>
      <w:szCs w:val="20"/>
    </w:rPr>
  </w:style>
  <w:style w:type="character" w:customStyle="1" w:styleId="Heading6Char">
    <w:name w:val="Heading 6 Char"/>
    <w:basedOn w:val="DefaultParagraphFont"/>
    <w:link w:val="Heading6"/>
    <w:uiPriority w:val="9"/>
    <w:semiHidden/>
    <w:rsid w:val="00502746"/>
    <w:rPr>
      <w:rFonts w:asciiTheme="majorHAnsi" w:eastAsiaTheme="majorEastAsia" w:hAnsiTheme="majorHAnsi" w:cstheme="majorBidi"/>
      <w:i/>
      <w:iCs/>
      <w:color w:val="AF272F"/>
      <w:sz w:val="18"/>
      <w:szCs w:val="20"/>
    </w:rPr>
  </w:style>
  <w:style w:type="character" w:customStyle="1" w:styleId="Heading7Char">
    <w:name w:val="Heading 7 Char"/>
    <w:basedOn w:val="DefaultParagraphFont"/>
    <w:link w:val="Heading7"/>
    <w:uiPriority w:val="9"/>
    <w:semiHidden/>
    <w:rsid w:val="00DB0DED"/>
    <w:rPr>
      <w:rFonts w:asciiTheme="majorHAnsi" w:eastAsiaTheme="majorEastAsia" w:hAnsiTheme="majorHAnsi" w:cstheme="majorBidi"/>
      <w:i/>
      <w:iCs/>
      <w:color w:val="442D97" w:themeColor="text1" w:themeTint="BF"/>
      <w:sz w:val="18"/>
      <w:szCs w:val="20"/>
    </w:rPr>
  </w:style>
  <w:style w:type="character" w:customStyle="1" w:styleId="Heading8Char">
    <w:name w:val="Heading 8 Char"/>
    <w:basedOn w:val="DefaultParagraphFont"/>
    <w:link w:val="Heading8"/>
    <w:uiPriority w:val="9"/>
    <w:semiHidden/>
    <w:rsid w:val="00DB0DED"/>
    <w:rPr>
      <w:rFonts w:asciiTheme="majorHAnsi" w:eastAsiaTheme="majorEastAsia" w:hAnsiTheme="majorHAnsi" w:cstheme="majorBidi"/>
      <w:color w:val="442D97" w:themeColor="text1" w:themeTint="BF"/>
      <w:sz w:val="18"/>
      <w:szCs w:val="20"/>
    </w:rPr>
  </w:style>
  <w:style w:type="character" w:customStyle="1" w:styleId="Heading9Char">
    <w:name w:val="Heading 9 Char"/>
    <w:basedOn w:val="DefaultParagraphFont"/>
    <w:link w:val="Heading9"/>
    <w:uiPriority w:val="9"/>
    <w:semiHidden/>
    <w:rsid w:val="00DB0DED"/>
    <w:rPr>
      <w:rFonts w:asciiTheme="majorHAnsi" w:eastAsiaTheme="majorEastAsia" w:hAnsiTheme="majorHAnsi" w:cstheme="majorBidi"/>
      <w:i/>
      <w:iCs/>
      <w:color w:val="442D97" w:themeColor="text1" w:themeTint="BF"/>
      <w:sz w:val="18"/>
      <w:szCs w:val="20"/>
    </w:rPr>
  </w:style>
  <w:style w:type="table" w:styleId="TableGrid">
    <w:name w:val="Table Grid"/>
    <w:basedOn w:val="TableNormal"/>
    <w:uiPriority w:val="59"/>
    <w:rsid w:val="0080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T1">
    <w:name w:val="DOT 1"/>
    <w:basedOn w:val="TableNormal"/>
    <w:uiPriority w:val="99"/>
    <w:rsid w:val="00D729FA"/>
    <w:pPr>
      <w:spacing w:after="0" w:line="240" w:lineRule="auto"/>
    </w:pPr>
    <w:rPr>
      <w:rFonts w:ascii="Arial" w:hAnsi="Arial"/>
      <w:sz w:val="20"/>
    </w:rPr>
    <w:tblP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Pr>
    <w:tcPr>
      <w:shd w:val="clear" w:color="auto" w:fill="auto"/>
    </w:tcPr>
    <w:tblStylePr w:type="firstRow">
      <w:pPr>
        <w:jc w:val="left"/>
      </w:pPr>
      <w:rPr>
        <w:rFonts w:ascii="Arial" w:hAnsi="Arial"/>
        <w:b/>
        <w:sz w:val="22"/>
      </w:rPr>
      <w:tblPr/>
      <w:tcPr>
        <w:shd w:val="clear" w:color="auto" w:fill="D9D9D6" w:themeFill="background2"/>
      </w:tcPr>
    </w:tblStylePr>
    <w:tblStylePr w:type="firstCol">
      <w:rPr>
        <w:rFonts w:ascii="Arial" w:hAnsi="Arial"/>
        <w:b/>
        <w:sz w:val="20"/>
      </w:rPr>
    </w:tblStylePr>
  </w:style>
  <w:style w:type="table" w:styleId="LightShading">
    <w:name w:val="Light Shading"/>
    <w:basedOn w:val="TableNormal"/>
    <w:uiPriority w:val="60"/>
    <w:rsid w:val="008027EC"/>
    <w:pPr>
      <w:spacing w:after="0" w:line="240" w:lineRule="auto"/>
    </w:pPr>
    <w:rPr>
      <w:color w:val="170F34" w:themeColor="text1" w:themeShade="BF"/>
    </w:rPr>
    <w:tblPr>
      <w:tblStyleRowBandSize w:val="1"/>
      <w:tblStyleColBandSize w:val="1"/>
      <w:tblBorders>
        <w:top w:val="single" w:sz="8" w:space="0" w:color="201547" w:themeColor="text1"/>
        <w:bottom w:val="single" w:sz="8" w:space="0" w:color="201547" w:themeColor="text1"/>
      </w:tblBorders>
    </w:tblPr>
    <w:tblStylePr w:type="firstRow">
      <w:pPr>
        <w:spacing w:before="0" w:after="0" w:line="240" w:lineRule="auto"/>
      </w:pPr>
      <w:rPr>
        <w:b/>
        <w:bCs/>
      </w:rPr>
      <w:tblPr/>
      <w:tcPr>
        <w:tcBorders>
          <w:top w:val="single" w:sz="8" w:space="0" w:color="201547" w:themeColor="text1"/>
          <w:left w:val="nil"/>
          <w:bottom w:val="single" w:sz="8" w:space="0" w:color="201547" w:themeColor="text1"/>
          <w:right w:val="nil"/>
          <w:insideH w:val="nil"/>
          <w:insideV w:val="nil"/>
        </w:tcBorders>
      </w:tcPr>
    </w:tblStylePr>
    <w:tblStylePr w:type="lastRow">
      <w:pPr>
        <w:spacing w:before="0" w:after="0" w:line="240" w:lineRule="auto"/>
      </w:pPr>
      <w:rPr>
        <w:b/>
        <w:bCs/>
      </w:rPr>
      <w:tblPr/>
      <w:tcPr>
        <w:tcBorders>
          <w:top w:val="single" w:sz="8" w:space="0" w:color="201547" w:themeColor="text1"/>
          <w:left w:val="nil"/>
          <w:bottom w:val="single" w:sz="8" w:space="0" w:color="2015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text1" w:themeFillTint="3F"/>
      </w:tcPr>
    </w:tblStylePr>
    <w:tblStylePr w:type="band1Horz">
      <w:tblPr/>
      <w:tcPr>
        <w:tcBorders>
          <w:left w:val="nil"/>
          <w:right w:val="nil"/>
          <w:insideH w:val="nil"/>
          <w:insideV w:val="nil"/>
        </w:tcBorders>
        <w:shd w:val="clear" w:color="auto" w:fill="BBAFE7" w:themeFill="text1" w:themeFillTint="3F"/>
      </w:tcPr>
    </w:tblStylePr>
  </w:style>
  <w:style w:type="paragraph" w:styleId="Caption">
    <w:name w:val="caption"/>
    <w:basedOn w:val="Normal"/>
    <w:next w:val="Normal"/>
    <w:uiPriority w:val="35"/>
    <w:unhideWhenUsed/>
    <w:qFormat/>
    <w:rsid w:val="008027EC"/>
    <w:rPr>
      <w:b/>
      <w:bCs/>
      <w:szCs w:val="18"/>
    </w:rPr>
  </w:style>
  <w:style w:type="paragraph" w:styleId="TOC1">
    <w:name w:val="toc 1"/>
    <w:basedOn w:val="Normal"/>
    <w:next w:val="Normal"/>
    <w:autoRedefine/>
    <w:uiPriority w:val="39"/>
    <w:unhideWhenUsed/>
    <w:rsid w:val="00884955"/>
    <w:pPr>
      <w:tabs>
        <w:tab w:val="left" w:pos="601"/>
        <w:tab w:val="right" w:pos="9015"/>
      </w:tabs>
      <w:spacing w:after="100"/>
      <w:ind w:left="142"/>
    </w:pPr>
    <w:rPr>
      <w:b/>
      <w:noProof/>
      <w14:scene3d>
        <w14:camera w14:prst="orthographicFront"/>
        <w14:lightRig w14:rig="threePt" w14:dir="t">
          <w14:rot w14:lat="0" w14:lon="0" w14:rev="0"/>
        </w14:lightRig>
      </w14:scene3d>
    </w:rPr>
  </w:style>
  <w:style w:type="paragraph" w:styleId="TOC2">
    <w:name w:val="toc 2"/>
    <w:basedOn w:val="Normal"/>
    <w:next w:val="Normal"/>
    <w:autoRedefine/>
    <w:uiPriority w:val="39"/>
    <w:unhideWhenUsed/>
    <w:rsid w:val="004E6BDE"/>
    <w:pPr>
      <w:tabs>
        <w:tab w:val="left" w:pos="600"/>
        <w:tab w:val="right" w:pos="9016"/>
      </w:tabs>
      <w:spacing w:after="100"/>
      <w:ind w:left="142"/>
    </w:pPr>
  </w:style>
  <w:style w:type="paragraph" w:styleId="TOC3">
    <w:name w:val="toc 3"/>
    <w:basedOn w:val="Normal"/>
    <w:next w:val="Normal"/>
    <w:autoRedefine/>
    <w:uiPriority w:val="39"/>
    <w:unhideWhenUsed/>
    <w:rsid w:val="00884955"/>
    <w:pPr>
      <w:tabs>
        <w:tab w:val="right" w:pos="9016"/>
      </w:tabs>
      <w:spacing w:after="100"/>
      <w:ind w:left="142"/>
    </w:pPr>
  </w:style>
  <w:style w:type="paragraph" w:styleId="TOC4">
    <w:name w:val="toc 4"/>
    <w:basedOn w:val="Normal"/>
    <w:next w:val="Normal"/>
    <w:autoRedefine/>
    <w:uiPriority w:val="39"/>
    <w:unhideWhenUsed/>
    <w:rsid w:val="00440DF0"/>
    <w:pPr>
      <w:spacing w:after="100"/>
      <w:ind w:left="600"/>
    </w:pPr>
  </w:style>
  <w:style w:type="paragraph" w:styleId="TableofFigures">
    <w:name w:val="table of figures"/>
    <w:basedOn w:val="Normal"/>
    <w:next w:val="Normal"/>
    <w:uiPriority w:val="99"/>
    <w:unhideWhenUsed/>
    <w:rsid w:val="00BA390F"/>
    <w:pPr>
      <w:spacing w:after="0"/>
    </w:pPr>
  </w:style>
  <w:style w:type="paragraph" w:customStyle="1" w:styleId="introparagraph">
    <w:name w:val="# intro paragraph"/>
    <w:basedOn w:val="Normal"/>
    <w:qFormat/>
    <w:rsid w:val="00AB1D65"/>
    <w:rPr>
      <w:color w:val="808080" w:themeColor="background1" w:themeShade="80"/>
      <w:sz w:val="28"/>
    </w:rPr>
  </w:style>
  <w:style w:type="paragraph" w:styleId="ListParagraph">
    <w:name w:val="List Paragraph"/>
    <w:aliases w:val="DdeM List Paragraph"/>
    <w:basedOn w:val="Normal"/>
    <w:uiPriority w:val="34"/>
    <w:qFormat/>
    <w:rsid w:val="00C829C6"/>
    <w:pPr>
      <w:spacing w:before="0" w:after="0"/>
      <w:ind w:left="720"/>
      <w:contextualSpacing/>
    </w:pPr>
    <w:rPr>
      <w:rFonts w:ascii="Times New Roman" w:hAnsi="Times New Roman"/>
      <w:sz w:val="24"/>
      <w:szCs w:val="24"/>
      <w:lang w:eastAsia="en-AU"/>
    </w:rPr>
  </w:style>
  <w:style w:type="paragraph" w:styleId="Title">
    <w:name w:val="Title"/>
    <w:basedOn w:val="Normal"/>
    <w:next w:val="Normal"/>
    <w:link w:val="TitleChar"/>
    <w:autoRedefine/>
    <w:uiPriority w:val="10"/>
    <w:qFormat/>
    <w:rsid w:val="00542B0C"/>
    <w:pPr>
      <w:spacing w:before="0" w:line="420" w:lineRule="exact"/>
      <w:jc w:val="right"/>
    </w:pPr>
    <w:rPr>
      <w:b/>
      <w:caps/>
      <w:noProof/>
      <w:color w:val="FFFFFF"/>
      <w:sz w:val="44"/>
      <w:lang w:val="en-GB" w:eastAsia="en-GB"/>
    </w:rPr>
  </w:style>
  <w:style w:type="character" w:customStyle="1" w:styleId="TitleChar">
    <w:name w:val="Title Char"/>
    <w:basedOn w:val="DefaultParagraphFont"/>
    <w:link w:val="Title"/>
    <w:uiPriority w:val="10"/>
    <w:rsid w:val="00542B0C"/>
    <w:rPr>
      <w:rFonts w:ascii="VIC" w:eastAsia="Times New Roman" w:hAnsi="VIC" w:cs="Times New Roman"/>
      <w:b/>
      <w:caps/>
      <w:noProof/>
      <w:color w:val="FFFFFF"/>
      <w:sz w:val="44"/>
      <w:szCs w:val="20"/>
      <w:lang w:val="en-GB" w:eastAsia="en-GB"/>
    </w:rPr>
  </w:style>
  <w:style w:type="paragraph" w:styleId="Subtitle">
    <w:name w:val="Subtitle"/>
    <w:basedOn w:val="Normal"/>
    <w:next w:val="Normal"/>
    <w:link w:val="SubtitleChar"/>
    <w:autoRedefine/>
    <w:uiPriority w:val="11"/>
    <w:qFormat/>
    <w:rsid w:val="00B7250C"/>
    <w:pPr>
      <w:spacing w:before="180"/>
      <w:jc w:val="right"/>
    </w:pPr>
    <w:rPr>
      <w:color w:val="FFFFFF"/>
      <w:sz w:val="28"/>
    </w:rPr>
  </w:style>
  <w:style w:type="character" w:customStyle="1" w:styleId="SubtitleChar">
    <w:name w:val="Subtitle Char"/>
    <w:basedOn w:val="DefaultParagraphFont"/>
    <w:link w:val="Subtitle"/>
    <w:uiPriority w:val="11"/>
    <w:rsid w:val="00B7250C"/>
    <w:rPr>
      <w:rFonts w:ascii="VIC" w:eastAsia="Times New Roman" w:hAnsi="VIC" w:cs="Times New Roman"/>
      <w:color w:val="FFFFFF"/>
      <w:sz w:val="28"/>
      <w:szCs w:val="20"/>
    </w:rPr>
  </w:style>
  <w:style w:type="paragraph" w:styleId="ListBullet">
    <w:name w:val="List Bullet"/>
    <w:basedOn w:val="Normal"/>
    <w:uiPriority w:val="99"/>
    <w:unhideWhenUsed/>
    <w:rsid w:val="00AB1D65"/>
    <w:pPr>
      <w:numPr>
        <w:numId w:val="1"/>
      </w:numPr>
      <w:spacing w:before="0" w:after="60"/>
    </w:pPr>
  </w:style>
  <w:style w:type="paragraph" w:styleId="ListBullet2">
    <w:name w:val="List Bullet 2"/>
    <w:basedOn w:val="Normal"/>
    <w:uiPriority w:val="99"/>
    <w:unhideWhenUsed/>
    <w:rsid w:val="00AB1D65"/>
    <w:pPr>
      <w:numPr>
        <w:numId w:val="3"/>
      </w:numPr>
      <w:spacing w:before="0" w:after="60"/>
      <w:ind w:left="709" w:hanging="283"/>
    </w:pPr>
  </w:style>
  <w:style w:type="character" w:styleId="Strong">
    <w:name w:val="Strong"/>
    <w:basedOn w:val="DefaultParagraphFont"/>
    <w:uiPriority w:val="22"/>
    <w:qFormat/>
    <w:rsid w:val="00CA59D5"/>
    <w:rPr>
      <w:b/>
      <w:bCs/>
    </w:rPr>
  </w:style>
  <w:style w:type="paragraph" w:styleId="FootnoteText">
    <w:name w:val="footnote text"/>
    <w:basedOn w:val="Footer"/>
    <w:link w:val="FootnoteTextChar"/>
    <w:uiPriority w:val="99"/>
    <w:unhideWhenUsed/>
    <w:rsid w:val="00921A00"/>
    <w:rPr>
      <w:sz w:val="16"/>
      <w:szCs w:val="16"/>
    </w:rPr>
  </w:style>
  <w:style w:type="character" w:customStyle="1" w:styleId="FootnoteTextChar">
    <w:name w:val="Footnote Text Char"/>
    <w:basedOn w:val="DefaultParagraphFont"/>
    <w:link w:val="FootnoteText"/>
    <w:uiPriority w:val="99"/>
    <w:rsid w:val="00921A00"/>
    <w:rPr>
      <w:rFonts w:ascii="Arial" w:eastAsia="Times New Roman" w:hAnsi="Arial" w:cs="Times New Roman"/>
      <w:color w:val="53565A"/>
      <w:sz w:val="16"/>
      <w:szCs w:val="16"/>
    </w:rPr>
  </w:style>
  <w:style w:type="character" w:styleId="SubtleEmphasis">
    <w:name w:val="Subtle Emphasis"/>
    <w:basedOn w:val="DefaultParagraphFont"/>
    <w:uiPriority w:val="19"/>
    <w:qFormat/>
    <w:rsid w:val="00502746"/>
    <w:rPr>
      <w:i/>
      <w:iCs/>
      <w:color w:val="D51F35"/>
    </w:rPr>
  </w:style>
  <w:style w:type="character" w:styleId="IntenseEmphasis">
    <w:name w:val="Intense Emphasis"/>
    <w:basedOn w:val="DefaultParagraphFont"/>
    <w:uiPriority w:val="21"/>
    <w:qFormat/>
    <w:rsid w:val="00502746"/>
    <w:rPr>
      <w:i/>
      <w:iCs/>
      <w:color w:val="D51F35"/>
    </w:rPr>
  </w:style>
  <w:style w:type="paragraph" w:styleId="Quote">
    <w:name w:val="Quote"/>
    <w:basedOn w:val="Normal"/>
    <w:next w:val="Normal"/>
    <w:link w:val="QuoteChar"/>
    <w:uiPriority w:val="29"/>
    <w:qFormat/>
    <w:rsid w:val="00502746"/>
    <w:pPr>
      <w:spacing w:before="200" w:after="160"/>
      <w:ind w:left="864" w:right="864"/>
      <w:jc w:val="center"/>
    </w:pPr>
    <w:rPr>
      <w:i/>
      <w:iCs/>
      <w:color w:val="AF272F"/>
    </w:rPr>
  </w:style>
  <w:style w:type="character" w:customStyle="1" w:styleId="QuoteChar">
    <w:name w:val="Quote Char"/>
    <w:basedOn w:val="DefaultParagraphFont"/>
    <w:link w:val="Quote"/>
    <w:uiPriority w:val="29"/>
    <w:rsid w:val="00502746"/>
    <w:rPr>
      <w:rFonts w:ascii="Arial" w:eastAsia="Times New Roman" w:hAnsi="Arial" w:cs="Times New Roman"/>
      <w:i/>
      <w:iCs/>
      <w:color w:val="AF272F"/>
      <w:sz w:val="18"/>
      <w:szCs w:val="20"/>
    </w:rPr>
  </w:style>
  <w:style w:type="character" w:styleId="SubtleReference">
    <w:name w:val="Subtle Reference"/>
    <w:basedOn w:val="DefaultParagraphFont"/>
    <w:uiPriority w:val="31"/>
    <w:qFormat/>
    <w:rsid w:val="00502746"/>
    <w:rPr>
      <w:smallCaps/>
      <w:color w:val="AF272F"/>
    </w:rPr>
  </w:style>
  <w:style w:type="character" w:styleId="IntenseReference">
    <w:name w:val="Intense Reference"/>
    <w:basedOn w:val="DefaultParagraphFont"/>
    <w:uiPriority w:val="32"/>
    <w:qFormat/>
    <w:rsid w:val="00502746"/>
    <w:rPr>
      <w:b/>
      <w:bCs/>
      <w:smallCaps/>
      <w:color w:val="AF272F"/>
      <w:spacing w:val="5"/>
    </w:rPr>
  </w:style>
  <w:style w:type="paragraph" w:customStyle="1" w:styleId="Bullet">
    <w:name w:val="Bullet"/>
    <w:basedOn w:val="Normal"/>
    <w:qFormat/>
    <w:rsid w:val="00B55A31"/>
    <w:pPr>
      <w:numPr>
        <w:numId w:val="4"/>
      </w:numPr>
      <w:spacing w:before="0" w:after="120"/>
    </w:pPr>
    <w:rPr>
      <w:rFonts w:eastAsia="MS Mincho"/>
      <w:color w:val="auto"/>
      <w:sz w:val="24"/>
      <w:szCs w:val="24"/>
      <w:lang w:val="en-US"/>
    </w:rPr>
  </w:style>
  <w:style w:type="character" w:styleId="FootnoteReference">
    <w:name w:val="footnote reference"/>
    <w:uiPriority w:val="99"/>
    <w:unhideWhenUsed/>
    <w:rsid w:val="00701534"/>
    <w:rPr>
      <w:vertAlign w:val="superscript"/>
    </w:rPr>
  </w:style>
  <w:style w:type="table" w:styleId="ListTable3">
    <w:name w:val="List Table 3"/>
    <w:basedOn w:val="TableNormal"/>
    <w:uiPriority w:val="48"/>
    <w:rsid w:val="00B102D3"/>
    <w:pPr>
      <w:spacing w:after="0" w:line="240" w:lineRule="auto"/>
    </w:pPr>
    <w:tblPr>
      <w:tblStyleRowBandSize w:val="1"/>
      <w:tblStyleColBandSize w:val="1"/>
      <w:tblBorders>
        <w:top w:val="single" w:sz="4" w:space="0" w:color="201547" w:themeColor="text1"/>
        <w:left w:val="single" w:sz="4" w:space="0" w:color="201547" w:themeColor="text1"/>
        <w:bottom w:val="single" w:sz="4" w:space="0" w:color="201547" w:themeColor="text1"/>
        <w:right w:val="single" w:sz="4" w:space="0" w:color="201547" w:themeColor="text1"/>
      </w:tblBorders>
    </w:tblPr>
    <w:tblStylePr w:type="firstRow">
      <w:rPr>
        <w:b/>
        <w:bCs/>
        <w:color w:val="FFFFFF" w:themeColor="background1"/>
      </w:rPr>
      <w:tblPr/>
      <w:tcPr>
        <w:shd w:val="clear" w:color="auto" w:fill="201547" w:themeFill="text1"/>
      </w:tcPr>
    </w:tblStylePr>
    <w:tblStylePr w:type="lastRow">
      <w:rPr>
        <w:b/>
        <w:bCs/>
      </w:rPr>
      <w:tblPr/>
      <w:tcPr>
        <w:tcBorders>
          <w:top w:val="double" w:sz="4" w:space="0" w:color="201547"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text1"/>
          <w:right w:val="single" w:sz="4" w:space="0" w:color="201547" w:themeColor="text1"/>
        </w:tcBorders>
      </w:tcPr>
    </w:tblStylePr>
    <w:tblStylePr w:type="band1Horz">
      <w:tblPr/>
      <w:tcPr>
        <w:tcBorders>
          <w:top w:val="single" w:sz="4" w:space="0" w:color="201547" w:themeColor="text1"/>
          <w:bottom w:val="single" w:sz="4" w:space="0" w:color="201547"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text1"/>
          <w:left w:val="nil"/>
        </w:tcBorders>
      </w:tcPr>
    </w:tblStylePr>
    <w:tblStylePr w:type="swCell">
      <w:tblPr/>
      <w:tcPr>
        <w:tcBorders>
          <w:top w:val="double" w:sz="4" w:space="0" w:color="201547" w:themeColor="text1"/>
          <w:right w:val="nil"/>
        </w:tcBorders>
      </w:tcPr>
    </w:tblStylePr>
  </w:style>
  <w:style w:type="character" w:styleId="UnresolvedMention">
    <w:name w:val="Unresolved Mention"/>
    <w:basedOn w:val="DefaultParagraphFont"/>
    <w:uiPriority w:val="99"/>
    <w:rsid w:val="00351206"/>
    <w:rPr>
      <w:color w:val="808080"/>
      <w:shd w:val="clear" w:color="auto" w:fill="E6E6E6"/>
    </w:rPr>
  </w:style>
  <w:style w:type="paragraph" w:customStyle="1" w:styleId="bodycopy">
    <w:name w:val="# body copy"/>
    <w:basedOn w:val="Normal"/>
    <w:qFormat/>
    <w:rsid w:val="00194080"/>
    <w:pPr>
      <w:spacing w:before="0" w:after="120"/>
    </w:pPr>
    <w:rPr>
      <w:rFonts w:cs="Arial"/>
      <w:kern w:val="28"/>
      <w:lang w:eastAsia="en-AU"/>
      <w14:ligatures w14:val="standard"/>
      <w14:cntxtAlts/>
    </w:rPr>
  </w:style>
  <w:style w:type="paragraph" w:customStyle="1" w:styleId="dotpoints">
    <w:name w:val="# dot points"/>
    <w:basedOn w:val="Normal"/>
    <w:link w:val="dotpointsChar"/>
    <w:qFormat/>
    <w:rsid w:val="002E4530"/>
    <w:pPr>
      <w:keepLines/>
      <w:numPr>
        <w:numId w:val="5"/>
      </w:numPr>
      <w:spacing w:before="180" w:after="180" w:line="300" w:lineRule="auto"/>
      <w:contextualSpacing/>
    </w:pPr>
    <w:rPr>
      <w:rFonts w:cs="Arial"/>
    </w:rPr>
  </w:style>
  <w:style w:type="character" w:customStyle="1" w:styleId="dotpointsChar">
    <w:name w:val="# dot points Char"/>
    <w:basedOn w:val="DefaultParagraphFont"/>
    <w:link w:val="dotpoints"/>
    <w:rsid w:val="002E4530"/>
    <w:rPr>
      <w:rFonts w:ascii="VIC" w:eastAsia="Times New Roman" w:hAnsi="VIC" w:cs="Arial"/>
      <w:color w:val="53565A"/>
      <w:sz w:val="18"/>
      <w:szCs w:val="20"/>
    </w:rPr>
  </w:style>
  <w:style w:type="paragraph" w:customStyle="1" w:styleId="Default">
    <w:name w:val="Default"/>
    <w:rsid w:val="008B0AC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844C78"/>
    <w:rPr>
      <w:sz w:val="16"/>
      <w:szCs w:val="16"/>
    </w:rPr>
  </w:style>
  <w:style w:type="paragraph" w:styleId="CommentText">
    <w:name w:val="annotation text"/>
    <w:basedOn w:val="Normal"/>
    <w:link w:val="CommentTextChar"/>
    <w:uiPriority w:val="99"/>
    <w:unhideWhenUsed/>
    <w:rsid w:val="00844C78"/>
    <w:rPr>
      <w:sz w:val="20"/>
    </w:rPr>
  </w:style>
  <w:style w:type="character" w:customStyle="1" w:styleId="CommentTextChar">
    <w:name w:val="Comment Text Char"/>
    <w:basedOn w:val="DefaultParagraphFont"/>
    <w:link w:val="CommentText"/>
    <w:uiPriority w:val="99"/>
    <w:rsid w:val="00844C78"/>
    <w:rPr>
      <w:rFonts w:ascii="Arial" w:eastAsia="Times New Roman" w:hAnsi="Arial" w:cs="Times New Roman"/>
      <w:color w:val="53565A"/>
      <w:sz w:val="20"/>
      <w:szCs w:val="20"/>
    </w:rPr>
  </w:style>
  <w:style w:type="paragraph" w:styleId="CommentSubject">
    <w:name w:val="annotation subject"/>
    <w:basedOn w:val="CommentText"/>
    <w:next w:val="CommentText"/>
    <w:link w:val="CommentSubjectChar"/>
    <w:uiPriority w:val="99"/>
    <w:semiHidden/>
    <w:unhideWhenUsed/>
    <w:rsid w:val="00844C78"/>
    <w:rPr>
      <w:b/>
      <w:bCs/>
    </w:rPr>
  </w:style>
  <w:style w:type="character" w:customStyle="1" w:styleId="CommentSubjectChar">
    <w:name w:val="Comment Subject Char"/>
    <w:basedOn w:val="CommentTextChar"/>
    <w:link w:val="CommentSubject"/>
    <w:uiPriority w:val="99"/>
    <w:semiHidden/>
    <w:rsid w:val="00844C78"/>
    <w:rPr>
      <w:rFonts w:ascii="Arial" w:eastAsia="Times New Roman" w:hAnsi="Arial" w:cs="Times New Roman"/>
      <w:b/>
      <w:bCs/>
      <w:color w:val="53565A"/>
      <w:sz w:val="20"/>
      <w:szCs w:val="20"/>
    </w:rPr>
  </w:style>
  <w:style w:type="paragraph" w:customStyle="1" w:styleId="TableBullet">
    <w:name w:val="Table Bullet"/>
    <w:basedOn w:val="Normal"/>
    <w:qFormat/>
    <w:rsid w:val="00AC4925"/>
    <w:pPr>
      <w:numPr>
        <w:numId w:val="7"/>
      </w:numPr>
      <w:spacing w:before="0" w:after="120"/>
      <w:ind w:left="346" w:hanging="346"/>
    </w:pPr>
    <w:rPr>
      <w:rFonts w:ascii="Tahoma" w:eastAsia="MS Mincho" w:hAnsi="Tahoma"/>
      <w:color w:val="auto"/>
      <w:sz w:val="20"/>
      <w:szCs w:val="24"/>
      <w:lang w:val="en-US"/>
    </w:rPr>
  </w:style>
  <w:style w:type="paragraph" w:customStyle="1" w:styleId="FootnoteTextTables">
    <w:name w:val="Footnote Text (Tables"/>
    <w:aliases w:val="Forms4,Footnotes)4"/>
    <w:basedOn w:val="Normal"/>
    <w:uiPriority w:val="99"/>
    <w:rsid w:val="00321DC3"/>
    <w:pPr>
      <w:widowControl w:val="0"/>
      <w:suppressAutoHyphens/>
      <w:autoSpaceDE w:val="0"/>
      <w:autoSpaceDN w:val="0"/>
      <w:adjustRightInd w:val="0"/>
      <w:spacing w:before="100" w:after="100" w:line="220" w:lineRule="atLeast"/>
      <w:ind w:left="397" w:hanging="397"/>
      <w:textAlignment w:val="center"/>
    </w:pPr>
    <w:rPr>
      <w:rFonts w:ascii="HelveticaNeueLTStd-Lt" w:eastAsia="MS Mincho" w:hAnsi="HelveticaNeueLTStd-Lt" w:cs="HelveticaNeueLTStd-Lt"/>
      <w:color w:val="000000"/>
      <w:sz w:val="14"/>
      <w:szCs w:val="14"/>
      <w:lang w:val="en-US"/>
    </w:rPr>
  </w:style>
  <w:style w:type="paragraph" w:styleId="NoSpacing">
    <w:name w:val="No Spacing"/>
    <w:uiPriority w:val="1"/>
    <w:qFormat/>
    <w:rsid w:val="00164687"/>
    <w:pPr>
      <w:spacing w:after="0" w:line="240" w:lineRule="auto"/>
    </w:pPr>
    <w:rPr>
      <w:rFonts w:ascii="Arial" w:eastAsia="Times New Roman" w:hAnsi="Arial" w:cs="Times New Roman"/>
      <w:color w:val="53565A"/>
      <w:sz w:val="18"/>
      <w:szCs w:val="20"/>
    </w:rPr>
  </w:style>
  <w:style w:type="paragraph" w:styleId="Revision">
    <w:name w:val="Revision"/>
    <w:hidden/>
    <w:uiPriority w:val="99"/>
    <w:semiHidden/>
    <w:rsid w:val="004D6259"/>
    <w:pPr>
      <w:spacing w:after="0" w:line="240" w:lineRule="auto"/>
    </w:pPr>
    <w:rPr>
      <w:rFonts w:ascii="Arial" w:eastAsia="Times New Roman" w:hAnsi="Arial" w:cs="Times New Roman"/>
      <w:color w:val="53565A"/>
      <w:sz w:val="18"/>
      <w:szCs w:val="20"/>
    </w:rPr>
  </w:style>
  <w:style w:type="character" w:customStyle="1" w:styleId="bold-text">
    <w:name w:val="bold-text"/>
    <w:basedOn w:val="DefaultParagraphFont"/>
    <w:rsid w:val="0082227B"/>
  </w:style>
  <w:style w:type="paragraph" w:styleId="ListNumber">
    <w:name w:val="List Number"/>
    <w:basedOn w:val="Normal"/>
    <w:uiPriority w:val="99"/>
    <w:unhideWhenUsed/>
    <w:rsid w:val="0082227B"/>
    <w:pPr>
      <w:spacing w:before="60" w:after="60"/>
    </w:pPr>
    <w:rPr>
      <w:color w:val="auto"/>
      <w:sz w:val="20"/>
    </w:rPr>
  </w:style>
  <w:style w:type="character" w:styleId="PlaceholderText">
    <w:name w:val="Placeholder Text"/>
    <w:basedOn w:val="DefaultParagraphFont"/>
    <w:uiPriority w:val="99"/>
    <w:semiHidden/>
    <w:rsid w:val="006831D4"/>
    <w:rPr>
      <w:color w:val="808080"/>
    </w:rPr>
  </w:style>
  <w:style w:type="table" w:customStyle="1" w:styleId="TableGrid1">
    <w:name w:val="Table Grid1"/>
    <w:basedOn w:val="TableNormal"/>
    <w:next w:val="TableGrid"/>
    <w:uiPriority w:val="39"/>
    <w:rsid w:val="006000A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7106F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621106">
      <w:bodyDiv w:val="1"/>
      <w:marLeft w:val="0"/>
      <w:marRight w:val="0"/>
      <w:marTop w:val="0"/>
      <w:marBottom w:val="0"/>
      <w:divBdr>
        <w:top w:val="none" w:sz="0" w:space="0" w:color="auto"/>
        <w:left w:val="none" w:sz="0" w:space="0" w:color="auto"/>
        <w:bottom w:val="none" w:sz="0" w:space="0" w:color="auto"/>
        <w:right w:val="none" w:sz="0" w:space="0" w:color="auto"/>
      </w:divBdr>
    </w:div>
    <w:div w:id="549731262">
      <w:bodyDiv w:val="1"/>
      <w:marLeft w:val="0"/>
      <w:marRight w:val="0"/>
      <w:marTop w:val="0"/>
      <w:marBottom w:val="0"/>
      <w:divBdr>
        <w:top w:val="none" w:sz="0" w:space="0" w:color="auto"/>
        <w:left w:val="none" w:sz="0" w:space="0" w:color="auto"/>
        <w:bottom w:val="none" w:sz="0" w:space="0" w:color="auto"/>
        <w:right w:val="none" w:sz="0" w:space="0" w:color="auto"/>
      </w:divBdr>
    </w:div>
    <w:div w:id="722945903">
      <w:bodyDiv w:val="1"/>
      <w:marLeft w:val="0"/>
      <w:marRight w:val="0"/>
      <w:marTop w:val="0"/>
      <w:marBottom w:val="0"/>
      <w:divBdr>
        <w:top w:val="none" w:sz="0" w:space="0" w:color="auto"/>
        <w:left w:val="none" w:sz="0" w:space="0" w:color="auto"/>
        <w:bottom w:val="none" w:sz="0" w:space="0" w:color="auto"/>
        <w:right w:val="none" w:sz="0" w:space="0" w:color="auto"/>
      </w:divBdr>
      <w:divsChild>
        <w:div w:id="782924239">
          <w:marLeft w:val="0"/>
          <w:marRight w:val="0"/>
          <w:marTop w:val="0"/>
          <w:marBottom w:val="0"/>
          <w:divBdr>
            <w:top w:val="none" w:sz="0" w:space="0" w:color="auto"/>
            <w:left w:val="none" w:sz="0" w:space="0" w:color="auto"/>
            <w:bottom w:val="single" w:sz="12" w:space="0" w:color="FFFFFF"/>
            <w:right w:val="none" w:sz="0" w:space="0" w:color="auto"/>
          </w:divBdr>
        </w:div>
      </w:divsChild>
    </w:div>
    <w:div w:id="924653390">
      <w:bodyDiv w:val="1"/>
      <w:marLeft w:val="0"/>
      <w:marRight w:val="0"/>
      <w:marTop w:val="0"/>
      <w:marBottom w:val="0"/>
      <w:divBdr>
        <w:top w:val="none" w:sz="0" w:space="0" w:color="auto"/>
        <w:left w:val="none" w:sz="0" w:space="0" w:color="auto"/>
        <w:bottom w:val="none" w:sz="0" w:space="0" w:color="auto"/>
        <w:right w:val="none" w:sz="0" w:space="0" w:color="auto"/>
      </w:divBdr>
      <w:divsChild>
        <w:div w:id="1045638582">
          <w:marLeft w:val="0"/>
          <w:marRight w:val="0"/>
          <w:marTop w:val="1500"/>
          <w:marBottom w:val="0"/>
          <w:divBdr>
            <w:top w:val="none" w:sz="0" w:space="0" w:color="auto"/>
            <w:left w:val="none" w:sz="0" w:space="0" w:color="auto"/>
            <w:bottom w:val="none" w:sz="0" w:space="0" w:color="auto"/>
            <w:right w:val="none" w:sz="0" w:space="0" w:color="auto"/>
          </w:divBdr>
          <w:divsChild>
            <w:div w:id="2074155592">
              <w:marLeft w:val="0"/>
              <w:marRight w:val="0"/>
              <w:marTop w:val="0"/>
              <w:marBottom w:val="0"/>
              <w:divBdr>
                <w:top w:val="none" w:sz="0" w:space="0" w:color="auto"/>
                <w:left w:val="none" w:sz="0" w:space="0" w:color="auto"/>
                <w:bottom w:val="none" w:sz="0" w:space="0" w:color="auto"/>
                <w:right w:val="none" w:sz="0" w:space="0" w:color="auto"/>
              </w:divBdr>
              <w:divsChild>
                <w:div w:id="1937706248">
                  <w:marLeft w:val="0"/>
                  <w:marRight w:val="0"/>
                  <w:marTop w:val="0"/>
                  <w:marBottom w:val="0"/>
                  <w:divBdr>
                    <w:top w:val="none" w:sz="0" w:space="0" w:color="auto"/>
                    <w:left w:val="none" w:sz="0" w:space="0" w:color="auto"/>
                    <w:bottom w:val="none" w:sz="0" w:space="0" w:color="auto"/>
                    <w:right w:val="none" w:sz="0" w:space="0" w:color="auto"/>
                  </w:divBdr>
                  <w:divsChild>
                    <w:div w:id="2096660448">
                      <w:marLeft w:val="0"/>
                      <w:marRight w:val="0"/>
                      <w:marTop w:val="0"/>
                      <w:marBottom w:val="0"/>
                      <w:divBdr>
                        <w:top w:val="none" w:sz="0" w:space="0" w:color="auto"/>
                        <w:left w:val="none" w:sz="0" w:space="0" w:color="auto"/>
                        <w:bottom w:val="none" w:sz="0" w:space="0" w:color="auto"/>
                        <w:right w:val="none" w:sz="0" w:space="0" w:color="auto"/>
                      </w:divBdr>
                      <w:divsChild>
                        <w:div w:id="243035460">
                          <w:marLeft w:val="0"/>
                          <w:marRight w:val="0"/>
                          <w:marTop w:val="0"/>
                          <w:marBottom w:val="0"/>
                          <w:divBdr>
                            <w:top w:val="none" w:sz="0" w:space="0" w:color="auto"/>
                            <w:left w:val="none" w:sz="0" w:space="0" w:color="auto"/>
                            <w:bottom w:val="none" w:sz="0" w:space="0" w:color="auto"/>
                            <w:right w:val="none" w:sz="0" w:space="0" w:color="auto"/>
                          </w:divBdr>
                          <w:divsChild>
                            <w:div w:id="664935580">
                              <w:marLeft w:val="-225"/>
                              <w:marRight w:val="-225"/>
                              <w:marTop w:val="0"/>
                              <w:marBottom w:val="0"/>
                              <w:divBdr>
                                <w:top w:val="none" w:sz="0" w:space="0" w:color="auto"/>
                                <w:left w:val="none" w:sz="0" w:space="0" w:color="auto"/>
                                <w:bottom w:val="none" w:sz="0" w:space="0" w:color="auto"/>
                                <w:right w:val="none" w:sz="0" w:space="0" w:color="auto"/>
                              </w:divBdr>
                              <w:divsChild>
                                <w:div w:id="1482888888">
                                  <w:marLeft w:val="0"/>
                                  <w:marRight w:val="0"/>
                                  <w:marTop w:val="0"/>
                                  <w:marBottom w:val="0"/>
                                  <w:divBdr>
                                    <w:top w:val="none" w:sz="0" w:space="0" w:color="auto"/>
                                    <w:left w:val="none" w:sz="0" w:space="0" w:color="auto"/>
                                    <w:bottom w:val="none" w:sz="0" w:space="0" w:color="auto"/>
                                    <w:right w:val="none" w:sz="0" w:space="0" w:color="auto"/>
                                  </w:divBdr>
                                  <w:divsChild>
                                    <w:div w:id="726533319">
                                      <w:marLeft w:val="0"/>
                                      <w:marRight w:val="0"/>
                                      <w:marTop w:val="0"/>
                                      <w:marBottom w:val="0"/>
                                      <w:divBdr>
                                        <w:top w:val="none" w:sz="0" w:space="0" w:color="auto"/>
                                        <w:left w:val="none" w:sz="0" w:space="0" w:color="auto"/>
                                        <w:bottom w:val="none" w:sz="0" w:space="0" w:color="auto"/>
                                        <w:right w:val="none" w:sz="0" w:space="0" w:color="auto"/>
                                      </w:divBdr>
                                      <w:divsChild>
                                        <w:div w:id="440491416">
                                          <w:marLeft w:val="0"/>
                                          <w:marRight w:val="0"/>
                                          <w:marTop w:val="0"/>
                                          <w:marBottom w:val="0"/>
                                          <w:divBdr>
                                            <w:top w:val="none" w:sz="0" w:space="0" w:color="auto"/>
                                            <w:left w:val="none" w:sz="0" w:space="0" w:color="auto"/>
                                            <w:bottom w:val="none" w:sz="0" w:space="0" w:color="auto"/>
                                            <w:right w:val="none" w:sz="0" w:space="0" w:color="auto"/>
                                          </w:divBdr>
                                          <w:divsChild>
                                            <w:div w:id="152636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0624152">
      <w:bodyDiv w:val="1"/>
      <w:marLeft w:val="0"/>
      <w:marRight w:val="0"/>
      <w:marTop w:val="0"/>
      <w:marBottom w:val="0"/>
      <w:divBdr>
        <w:top w:val="none" w:sz="0" w:space="0" w:color="auto"/>
        <w:left w:val="none" w:sz="0" w:space="0" w:color="auto"/>
        <w:bottom w:val="none" w:sz="0" w:space="0" w:color="auto"/>
        <w:right w:val="none" w:sz="0" w:space="0" w:color="auto"/>
      </w:divBdr>
    </w:div>
    <w:div w:id="1340888850">
      <w:bodyDiv w:val="1"/>
      <w:marLeft w:val="0"/>
      <w:marRight w:val="0"/>
      <w:marTop w:val="0"/>
      <w:marBottom w:val="0"/>
      <w:divBdr>
        <w:top w:val="none" w:sz="0" w:space="0" w:color="auto"/>
        <w:left w:val="none" w:sz="0" w:space="0" w:color="auto"/>
        <w:bottom w:val="none" w:sz="0" w:space="0" w:color="auto"/>
        <w:right w:val="none" w:sz="0" w:space="0" w:color="auto"/>
      </w:divBdr>
    </w:div>
    <w:div w:id="1431317328">
      <w:bodyDiv w:val="1"/>
      <w:marLeft w:val="0"/>
      <w:marRight w:val="0"/>
      <w:marTop w:val="0"/>
      <w:marBottom w:val="0"/>
      <w:divBdr>
        <w:top w:val="none" w:sz="0" w:space="0" w:color="auto"/>
        <w:left w:val="none" w:sz="0" w:space="0" w:color="auto"/>
        <w:bottom w:val="none" w:sz="0" w:space="0" w:color="auto"/>
        <w:right w:val="none" w:sz="0" w:space="0" w:color="auto"/>
      </w:divBdr>
    </w:div>
    <w:div w:id="1500193159">
      <w:bodyDiv w:val="1"/>
      <w:marLeft w:val="0"/>
      <w:marRight w:val="0"/>
      <w:marTop w:val="0"/>
      <w:marBottom w:val="0"/>
      <w:divBdr>
        <w:top w:val="none" w:sz="0" w:space="0" w:color="auto"/>
        <w:left w:val="none" w:sz="0" w:space="0" w:color="auto"/>
        <w:bottom w:val="none" w:sz="0" w:space="0" w:color="auto"/>
        <w:right w:val="none" w:sz="0" w:space="0" w:color="auto"/>
      </w:divBdr>
    </w:div>
    <w:div w:id="1675184620">
      <w:bodyDiv w:val="1"/>
      <w:marLeft w:val="0"/>
      <w:marRight w:val="0"/>
      <w:marTop w:val="0"/>
      <w:marBottom w:val="0"/>
      <w:divBdr>
        <w:top w:val="none" w:sz="0" w:space="0" w:color="auto"/>
        <w:left w:val="none" w:sz="0" w:space="0" w:color="auto"/>
        <w:bottom w:val="none" w:sz="0" w:space="0" w:color="auto"/>
        <w:right w:val="none" w:sz="0" w:space="0" w:color="auto"/>
      </w:divBdr>
    </w:div>
    <w:div w:id="21117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localjobsfirst.vic.gov.au/" TargetMode="External"/><Relationship Id="rId26" Type="http://schemas.openxmlformats.org/officeDocument/2006/relationships/hyperlink" Target="https://localjobsfirst.vic.gov.au/key-documents" TargetMode="External"/><Relationship Id="rId39" Type="http://schemas.openxmlformats.org/officeDocument/2006/relationships/hyperlink" Target="https://www.rdv.vic.gov.au/victorias-regions/shepparton" TargetMode="External"/><Relationship Id="rId21" Type="http://schemas.openxmlformats.org/officeDocument/2006/relationships/hyperlink" Target="https://icn.org.au/icn_vic" TargetMode="External"/><Relationship Id="rId34" Type="http://schemas.openxmlformats.org/officeDocument/2006/relationships/hyperlink" Target="https://www.localjobsfirst.vic.gov.au/local-jobs-first-commissioner" TargetMode="External"/><Relationship Id="rId42" Type="http://schemas.openxmlformats.org/officeDocument/2006/relationships/hyperlink" Target="https://www.rdv.vic.gov.au/victorias-regions/mildura" TargetMode="External"/><Relationship Id="rId47" Type="http://schemas.openxmlformats.org/officeDocument/2006/relationships/hyperlink" Target="https://www.buyingfor.vic.gov.au/value-money-goods-and-services-guide" TargetMode="External"/><Relationship Id="rId50" Type="http://schemas.openxmlformats.org/officeDocument/2006/relationships/hyperlink" Target="mailto:localjobsfirst@ecodev.vic.gov.a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justice.vic.gov.au/statdecs" TargetMode="External"/><Relationship Id="rId11" Type="http://schemas.openxmlformats.org/officeDocument/2006/relationships/image" Target="media/image1.png"/><Relationship Id="rId24" Type="http://schemas.openxmlformats.org/officeDocument/2006/relationships/hyperlink" Target="https://www.icn.org.au/icn_vic/vmc/" TargetMode="External"/><Relationship Id="rId32" Type="http://schemas.openxmlformats.org/officeDocument/2006/relationships/hyperlink" Target="https://icn.org.au/icn_vic/vmc/" TargetMode="External"/><Relationship Id="rId37" Type="http://schemas.openxmlformats.org/officeDocument/2006/relationships/hyperlink" Target="https://www.rdv.vic.gov.au/victorias-regions/bendigo" TargetMode="External"/><Relationship Id="rId40" Type="http://schemas.openxmlformats.org/officeDocument/2006/relationships/hyperlink" Target="https://www.rdv.vic.gov.au/victorias-regions/horsham" TargetMode="External"/><Relationship Id="rId45" Type="http://schemas.openxmlformats.org/officeDocument/2006/relationships/hyperlink" Target="https://www.rdv.vic.gov.au/victorias-regions/wodonga"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localjobsfirst.vic.gov.au" TargetMode="External"/><Relationship Id="rId31" Type="http://schemas.openxmlformats.org/officeDocument/2006/relationships/hyperlink" Target="https://www.buyingfor.vic.gov.au/" TargetMode="External"/><Relationship Id="rId44" Type="http://schemas.openxmlformats.org/officeDocument/2006/relationships/hyperlink" Target="https://www.rdv.vic.gov.au/victorias-regions/warrnambool"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gateway.icn.org.au/" TargetMode="External"/><Relationship Id="rId27" Type="http://schemas.openxmlformats.org/officeDocument/2006/relationships/hyperlink" Target="https://www.icn.org.au/icn_vic/vmc/" TargetMode="External"/><Relationship Id="rId30" Type="http://schemas.openxmlformats.org/officeDocument/2006/relationships/hyperlink" Target="https://localjobsfirst.vic.gov.au/" TargetMode="External"/><Relationship Id="rId35" Type="http://schemas.openxmlformats.org/officeDocument/2006/relationships/hyperlink" Target="https://www.legislation.vic.gov.au/in-force/acts/regional-development-victoria-act-2002/008" TargetMode="External"/><Relationship Id="rId43" Type="http://schemas.openxmlformats.org/officeDocument/2006/relationships/hyperlink" Target="https://www.rdv.vic.gov.au/victorias-regions/wangaratta" TargetMode="External"/><Relationship Id="rId48"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hyperlink" Target="http://www.localjobsfirst.vic.gov.au"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icn.org.au/icn_vic/vmc/" TargetMode="External"/><Relationship Id="rId33" Type="http://schemas.openxmlformats.org/officeDocument/2006/relationships/hyperlink" Target="https://www.dtf.vic.gov.au/infrastructure-investment/market-led-proposals" TargetMode="External"/><Relationship Id="rId38" Type="http://schemas.openxmlformats.org/officeDocument/2006/relationships/hyperlink" Target="https://www.rdv.vic.gov.au/victorias-regions/geelong" TargetMode="External"/><Relationship Id="rId46" Type="http://schemas.openxmlformats.org/officeDocument/2006/relationships/hyperlink" Target="https://www2.vrqa.vic.gov.au/training-contracts" TargetMode="External"/><Relationship Id="rId20" Type="http://schemas.openxmlformats.org/officeDocument/2006/relationships/hyperlink" Target="https://icn.org.au/icn_vic/vmc/" TargetMode="External"/><Relationship Id="rId41" Type="http://schemas.openxmlformats.org/officeDocument/2006/relationships/hyperlink" Target="https://www.rdv.vic.gov.au/victorias-regions/latrob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localjobsfirst.vic.gov.au/key-documents" TargetMode="External"/><Relationship Id="rId28" Type="http://schemas.openxmlformats.org/officeDocument/2006/relationships/hyperlink" Target="https://www.icn.org.au/icn_vic/vmc/" TargetMode="External"/><Relationship Id="rId36" Type="http://schemas.openxmlformats.org/officeDocument/2006/relationships/hyperlink" Target="https://www.rdv.vic.gov.au/victorias-regions/ballarat" TargetMode="External"/><Relationship Id="rId49"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feg xmlns="bd07834f-d95b-4883-aa18-4cf54a60a803" xsi:nil="true"/>
    <SharedWithUsers xmlns="32e98561-183e-4de5-80c3-a793f40b4ede">
      <UserInfo>
        <DisplayName>Leslie A Sorensen (DJPR)</DisplayName>
        <AccountId>579</AccountId>
        <AccountType/>
      </UserInfo>
      <UserInfo>
        <DisplayName>Jayne E Oliver (DJPR)</DisplayName>
        <AccountId>49</AccountId>
        <AccountType/>
      </UserInfo>
    </SharedWithUsers>
    <lcf76f155ced4ddcb4097134ff3c332f xmlns="bd07834f-d95b-4883-aa18-4cf54a60a803">
      <Terms xmlns="http://schemas.microsoft.com/office/infopath/2007/PartnerControls"/>
    </lcf76f155ced4ddcb4097134ff3c332f>
    <TaxCatchAll xmlns="32e98561-183e-4de5-80c3-a793f40b4ede" xsi:nil="true"/>
    <test xmlns="bd07834f-d95b-4883-aa18-4cf54a60a8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2B5021F6FA5748BD595AC6B2FEC278" ma:contentTypeVersion="20" ma:contentTypeDescription="Create a new document." ma:contentTypeScope="" ma:versionID="f95714c46ff48bc15963d334947cee9d">
  <xsd:schema xmlns:xsd="http://www.w3.org/2001/XMLSchema" xmlns:xs="http://www.w3.org/2001/XMLSchema" xmlns:p="http://schemas.microsoft.com/office/2006/metadata/properties" xmlns:ns2="32e98561-183e-4de5-80c3-a793f40b4ede" xmlns:ns3="bd07834f-d95b-4883-aa18-4cf54a60a803" targetNamespace="http://schemas.microsoft.com/office/2006/metadata/properties" ma:root="true" ma:fieldsID="a7b7c6a39d9110767faa221881c9c855" ns2:_="" ns3:_="">
    <xsd:import namespace="32e98561-183e-4de5-80c3-a793f40b4ede"/>
    <xsd:import namespace="bd07834f-d95b-4883-aa18-4cf54a60a80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pfeg" minOccurs="0"/>
                <xsd:element ref="ns3:tes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98561-183e-4de5-80c3-a793f40b4e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be14d2c-131d-4567-97b9-d664a3902913}" ma:internalName="TaxCatchAll" ma:showField="CatchAllData" ma:web="32e98561-183e-4de5-80c3-a793f40b4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07834f-d95b-4883-aa18-4cf54a60a80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feg" ma:index="20" nillable="true" ma:displayName="Number" ma:internalName="pfeg">
      <xsd:simpleType>
        <xsd:restriction base="dms:Number"/>
      </xsd:simpleType>
    </xsd:element>
    <xsd:element name="test" ma:index="21" nillable="true" ma:displayName="test" ma:format="DateTime" ma:internalName="test">
      <xsd:simpleType>
        <xsd:restriction base="dms:DateTime"/>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69622-F9C9-4477-8E5D-6BF21EE26A04}">
  <ds:schemaRefs>
    <ds:schemaRef ds:uri="http://schemas.microsoft.com/office/2006/documentManagement/types"/>
    <ds:schemaRef ds:uri="http://purl.org/dc/dcmitype/"/>
    <ds:schemaRef ds:uri="http://www.w3.org/XML/1998/namespace"/>
    <ds:schemaRef ds:uri="http://schemas.openxmlformats.org/package/2006/metadata/core-properties"/>
    <ds:schemaRef ds:uri="http://purl.org/dc/elements/1.1/"/>
    <ds:schemaRef ds:uri="http://purl.org/dc/terms/"/>
    <ds:schemaRef ds:uri="http://schemas.microsoft.com/office/infopath/2007/PartnerControls"/>
    <ds:schemaRef ds:uri="bd07834f-d95b-4883-aa18-4cf54a60a803"/>
    <ds:schemaRef ds:uri="32e98561-183e-4de5-80c3-a793f40b4ede"/>
    <ds:schemaRef ds:uri="http://schemas.microsoft.com/office/2006/metadata/properties"/>
  </ds:schemaRefs>
</ds:datastoreItem>
</file>

<file path=customXml/itemProps2.xml><?xml version="1.0" encoding="utf-8"?>
<ds:datastoreItem xmlns:ds="http://schemas.openxmlformats.org/officeDocument/2006/customXml" ds:itemID="{841CE76D-2CA7-40C7-9F46-D958E6D2682C}">
  <ds:schemaRefs>
    <ds:schemaRef ds:uri="http://schemas.microsoft.com/sharepoint/v3/contenttype/forms"/>
  </ds:schemaRefs>
</ds:datastoreItem>
</file>

<file path=customXml/itemProps3.xml><?xml version="1.0" encoding="utf-8"?>
<ds:datastoreItem xmlns:ds="http://schemas.openxmlformats.org/officeDocument/2006/customXml" ds:itemID="{7D68F97C-7616-43AF-9A65-1D5720BD7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98561-183e-4de5-80c3-a793f40b4ede"/>
    <ds:schemaRef ds:uri="bd07834f-d95b-4883-aa18-4cf54a60a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C4CBAD-5E59-475B-B393-ADB38CA91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10990</Words>
  <Characters>62644</Characters>
  <Application>Microsoft Office Word</Application>
  <DocSecurity>0</DocSecurity>
  <Lines>522</Lines>
  <Paragraphs>146</Paragraphs>
  <ScaleCrop>false</ScaleCrop>
  <Company/>
  <LinksUpToDate>false</LinksUpToDate>
  <CharactersWithSpaces>73488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2025-10-03T00:00:00Z</dcterms:created>
  <dcterms:modified xsi:type="dcterms:W3CDTF">2025-10-03T00:39:00Z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7e319e27,3240c4f3,2c364183,60693639</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3ea6f4ec,6cc0a5d1,43a25d08,7234bfd7</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2025-10-03T00:01:08Z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7697d6de-4d95-472c-9334-62366e567eb3</vt:lpwstr>
  </property>
  <property fmtid="{D5CDD505-2E9C-101B-9397-08002B2CF9AE}" pid="14" name="MSIP_Label_d00a4df9-c942-4b09-b23a-6c1023f6de27_ContentBits">
    <vt:lpwstr>3</vt:lpwstr>
  </property>
  <property fmtid="{D5CDD505-2E9C-101B-9397-08002B2CF9AE}" pid="15" name="MSIP_Label_d00a4df9-c942-4b09-b23a-6c1023f6de27_Tag">
    <vt:lpwstr>10, 0, 1, 1</vt:lpwstr>
  </property>
  <property fmtid="{D5CDD505-2E9C-101B-9397-08002B2CF9AE}" pid="16" name="MediaServiceImageTags">
    <vt:lpwstr/>
  </property>
  <property fmtid="{D5CDD505-2E9C-101B-9397-08002B2CF9AE}" pid="17" name="ContentTypeId">
    <vt:lpwstr>0x010100332B5021F6FA5748BD595AC6B2FEC278</vt:lpwstr>
  </property>
  <property fmtid="{D5CDD505-2E9C-101B-9397-08002B2CF9AE}" pid="18" name="Replytype">
    <vt:lpwstr/>
  </property>
  <property fmtid="{D5CDD505-2E9C-101B-9397-08002B2CF9AE}" pid="19" name="_docset_NoMedatataSyncRequired">
    <vt:lpwstr>False</vt:lpwstr>
  </property>
</Properties>
</file>