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A604C" w14:textId="7AB1A921" w:rsidR="009E524A" w:rsidRDefault="001C685F" w:rsidP="009E524A">
      <w:r>
        <w:rPr>
          <w:noProof/>
        </w:rPr>
        <w:drawing>
          <wp:inline distT="0" distB="0" distL="0" distR="0" wp14:anchorId="0CB24416" wp14:editId="3D1C21A5">
            <wp:extent cx="1556795" cy="887111"/>
            <wp:effectExtent l="0" t="0" r="5715" b="8255"/>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pic:cNvPicPr/>
                  </pic:nvPicPr>
                  <pic:blipFill>
                    <a:blip r:embed="rId11"/>
                    <a:stretch>
                      <a:fillRect/>
                    </a:stretch>
                  </pic:blipFill>
                  <pic:spPr>
                    <a:xfrm>
                      <a:off x="0" y="0"/>
                      <a:ext cx="1561400" cy="889735"/>
                    </a:xfrm>
                    <a:prstGeom prst="rect">
                      <a:avLst/>
                    </a:prstGeom>
                  </pic:spPr>
                </pic:pic>
              </a:graphicData>
            </a:graphic>
          </wp:inline>
        </w:drawing>
      </w:r>
    </w:p>
    <w:p w14:paraId="7F98DC98" w14:textId="1A196BA3" w:rsidR="001C685F" w:rsidRDefault="001A18EB" w:rsidP="009E524A">
      <w:r>
        <w:rPr>
          <w:noProof/>
        </w:rPr>
        <w:drawing>
          <wp:inline distT="0" distB="0" distL="0" distR="0" wp14:anchorId="5C4317D1" wp14:editId="44CEB671">
            <wp:extent cx="2563793" cy="423583"/>
            <wp:effectExtent l="0" t="0" r="8255" b="0"/>
            <wp:docPr id="3" name="Picture 3" descr="Local Jobs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cal Jobs First"/>
                    <pic:cNvPicPr/>
                  </pic:nvPicPr>
                  <pic:blipFill>
                    <a:blip r:embed="rId12"/>
                    <a:stretch>
                      <a:fillRect/>
                    </a:stretch>
                  </pic:blipFill>
                  <pic:spPr>
                    <a:xfrm>
                      <a:off x="0" y="0"/>
                      <a:ext cx="2582810" cy="426725"/>
                    </a:xfrm>
                    <a:prstGeom prst="rect">
                      <a:avLst/>
                    </a:prstGeom>
                  </pic:spPr>
                </pic:pic>
              </a:graphicData>
            </a:graphic>
          </wp:inline>
        </w:drawing>
      </w:r>
    </w:p>
    <w:p w14:paraId="2043698A" w14:textId="1D21909C" w:rsidR="00281E86" w:rsidRPr="00281E86" w:rsidRDefault="00822889" w:rsidP="00151E14">
      <w:pPr>
        <w:pStyle w:val="Title"/>
        <w:spacing w:after="720"/>
      </w:pPr>
      <w:r w:rsidRPr="00281E86">
        <w:t>Annual</w:t>
      </w:r>
      <w:r>
        <w:t xml:space="preserve"> </w:t>
      </w:r>
      <w:r w:rsidRPr="00281E86">
        <w:t>Report</w:t>
      </w:r>
      <w:r>
        <w:t xml:space="preserve"> </w:t>
      </w:r>
      <w:r w:rsidRPr="00281E86">
        <w:t>202</w:t>
      </w:r>
      <w:r w:rsidR="00D75B40">
        <w:t>3</w:t>
      </w:r>
      <w:r>
        <w:t>–</w:t>
      </w:r>
      <w:r w:rsidRPr="00281E86">
        <w:t>2</w:t>
      </w:r>
      <w:r w:rsidR="00D75B40">
        <w:t>4</w:t>
      </w:r>
    </w:p>
    <w:p w14:paraId="1368001D" w14:textId="77777777" w:rsidR="00D75B40" w:rsidRPr="00D75B40" w:rsidRDefault="00D75B40" w:rsidP="00D75B40">
      <w:pPr>
        <w:rPr>
          <w:b/>
          <w:bCs/>
        </w:rPr>
      </w:pPr>
      <w:r w:rsidRPr="00D75B40">
        <w:rPr>
          <w:b/>
          <w:bCs/>
        </w:rPr>
        <w:t>Acknowledgement of Country</w:t>
      </w:r>
    </w:p>
    <w:p w14:paraId="76FEE2ED" w14:textId="17D91647" w:rsidR="00D75B40" w:rsidRPr="00D75B40" w:rsidRDefault="00D75B40" w:rsidP="00D75B40">
      <w:r>
        <w:t>We acknowledge the traditional Aboriginal owners of Country throughout Victoria, their ongoing connection to this land and we pay our respects to their culture and their Elders past, present and future.</w:t>
      </w:r>
    </w:p>
    <w:p w14:paraId="7F21648F" w14:textId="1B3262A4" w:rsidR="000F7AD5" w:rsidRPr="00D75B40" w:rsidRDefault="00BA59A6" w:rsidP="00D75B40">
      <w:pPr>
        <w:rPr>
          <w:b/>
          <w:bCs/>
        </w:rPr>
      </w:pPr>
      <w:r w:rsidRPr="00D75B40">
        <w:rPr>
          <w:b/>
          <w:bCs/>
        </w:rPr>
        <w:t>Disclaimer</w:t>
      </w:r>
    </w:p>
    <w:p w14:paraId="3F1BB26B" w14:textId="65A86E2C" w:rsidR="000F7AD5" w:rsidRPr="009E524A" w:rsidRDefault="00BA59A6" w:rsidP="00151E14">
      <w:r w:rsidRPr="009E524A">
        <w:t>This</w:t>
      </w:r>
      <w:r w:rsidR="00CF7EE1">
        <w:t xml:space="preserve"> </w:t>
      </w:r>
      <w:r w:rsidRPr="009E524A">
        <w:t>publication</w:t>
      </w:r>
      <w:r w:rsidR="00CF7EE1">
        <w:t xml:space="preserve"> </w:t>
      </w:r>
      <w:r w:rsidRPr="009E524A">
        <w:t>may</w:t>
      </w:r>
      <w:r w:rsidR="00CF7EE1">
        <w:t xml:space="preserve"> </w:t>
      </w:r>
      <w:r w:rsidRPr="009E524A">
        <w:t>be</w:t>
      </w:r>
      <w:r w:rsidR="00CF7EE1">
        <w:t xml:space="preserve"> </w:t>
      </w:r>
      <w:r w:rsidRPr="009E524A">
        <w:t>of</w:t>
      </w:r>
      <w:r w:rsidR="00CF7EE1">
        <w:t xml:space="preserve"> </w:t>
      </w:r>
      <w:r w:rsidRPr="009E524A">
        <w:t>assistance</w:t>
      </w:r>
      <w:r w:rsidR="00CF7EE1">
        <w:t xml:space="preserve"> </w:t>
      </w:r>
      <w:r w:rsidRPr="009E524A">
        <w:t>to</w:t>
      </w:r>
      <w:r w:rsidR="00CF7EE1">
        <w:t xml:space="preserve"> </w:t>
      </w:r>
      <w:r w:rsidRPr="009E524A">
        <w:t>you,</w:t>
      </w:r>
      <w:r w:rsidR="00CF7EE1">
        <w:t xml:space="preserve"> </w:t>
      </w:r>
      <w:r w:rsidRPr="009E524A">
        <w:t>but</w:t>
      </w:r>
      <w:r w:rsidR="00CF7EE1">
        <w:t xml:space="preserve"> </w:t>
      </w:r>
      <w:r w:rsidRPr="009E524A">
        <w:t>the</w:t>
      </w:r>
      <w:r w:rsidR="00CF7EE1">
        <w:t xml:space="preserve"> </w:t>
      </w:r>
      <w:r w:rsidRPr="009E524A">
        <w:t>State</w:t>
      </w:r>
      <w:r w:rsidR="00CF7EE1">
        <w:t xml:space="preserve"> </w:t>
      </w:r>
      <w:r w:rsidRPr="009E524A">
        <w:t>of</w:t>
      </w:r>
      <w:r w:rsidR="00CF7EE1">
        <w:t xml:space="preserve"> </w:t>
      </w:r>
      <w:r w:rsidRPr="009E524A">
        <w:t>Victoria</w:t>
      </w:r>
      <w:r w:rsidR="00CF7EE1">
        <w:t xml:space="preserve"> </w:t>
      </w:r>
      <w:r w:rsidRPr="009E524A">
        <w:t>and</w:t>
      </w:r>
      <w:r w:rsidR="00CF7EE1">
        <w:t xml:space="preserve"> </w:t>
      </w:r>
      <w:r w:rsidRPr="009E524A">
        <w:t>its</w:t>
      </w:r>
      <w:r w:rsidR="00CF7EE1">
        <w:t xml:space="preserve"> </w:t>
      </w:r>
      <w:r w:rsidRPr="009E524A">
        <w:t>employees</w:t>
      </w:r>
      <w:r w:rsidR="00CF7EE1">
        <w:t xml:space="preserve"> </w:t>
      </w:r>
      <w:r w:rsidRPr="009E524A">
        <w:t>do</w:t>
      </w:r>
      <w:r w:rsidR="00CF7EE1">
        <w:t xml:space="preserve"> </w:t>
      </w:r>
      <w:r w:rsidRPr="009E524A">
        <w:t>not</w:t>
      </w:r>
      <w:r w:rsidR="00CF7EE1">
        <w:t xml:space="preserve"> </w:t>
      </w:r>
      <w:r w:rsidRPr="009E524A">
        <w:t>guarantee</w:t>
      </w:r>
      <w:r w:rsidR="00CF7EE1">
        <w:t xml:space="preserve"> </w:t>
      </w:r>
      <w:r w:rsidRPr="009E524A">
        <w:t>that</w:t>
      </w:r>
      <w:r w:rsidR="00CF7EE1">
        <w:t xml:space="preserve"> </w:t>
      </w:r>
      <w:r w:rsidRPr="009E524A">
        <w:t>the</w:t>
      </w:r>
      <w:r w:rsidR="00CF7EE1">
        <w:t xml:space="preserve"> </w:t>
      </w:r>
      <w:r w:rsidRPr="009E524A">
        <w:t>publication</w:t>
      </w:r>
      <w:r w:rsidR="00CF7EE1">
        <w:t xml:space="preserve"> </w:t>
      </w:r>
      <w:r w:rsidRPr="009E524A">
        <w:t>is</w:t>
      </w:r>
      <w:r w:rsidR="00CF7EE1">
        <w:t xml:space="preserve"> </w:t>
      </w:r>
      <w:r w:rsidRPr="009E524A">
        <w:t>without</w:t>
      </w:r>
      <w:r w:rsidR="00CF7EE1">
        <w:t xml:space="preserve"> </w:t>
      </w:r>
      <w:r w:rsidRPr="009E524A">
        <w:t>flaw</w:t>
      </w:r>
      <w:r w:rsidR="00CF7EE1">
        <w:t xml:space="preserve"> </w:t>
      </w:r>
      <w:r w:rsidRPr="009E524A">
        <w:t>of</w:t>
      </w:r>
      <w:r w:rsidR="00CF7EE1">
        <w:t xml:space="preserve"> </w:t>
      </w:r>
      <w:r w:rsidRPr="009E524A">
        <w:t>any</w:t>
      </w:r>
      <w:r w:rsidR="00CF7EE1">
        <w:t xml:space="preserve"> </w:t>
      </w:r>
      <w:r w:rsidRPr="009E524A">
        <w:t>kind</w:t>
      </w:r>
      <w:r w:rsidR="00CF7EE1">
        <w:t xml:space="preserve"> </w:t>
      </w:r>
      <w:r w:rsidRPr="009E524A">
        <w:t>or</w:t>
      </w:r>
      <w:r w:rsidR="00CF7EE1">
        <w:rPr>
          <w:rFonts w:ascii="Calibri" w:hAnsi="Calibri" w:cs="Calibri"/>
        </w:rPr>
        <w:t xml:space="preserve"> </w:t>
      </w:r>
      <w:r w:rsidRPr="009E524A">
        <w:t>is</w:t>
      </w:r>
      <w:r w:rsidR="00CF7EE1">
        <w:rPr>
          <w:rFonts w:ascii="Calibri" w:hAnsi="Calibri" w:cs="Calibri"/>
        </w:rPr>
        <w:t xml:space="preserve"> </w:t>
      </w:r>
      <w:r w:rsidRPr="009E524A">
        <w:t>wholly</w:t>
      </w:r>
      <w:r w:rsidR="00CF7EE1">
        <w:t xml:space="preserve"> </w:t>
      </w:r>
      <w:r w:rsidRPr="009E524A">
        <w:t>appropriate</w:t>
      </w:r>
      <w:r w:rsidR="00CF7EE1">
        <w:t xml:space="preserve"> </w:t>
      </w:r>
      <w:r w:rsidRPr="009E524A">
        <w:t>for</w:t>
      </w:r>
      <w:r w:rsidR="00CF7EE1">
        <w:t xml:space="preserve"> </w:t>
      </w:r>
      <w:r w:rsidRPr="009E524A">
        <w:t>your</w:t>
      </w:r>
      <w:r w:rsidR="00CF7EE1">
        <w:t xml:space="preserve"> </w:t>
      </w:r>
      <w:proofErr w:type="gramStart"/>
      <w:r w:rsidRPr="009E524A">
        <w:t>particular</w:t>
      </w:r>
      <w:r w:rsidR="00CF7EE1">
        <w:t xml:space="preserve"> </w:t>
      </w:r>
      <w:r w:rsidRPr="009E524A">
        <w:t>purposes</w:t>
      </w:r>
      <w:proofErr w:type="gramEnd"/>
      <w:r w:rsidR="00CF7EE1">
        <w:t xml:space="preserve"> </w:t>
      </w:r>
      <w:r w:rsidRPr="009E524A">
        <w:t>and</w:t>
      </w:r>
      <w:r w:rsidR="00CF7EE1">
        <w:rPr>
          <w:rFonts w:ascii="Calibri" w:hAnsi="Calibri" w:cs="Calibri"/>
        </w:rPr>
        <w:t xml:space="preserve"> </w:t>
      </w:r>
      <w:r w:rsidRPr="009E524A">
        <w:t>therefore</w:t>
      </w:r>
      <w:r w:rsidR="00CF7EE1">
        <w:t xml:space="preserve"> </w:t>
      </w:r>
      <w:r w:rsidRPr="009E524A">
        <w:t>disclaims</w:t>
      </w:r>
      <w:r w:rsidR="00CF7EE1">
        <w:t xml:space="preserve"> </w:t>
      </w:r>
      <w:r w:rsidRPr="009E524A">
        <w:t>all</w:t>
      </w:r>
      <w:r w:rsidR="00CF7EE1">
        <w:t xml:space="preserve"> </w:t>
      </w:r>
      <w:r w:rsidRPr="009E524A">
        <w:t>liability</w:t>
      </w:r>
      <w:r w:rsidR="00CF7EE1">
        <w:t xml:space="preserve"> </w:t>
      </w:r>
      <w:r w:rsidRPr="009E524A">
        <w:t>for</w:t>
      </w:r>
      <w:r w:rsidR="00CF7EE1">
        <w:t xml:space="preserve"> </w:t>
      </w:r>
      <w:r w:rsidRPr="009E524A">
        <w:t>any</w:t>
      </w:r>
      <w:r w:rsidR="00CF7EE1">
        <w:t xml:space="preserve"> </w:t>
      </w:r>
      <w:r w:rsidRPr="009E524A">
        <w:t>error,</w:t>
      </w:r>
      <w:r w:rsidR="00CF7EE1">
        <w:t xml:space="preserve"> </w:t>
      </w:r>
      <w:r w:rsidRPr="009E524A">
        <w:t>loss</w:t>
      </w:r>
      <w:r w:rsidR="00CF7EE1">
        <w:rPr>
          <w:rFonts w:ascii="Calibri" w:hAnsi="Calibri" w:cs="Calibri"/>
        </w:rPr>
        <w:t xml:space="preserve"> </w:t>
      </w:r>
      <w:r w:rsidRPr="009E524A">
        <w:t>or</w:t>
      </w:r>
      <w:r w:rsidR="00CF7EE1">
        <w:rPr>
          <w:rFonts w:ascii="Calibri" w:hAnsi="Calibri" w:cs="Calibri"/>
        </w:rPr>
        <w:t xml:space="preserve"> </w:t>
      </w:r>
      <w:r w:rsidRPr="009E524A">
        <w:t>other</w:t>
      </w:r>
      <w:r w:rsidR="00CF7EE1">
        <w:t xml:space="preserve"> </w:t>
      </w:r>
      <w:r w:rsidRPr="009E524A">
        <w:t>consequence</w:t>
      </w:r>
      <w:r w:rsidR="00CF7EE1">
        <w:t xml:space="preserve"> </w:t>
      </w:r>
      <w:r w:rsidRPr="009E524A">
        <w:t>which</w:t>
      </w:r>
      <w:r w:rsidR="00CF7EE1">
        <w:t xml:space="preserve"> </w:t>
      </w:r>
      <w:r w:rsidRPr="009E524A">
        <w:t>may</w:t>
      </w:r>
      <w:r w:rsidR="00CF7EE1">
        <w:t xml:space="preserve"> </w:t>
      </w:r>
      <w:r w:rsidRPr="009E524A">
        <w:t>arise</w:t>
      </w:r>
      <w:r w:rsidR="00CF7EE1">
        <w:t xml:space="preserve"> </w:t>
      </w:r>
      <w:r w:rsidRPr="009E524A">
        <w:t>from</w:t>
      </w:r>
      <w:r w:rsidR="00CF7EE1">
        <w:t xml:space="preserve"> </w:t>
      </w:r>
      <w:r w:rsidRPr="009E524A">
        <w:t>you</w:t>
      </w:r>
      <w:r w:rsidR="00CF7EE1">
        <w:rPr>
          <w:rFonts w:ascii="Calibri" w:hAnsi="Calibri" w:cs="Calibri"/>
        </w:rPr>
        <w:t xml:space="preserve"> </w:t>
      </w:r>
      <w:r w:rsidRPr="009E524A">
        <w:t>relying</w:t>
      </w:r>
      <w:r w:rsidR="00CF7EE1">
        <w:t xml:space="preserve"> </w:t>
      </w:r>
      <w:r w:rsidRPr="009E524A">
        <w:t>on</w:t>
      </w:r>
      <w:r w:rsidR="00CF7EE1">
        <w:t xml:space="preserve"> </w:t>
      </w:r>
      <w:r w:rsidRPr="009E524A">
        <w:t>any</w:t>
      </w:r>
      <w:r w:rsidR="00CF7EE1">
        <w:t xml:space="preserve"> </w:t>
      </w:r>
      <w:r w:rsidRPr="009E524A">
        <w:t>information</w:t>
      </w:r>
      <w:r w:rsidR="00CF7EE1">
        <w:t xml:space="preserve"> </w:t>
      </w:r>
      <w:r w:rsidRPr="009E524A">
        <w:t>in</w:t>
      </w:r>
      <w:r w:rsidR="00CF7EE1">
        <w:t xml:space="preserve"> </w:t>
      </w:r>
      <w:r w:rsidRPr="009E524A">
        <w:t>this</w:t>
      </w:r>
      <w:r w:rsidR="00CF7EE1">
        <w:t xml:space="preserve"> </w:t>
      </w:r>
      <w:r w:rsidRPr="009E524A">
        <w:t>publication.</w:t>
      </w:r>
    </w:p>
    <w:p w14:paraId="24987F13" w14:textId="2A3B77DB" w:rsidR="000F7AD5" w:rsidRPr="009E524A" w:rsidRDefault="00BA59A6" w:rsidP="00CF7EE1">
      <w:r w:rsidRPr="009E524A">
        <w:t>While</w:t>
      </w:r>
      <w:r w:rsidR="00CF7EE1">
        <w:t xml:space="preserve"> </w:t>
      </w:r>
      <w:r w:rsidRPr="009E524A">
        <w:t>every</w:t>
      </w:r>
      <w:r w:rsidR="00CF7EE1">
        <w:t xml:space="preserve"> </w:t>
      </w:r>
      <w:r w:rsidRPr="009E524A">
        <w:t>effort</w:t>
      </w:r>
      <w:r w:rsidR="00CF7EE1">
        <w:t xml:space="preserve"> </w:t>
      </w:r>
      <w:r w:rsidRPr="009E524A">
        <w:t>has</w:t>
      </w:r>
      <w:r w:rsidR="00CF7EE1">
        <w:t xml:space="preserve"> </w:t>
      </w:r>
      <w:r w:rsidRPr="009E524A">
        <w:t>been</w:t>
      </w:r>
      <w:r w:rsidR="00CF7EE1">
        <w:t xml:space="preserve"> </w:t>
      </w:r>
      <w:r w:rsidRPr="009E524A">
        <w:t>made</w:t>
      </w:r>
      <w:r w:rsidR="00CF7EE1">
        <w:t xml:space="preserve"> </w:t>
      </w:r>
      <w:r w:rsidRPr="009E524A">
        <w:t>to</w:t>
      </w:r>
      <w:r w:rsidR="00CF7EE1">
        <w:t xml:space="preserve"> </w:t>
      </w:r>
      <w:r w:rsidRPr="009E524A">
        <w:t>ensure</w:t>
      </w:r>
      <w:r w:rsidR="00CF7EE1">
        <w:t xml:space="preserve"> </w:t>
      </w:r>
      <w:r w:rsidRPr="009E524A">
        <w:t>the</w:t>
      </w:r>
      <w:r w:rsidR="00CF7EE1">
        <w:t xml:space="preserve"> </w:t>
      </w:r>
      <w:r w:rsidRPr="009E524A">
        <w:t>currency,</w:t>
      </w:r>
      <w:r w:rsidR="00CF7EE1">
        <w:t xml:space="preserve"> </w:t>
      </w:r>
      <w:r w:rsidRPr="009E524A">
        <w:t>accuracy</w:t>
      </w:r>
      <w:r w:rsidR="00CF7EE1">
        <w:t xml:space="preserve"> </w:t>
      </w:r>
      <w:r w:rsidRPr="009E524A">
        <w:t>or</w:t>
      </w:r>
      <w:r w:rsidR="00CF7EE1">
        <w:t xml:space="preserve"> </w:t>
      </w:r>
      <w:r w:rsidRPr="009E524A">
        <w:t>completeness</w:t>
      </w:r>
      <w:r w:rsidR="00CF7EE1">
        <w:t xml:space="preserve"> </w:t>
      </w:r>
      <w:r w:rsidRPr="009E524A">
        <w:t>of</w:t>
      </w:r>
      <w:r w:rsidR="00CF7EE1">
        <w:t xml:space="preserve"> </w:t>
      </w:r>
      <w:r w:rsidRPr="009E524A">
        <w:t>the</w:t>
      </w:r>
      <w:r w:rsidR="00CF7EE1">
        <w:t xml:space="preserve"> </w:t>
      </w:r>
      <w:r w:rsidRPr="009E524A">
        <w:t>content</w:t>
      </w:r>
      <w:r w:rsidR="00CF7EE1">
        <w:t xml:space="preserve"> </w:t>
      </w:r>
      <w:r w:rsidRPr="009E524A">
        <w:t>we</w:t>
      </w:r>
      <w:r w:rsidR="00CF7EE1">
        <w:rPr>
          <w:rFonts w:ascii="Calibri" w:hAnsi="Calibri" w:cs="Calibri"/>
        </w:rPr>
        <w:t xml:space="preserve"> </w:t>
      </w:r>
      <w:r w:rsidRPr="009E524A">
        <w:t>endeavour</w:t>
      </w:r>
      <w:r w:rsidR="00CF7EE1">
        <w:t xml:space="preserve"> </w:t>
      </w:r>
      <w:r w:rsidRPr="009E524A">
        <w:t>to</w:t>
      </w:r>
      <w:r w:rsidR="00CF7EE1">
        <w:t xml:space="preserve"> </w:t>
      </w:r>
      <w:r w:rsidRPr="009E524A">
        <w:t>keep</w:t>
      </w:r>
      <w:r w:rsidR="00CF7EE1">
        <w:t xml:space="preserve"> </w:t>
      </w:r>
      <w:r w:rsidRPr="009E524A">
        <w:t>the</w:t>
      </w:r>
      <w:r w:rsidR="00CF7EE1">
        <w:t xml:space="preserve"> </w:t>
      </w:r>
      <w:r w:rsidRPr="009E524A">
        <w:t>content</w:t>
      </w:r>
      <w:r w:rsidR="00CF7EE1">
        <w:t xml:space="preserve"> </w:t>
      </w:r>
      <w:r w:rsidRPr="009E524A">
        <w:t>relevant</w:t>
      </w:r>
      <w:r w:rsidR="00CF7EE1">
        <w:t xml:space="preserve"> </w:t>
      </w:r>
      <w:r w:rsidRPr="009E524A">
        <w:t>and</w:t>
      </w:r>
      <w:r w:rsidR="00CF7EE1">
        <w:t xml:space="preserve"> </w:t>
      </w:r>
      <w:r w:rsidRPr="009E524A">
        <w:t>up</w:t>
      </w:r>
      <w:r w:rsidR="00CF7EE1">
        <w:rPr>
          <w:rFonts w:ascii="Calibri" w:hAnsi="Calibri" w:cs="Calibri"/>
        </w:rPr>
        <w:t xml:space="preserve"> </w:t>
      </w:r>
      <w:r w:rsidRPr="009E524A">
        <w:t>to</w:t>
      </w:r>
      <w:r w:rsidR="00CF7EE1">
        <w:t xml:space="preserve"> </w:t>
      </w:r>
      <w:r w:rsidRPr="009E524A">
        <w:t>date</w:t>
      </w:r>
      <w:r w:rsidR="00CF7EE1">
        <w:t xml:space="preserve"> </w:t>
      </w:r>
      <w:r w:rsidRPr="009E524A">
        <w:t>and</w:t>
      </w:r>
      <w:r w:rsidR="00CF7EE1">
        <w:t xml:space="preserve"> </w:t>
      </w:r>
      <w:r w:rsidRPr="009E524A">
        <w:t>reserve</w:t>
      </w:r>
      <w:r w:rsidR="00CF7EE1">
        <w:t xml:space="preserve"> </w:t>
      </w:r>
      <w:r w:rsidRPr="009E524A">
        <w:t>the</w:t>
      </w:r>
      <w:r w:rsidR="00CF7EE1">
        <w:t xml:space="preserve"> </w:t>
      </w:r>
      <w:r w:rsidRPr="009E524A">
        <w:t>right</w:t>
      </w:r>
      <w:r w:rsidR="00CF7EE1">
        <w:t xml:space="preserve"> </w:t>
      </w:r>
      <w:r w:rsidRPr="009E524A">
        <w:t>to</w:t>
      </w:r>
      <w:r w:rsidR="00CF7EE1">
        <w:t xml:space="preserve"> </w:t>
      </w:r>
      <w:r w:rsidRPr="009E524A">
        <w:t>make</w:t>
      </w:r>
      <w:r w:rsidR="00CF7EE1">
        <w:t xml:space="preserve"> </w:t>
      </w:r>
      <w:r w:rsidRPr="009E524A">
        <w:t>changes</w:t>
      </w:r>
      <w:r w:rsidR="00CF7EE1">
        <w:t xml:space="preserve"> </w:t>
      </w:r>
      <w:r w:rsidRPr="009E524A">
        <w:t>as</w:t>
      </w:r>
      <w:r w:rsidR="00CF7EE1">
        <w:t xml:space="preserve"> </w:t>
      </w:r>
      <w:r w:rsidRPr="009E524A">
        <w:t>required.</w:t>
      </w:r>
      <w:r w:rsidR="00CF7EE1">
        <w:t xml:space="preserve"> </w:t>
      </w:r>
      <w:r w:rsidRPr="009E524A">
        <w:t>The</w:t>
      </w:r>
      <w:r w:rsidR="00CF7EE1">
        <w:rPr>
          <w:rFonts w:ascii="Calibri" w:hAnsi="Calibri" w:cs="Calibri"/>
        </w:rPr>
        <w:t xml:space="preserve"> </w:t>
      </w:r>
      <w:r w:rsidRPr="009E524A">
        <w:t>Victorian</w:t>
      </w:r>
      <w:r w:rsidR="00CF7EE1">
        <w:t xml:space="preserve"> </w:t>
      </w:r>
      <w:r w:rsidRPr="009E524A">
        <w:t>Government,</w:t>
      </w:r>
      <w:r w:rsidR="00CF7EE1">
        <w:t xml:space="preserve"> </w:t>
      </w:r>
      <w:r w:rsidRPr="009E524A">
        <w:t>authors</w:t>
      </w:r>
      <w:r w:rsidR="00CF7EE1">
        <w:t xml:space="preserve"> </w:t>
      </w:r>
      <w:r w:rsidRPr="009E524A">
        <w:t>and</w:t>
      </w:r>
      <w:r w:rsidR="00CF7EE1">
        <w:rPr>
          <w:rFonts w:ascii="Calibri" w:hAnsi="Calibri" w:cs="Calibri"/>
        </w:rPr>
        <w:t xml:space="preserve"> </w:t>
      </w:r>
      <w:r w:rsidRPr="009E524A">
        <w:t>presenters</w:t>
      </w:r>
      <w:r w:rsidR="00CF7EE1">
        <w:t xml:space="preserve"> </w:t>
      </w:r>
      <w:r w:rsidRPr="009E524A">
        <w:t>do</w:t>
      </w:r>
      <w:r w:rsidR="00CF7EE1">
        <w:t xml:space="preserve"> </w:t>
      </w:r>
      <w:r w:rsidRPr="009E524A">
        <w:t>not</w:t>
      </w:r>
      <w:r w:rsidR="00CF7EE1">
        <w:t xml:space="preserve"> </w:t>
      </w:r>
      <w:r w:rsidRPr="009E524A">
        <w:t>accept</w:t>
      </w:r>
      <w:r w:rsidR="00CF7EE1">
        <w:t xml:space="preserve"> </w:t>
      </w:r>
      <w:r w:rsidRPr="009E524A">
        <w:t>any</w:t>
      </w:r>
      <w:r w:rsidR="00CF7EE1">
        <w:t xml:space="preserve"> </w:t>
      </w:r>
      <w:r w:rsidRPr="009E524A">
        <w:t>liability</w:t>
      </w:r>
      <w:r w:rsidR="00CF7EE1">
        <w:t xml:space="preserve"> </w:t>
      </w:r>
      <w:r w:rsidRPr="009E524A">
        <w:t>to</w:t>
      </w:r>
      <w:r w:rsidR="00CF7EE1">
        <w:rPr>
          <w:rFonts w:ascii="Calibri" w:hAnsi="Calibri" w:cs="Calibri"/>
        </w:rPr>
        <w:t xml:space="preserve"> </w:t>
      </w:r>
      <w:r w:rsidRPr="009E524A">
        <w:t>any</w:t>
      </w:r>
      <w:r w:rsidR="00CF7EE1">
        <w:t xml:space="preserve"> </w:t>
      </w:r>
      <w:r w:rsidRPr="009E524A">
        <w:t>person</w:t>
      </w:r>
      <w:r w:rsidR="00CF7EE1">
        <w:rPr>
          <w:rFonts w:ascii="Calibri" w:hAnsi="Calibri" w:cs="Calibri"/>
        </w:rPr>
        <w:t xml:space="preserve"> </w:t>
      </w:r>
      <w:r w:rsidRPr="009E524A">
        <w:t>for</w:t>
      </w:r>
      <w:r w:rsidR="00CF7EE1">
        <w:rPr>
          <w:rFonts w:ascii="Calibri" w:hAnsi="Calibri" w:cs="Calibri"/>
        </w:rPr>
        <w:t xml:space="preserve"> </w:t>
      </w:r>
      <w:r w:rsidRPr="009E524A">
        <w:t>the</w:t>
      </w:r>
      <w:r w:rsidR="00CF7EE1">
        <w:t xml:space="preserve"> </w:t>
      </w:r>
      <w:r w:rsidRPr="009E524A">
        <w:t>information</w:t>
      </w:r>
      <w:r w:rsidR="00CF7EE1">
        <w:t xml:space="preserve"> </w:t>
      </w:r>
      <w:r w:rsidRPr="009E524A">
        <w:t>(or</w:t>
      </w:r>
      <w:r w:rsidR="00CF7EE1">
        <w:t xml:space="preserve"> </w:t>
      </w:r>
      <w:r w:rsidRPr="009E524A">
        <w:t>the</w:t>
      </w:r>
      <w:r w:rsidR="00CF7EE1">
        <w:t xml:space="preserve"> </w:t>
      </w:r>
      <w:r w:rsidRPr="009E524A">
        <w:t>use</w:t>
      </w:r>
      <w:r w:rsidR="00CF7EE1">
        <w:t xml:space="preserve"> </w:t>
      </w:r>
      <w:r w:rsidRPr="009E524A">
        <w:t>of</w:t>
      </w:r>
      <w:r w:rsidR="00CF7EE1">
        <w:t xml:space="preserve"> </w:t>
      </w:r>
      <w:r w:rsidRPr="009E524A">
        <w:t>the</w:t>
      </w:r>
      <w:r w:rsidR="00CF7EE1">
        <w:t xml:space="preserve"> </w:t>
      </w:r>
      <w:r w:rsidRPr="009E524A">
        <w:t>information)</w:t>
      </w:r>
      <w:r w:rsidR="00CF7EE1">
        <w:t xml:space="preserve"> </w:t>
      </w:r>
      <w:r w:rsidRPr="009E524A">
        <w:t>which</w:t>
      </w:r>
      <w:r w:rsidR="00CF7EE1">
        <w:t xml:space="preserve"> </w:t>
      </w:r>
      <w:r w:rsidRPr="009E524A">
        <w:t>is</w:t>
      </w:r>
      <w:r w:rsidR="00CF7EE1">
        <w:t xml:space="preserve"> </w:t>
      </w:r>
      <w:r w:rsidRPr="009E524A">
        <w:t>provided</w:t>
      </w:r>
      <w:r w:rsidR="00CF7EE1">
        <w:t xml:space="preserve"> </w:t>
      </w:r>
      <w:r w:rsidRPr="009E524A">
        <w:t>or</w:t>
      </w:r>
      <w:r w:rsidR="00CF7EE1">
        <w:t xml:space="preserve"> </w:t>
      </w:r>
      <w:r w:rsidRPr="009E524A">
        <w:t>referred</w:t>
      </w:r>
      <w:r w:rsidR="00CF7EE1">
        <w:t xml:space="preserve"> </w:t>
      </w:r>
      <w:r w:rsidRPr="009E524A">
        <w:t>to</w:t>
      </w:r>
      <w:r w:rsidR="00CF7EE1">
        <w:t xml:space="preserve"> </w:t>
      </w:r>
      <w:r w:rsidRPr="009E524A">
        <w:t>in</w:t>
      </w:r>
      <w:r w:rsidR="00CF7EE1">
        <w:t xml:space="preserve"> </w:t>
      </w:r>
      <w:r w:rsidRPr="009E524A">
        <w:t>the</w:t>
      </w:r>
      <w:r w:rsidR="00CF7EE1">
        <w:t xml:space="preserve"> </w:t>
      </w:r>
      <w:r w:rsidRPr="009E524A">
        <w:t>report.</w:t>
      </w:r>
    </w:p>
    <w:p w14:paraId="094FCB54" w14:textId="6DE11537" w:rsidR="000F7AD5" w:rsidRPr="009E524A" w:rsidRDefault="00BA59A6" w:rsidP="00CF7EE1">
      <w:r w:rsidRPr="009E524A">
        <w:t>Authorised</w:t>
      </w:r>
      <w:r w:rsidR="00CF7EE1">
        <w:t xml:space="preserve"> </w:t>
      </w:r>
      <w:r w:rsidRPr="009E524A">
        <w:t>by</w:t>
      </w:r>
      <w:r w:rsidR="00CF7EE1">
        <w:t xml:space="preserve"> </w:t>
      </w:r>
      <w:r w:rsidRPr="009E524A">
        <w:t>the</w:t>
      </w:r>
      <w:r w:rsidR="00CF7EE1">
        <w:t xml:space="preserve"> </w:t>
      </w:r>
      <w:r w:rsidRPr="009E524A">
        <w:t>Victorian</w:t>
      </w:r>
      <w:r w:rsidR="00CF7EE1">
        <w:t xml:space="preserve"> </w:t>
      </w:r>
      <w:r w:rsidRPr="009E524A">
        <w:t>Government</w:t>
      </w:r>
      <w:r w:rsidR="00CF7EE1">
        <w:t xml:space="preserve"> </w:t>
      </w:r>
      <w:r w:rsidRPr="009E524A">
        <w:t>Department</w:t>
      </w:r>
      <w:r w:rsidR="00CF7EE1">
        <w:t xml:space="preserve"> </w:t>
      </w:r>
      <w:r w:rsidRPr="009E524A">
        <w:t>of</w:t>
      </w:r>
      <w:r w:rsidR="00CF7EE1">
        <w:rPr>
          <w:rFonts w:ascii="Calibri" w:hAnsi="Calibri" w:cs="Calibri"/>
        </w:rPr>
        <w:t xml:space="preserve"> </w:t>
      </w:r>
      <w:r w:rsidRPr="009E524A">
        <w:t>Jobs,</w:t>
      </w:r>
      <w:r w:rsidR="00CF7EE1">
        <w:t xml:space="preserve"> </w:t>
      </w:r>
      <w:r w:rsidRPr="009E524A">
        <w:t>Skills,</w:t>
      </w:r>
      <w:r w:rsidR="00CF7EE1">
        <w:t xml:space="preserve"> </w:t>
      </w:r>
      <w:r w:rsidRPr="009E524A">
        <w:t>Industry</w:t>
      </w:r>
      <w:r w:rsidR="00CF7EE1">
        <w:t xml:space="preserve"> </w:t>
      </w:r>
      <w:r w:rsidRPr="009E524A">
        <w:t>and</w:t>
      </w:r>
      <w:r w:rsidR="00CF7EE1">
        <w:t xml:space="preserve"> </w:t>
      </w:r>
      <w:r w:rsidRPr="009E524A">
        <w:t>Regions</w:t>
      </w:r>
    </w:p>
    <w:p w14:paraId="55381DAC" w14:textId="586CDCA6" w:rsidR="000F7AD5" w:rsidRPr="009E524A" w:rsidRDefault="00BA59A6" w:rsidP="00CF7EE1">
      <w:r w:rsidRPr="009E524A">
        <w:t>121</w:t>
      </w:r>
      <w:r w:rsidR="00CF7EE1">
        <w:t xml:space="preserve"> </w:t>
      </w:r>
      <w:r w:rsidRPr="009E524A">
        <w:t>Exhibition</w:t>
      </w:r>
      <w:r w:rsidR="00CF7EE1">
        <w:t xml:space="preserve"> </w:t>
      </w:r>
      <w:r w:rsidRPr="009E524A">
        <w:t>St,</w:t>
      </w:r>
      <w:r w:rsidR="00CF7EE1">
        <w:t xml:space="preserve"> </w:t>
      </w:r>
      <w:r w:rsidRPr="009E524A">
        <w:t>Melbourne</w:t>
      </w:r>
      <w:r w:rsidR="00CF7EE1">
        <w:t xml:space="preserve"> </w:t>
      </w:r>
      <w:r w:rsidRPr="009E524A">
        <w:t>Victoria</w:t>
      </w:r>
      <w:r w:rsidR="00CF7EE1">
        <w:t xml:space="preserve"> </w:t>
      </w:r>
      <w:r w:rsidRPr="009E524A">
        <w:t>3000</w:t>
      </w:r>
    </w:p>
    <w:p w14:paraId="64D72640" w14:textId="1AE2A473" w:rsidR="000F7AD5" w:rsidRPr="009E524A" w:rsidRDefault="00BA59A6" w:rsidP="00CF7EE1">
      <w:r w:rsidRPr="009E524A">
        <w:t>Telephone:</w:t>
      </w:r>
      <w:r w:rsidR="00CF7EE1">
        <w:t xml:space="preserve"> </w:t>
      </w:r>
      <w:r w:rsidRPr="009E524A">
        <w:t>13</w:t>
      </w:r>
      <w:r w:rsidR="00CF7EE1">
        <w:t xml:space="preserve"> </w:t>
      </w:r>
      <w:r w:rsidRPr="009E524A">
        <w:t>22</w:t>
      </w:r>
      <w:r w:rsidR="00CF7EE1">
        <w:t xml:space="preserve"> </w:t>
      </w:r>
      <w:r w:rsidRPr="009E524A">
        <w:t>15</w:t>
      </w:r>
    </w:p>
    <w:p w14:paraId="2CE34C21" w14:textId="4671E14D" w:rsidR="000F7AD5" w:rsidRPr="00CF7EE1" w:rsidRDefault="00BA59A6" w:rsidP="00CF7EE1">
      <w:r w:rsidRPr="009E524A">
        <w:t>Prepared</w:t>
      </w:r>
      <w:r w:rsidR="00CF7EE1">
        <w:t xml:space="preserve"> </w:t>
      </w:r>
      <w:r w:rsidRPr="009E524A">
        <w:t>under</w:t>
      </w:r>
      <w:r w:rsidR="00CF7EE1">
        <w:t xml:space="preserve"> </w:t>
      </w:r>
      <w:r w:rsidRPr="009E524A">
        <w:t>section</w:t>
      </w:r>
      <w:r w:rsidR="00CF7EE1">
        <w:t xml:space="preserve"> </w:t>
      </w:r>
      <w:r w:rsidRPr="009E524A">
        <w:t>10</w:t>
      </w:r>
      <w:r w:rsidR="00CF7EE1">
        <w:t xml:space="preserve"> </w:t>
      </w:r>
      <w:r w:rsidRPr="009E524A">
        <w:t>of</w:t>
      </w:r>
      <w:r w:rsidR="00CF7EE1">
        <w:t xml:space="preserve"> </w:t>
      </w:r>
      <w:r w:rsidRPr="009E524A">
        <w:t>the</w:t>
      </w:r>
      <w:r w:rsidR="00CF7EE1">
        <w:t xml:space="preserve"> </w:t>
      </w:r>
      <w:r w:rsidRPr="00CF7EE1">
        <w:rPr>
          <w:i/>
          <w:iCs/>
        </w:rPr>
        <w:t>Local</w:t>
      </w:r>
      <w:r w:rsidR="00CF7EE1" w:rsidRPr="00CF7EE1">
        <w:rPr>
          <w:i/>
          <w:iCs/>
        </w:rPr>
        <w:t xml:space="preserve"> </w:t>
      </w:r>
      <w:r w:rsidRPr="00CF7EE1">
        <w:rPr>
          <w:i/>
          <w:iCs/>
        </w:rPr>
        <w:t>Jobs</w:t>
      </w:r>
      <w:r w:rsidR="00CF7EE1" w:rsidRPr="00CF7EE1">
        <w:rPr>
          <w:i/>
          <w:iCs/>
        </w:rPr>
        <w:t xml:space="preserve"> </w:t>
      </w:r>
      <w:r w:rsidRPr="00CF7EE1">
        <w:rPr>
          <w:i/>
          <w:iCs/>
        </w:rPr>
        <w:t>First</w:t>
      </w:r>
      <w:r w:rsidR="00CF7EE1" w:rsidRPr="00CF7EE1">
        <w:rPr>
          <w:i/>
          <w:iCs/>
        </w:rPr>
        <w:t xml:space="preserve"> </w:t>
      </w:r>
      <w:r w:rsidRPr="00CF7EE1">
        <w:rPr>
          <w:i/>
          <w:iCs/>
        </w:rPr>
        <w:t>Act</w:t>
      </w:r>
      <w:r w:rsidR="00CF7EE1" w:rsidRPr="00CF7EE1">
        <w:rPr>
          <w:i/>
          <w:iCs/>
        </w:rPr>
        <w:t xml:space="preserve"> </w:t>
      </w:r>
      <w:r w:rsidRPr="00CF7EE1">
        <w:rPr>
          <w:i/>
          <w:iCs/>
        </w:rPr>
        <w:t>2003</w:t>
      </w:r>
    </w:p>
    <w:p w14:paraId="26EC5087" w14:textId="5608DD40" w:rsidR="000F7AD5" w:rsidRPr="009E524A" w:rsidRDefault="00BA59A6" w:rsidP="00CF7EE1">
      <w:r w:rsidRPr="009E524A">
        <w:t>November</w:t>
      </w:r>
      <w:r w:rsidR="00CF7EE1">
        <w:t xml:space="preserve"> </w:t>
      </w:r>
      <w:r w:rsidRPr="009E524A">
        <w:t>202</w:t>
      </w:r>
      <w:r w:rsidR="00D75B40">
        <w:t>4</w:t>
      </w:r>
    </w:p>
    <w:p w14:paraId="52DA09E8" w14:textId="42555371" w:rsidR="000F7AD5" w:rsidRPr="009E524A" w:rsidRDefault="00BA59A6" w:rsidP="00CF7EE1">
      <w:r w:rsidRPr="009E524A">
        <w:t>©</w:t>
      </w:r>
      <w:r w:rsidR="00CF7EE1">
        <w:t xml:space="preserve"> </w:t>
      </w:r>
      <w:r w:rsidRPr="009E524A">
        <w:t>State</w:t>
      </w:r>
      <w:r w:rsidR="00CF7EE1">
        <w:t xml:space="preserve"> </w:t>
      </w:r>
      <w:r w:rsidRPr="009E524A">
        <w:t>of</w:t>
      </w:r>
      <w:r w:rsidR="00CF7EE1">
        <w:t xml:space="preserve"> </w:t>
      </w:r>
      <w:r w:rsidRPr="009E524A">
        <w:t>Victoria</w:t>
      </w:r>
      <w:r w:rsidR="00CF7EE1">
        <w:t xml:space="preserve"> </w:t>
      </w:r>
      <w:r w:rsidRPr="009E524A">
        <w:t>202</w:t>
      </w:r>
      <w:r w:rsidR="00D75B40">
        <w:t>4</w:t>
      </w:r>
    </w:p>
    <w:p w14:paraId="11BAF255" w14:textId="0A48FF9C" w:rsidR="000F7AD5" w:rsidRPr="009E524A" w:rsidRDefault="00BA59A6" w:rsidP="00CF7EE1">
      <w:r w:rsidRPr="00CF7EE1">
        <w:t>Unless</w:t>
      </w:r>
      <w:r w:rsidR="00CF7EE1" w:rsidRPr="00CF7EE1">
        <w:t xml:space="preserve"> </w:t>
      </w:r>
      <w:r w:rsidRPr="00CF7EE1">
        <w:t>indicated</w:t>
      </w:r>
      <w:r w:rsidR="00CF7EE1" w:rsidRPr="00CF7EE1">
        <w:t xml:space="preserve"> </w:t>
      </w:r>
      <w:r w:rsidRPr="00CF7EE1">
        <w:t>otherwise,</w:t>
      </w:r>
      <w:r w:rsidR="00CF7EE1" w:rsidRPr="00CF7EE1">
        <w:t xml:space="preserve"> </w:t>
      </w:r>
      <w:r w:rsidRPr="00CF7EE1">
        <w:t>this</w:t>
      </w:r>
      <w:r w:rsidR="00CF7EE1" w:rsidRPr="00CF7EE1">
        <w:t xml:space="preserve"> </w:t>
      </w:r>
      <w:r w:rsidRPr="00CF7EE1">
        <w:t>work</w:t>
      </w:r>
      <w:r w:rsidR="00CF7EE1" w:rsidRPr="00CF7EE1">
        <w:t xml:space="preserve"> </w:t>
      </w:r>
      <w:r w:rsidRPr="00CF7EE1">
        <w:t>is</w:t>
      </w:r>
      <w:r w:rsidR="00CF7EE1" w:rsidRPr="00CF7EE1">
        <w:t xml:space="preserve"> </w:t>
      </w:r>
      <w:r w:rsidRPr="00CF7EE1">
        <w:t>made</w:t>
      </w:r>
      <w:r w:rsidR="00CF7EE1" w:rsidRPr="00CF7EE1">
        <w:t xml:space="preserve"> </w:t>
      </w:r>
      <w:r w:rsidRPr="00CF7EE1">
        <w:t>available</w:t>
      </w:r>
      <w:r w:rsidR="00CF7EE1" w:rsidRPr="00CF7EE1">
        <w:t xml:space="preserve"> </w:t>
      </w:r>
      <w:r w:rsidRPr="00CF7EE1">
        <w:t>under</w:t>
      </w:r>
      <w:r w:rsidR="00CF7EE1" w:rsidRPr="00CF7EE1">
        <w:t xml:space="preserve"> </w:t>
      </w:r>
      <w:r w:rsidRPr="00CF7EE1">
        <w:t>the</w:t>
      </w:r>
      <w:r w:rsidR="00CF7EE1" w:rsidRPr="00CF7EE1">
        <w:t xml:space="preserve"> </w:t>
      </w:r>
      <w:r w:rsidRPr="00CF7EE1">
        <w:t>terms</w:t>
      </w:r>
      <w:r w:rsidR="00CF7EE1" w:rsidRPr="00CF7EE1">
        <w:t xml:space="preserve"> </w:t>
      </w:r>
      <w:r w:rsidRPr="00CF7EE1">
        <w:t>of</w:t>
      </w:r>
      <w:r w:rsidR="00CF7EE1" w:rsidRPr="00CF7EE1">
        <w:t xml:space="preserve"> </w:t>
      </w:r>
      <w:r w:rsidRPr="00CF7EE1">
        <w:t>the</w:t>
      </w:r>
      <w:r w:rsidR="00CF7EE1" w:rsidRPr="00CF7EE1">
        <w:t xml:space="preserve"> </w:t>
      </w:r>
      <w:r w:rsidRPr="00CF7EE1">
        <w:t>Creative</w:t>
      </w:r>
      <w:r w:rsidR="00CF7EE1" w:rsidRPr="00CF7EE1">
        <w:t xml:space="preserve"> </w:t>
      </w:r>
      <w:r w:rsidRPr="00CF7EE1">
        <w:t>Commons</w:t>
      </w:r>
      <w:r w:rsidR="00CF7EE1" w:rsidRPr="00CF7EE1">
        <w:t xml:space="preserve"> </w:t>
      </w:r>
      <w:r w:rsidRPr="00CF7EE1">
        <w:t>Attribution</w:t>
      </w:r>
      <w:r w:rsidR="00CF7EE1" w:rsidRPr="00CF7EE1">
        <w:t xml:space="preserve"> </w:t>
      </w:r>
      <w:r w:rsidRPr="00CF7EE1">
        <w:t>3.0</w:t>
      </w:r>
      <w:r w:rsidR="00CF7EE1" w:rsidRPr="00CF7EE1">
        <w:t xml:space="preserve"> </w:t>
      </w:r>
      <w:r w:rsidRPr="00CF7EE1">
        <w:t>Australia</w:t>
      </w:r>
      <w:r w:rsidR="00CF7EE1" w:rsidRPr="00CF7EE1">
        <w:t xml:space="preserve"> </w:t>
      </w:r>
      <w:r w:rsidRPr="00CF7EE1">
        <w:t>Licence.</w:t>
      </w:r>
      <w:r w:rsidR="00CF7EE1" w:rsidRPr="00CF7EE1">
        <w:t xml:space="preserve"> </w:t>
      </w:r>
      <w:r w:rsidRPr="00CF7EE1">
        <w:t>To</w:t>
      </w:r>
      <w:r w:rsidR="00CF7EE1" w:rsidRPr="00CF7EE1">
        <w:t xml:space="preserve"> </w:t>
      </w:r>
      <w:r w:rsidRPr="00CF7EE1">
        <w:t>view</w:t>
      </w:r>
      <w:r w:rsidR="00CF7EE1" w:rsidRPr="00CF7EE1">
        <w:t xml:space="preserve"> </w:t>
      </w:r>
      <w:r w:rsidRPr="00CF7EE1">
        <w:t>a</w:t>
      </w:r>
      <w:r w:rsidR="00CF7EE1" w:rsidRPr="00CF7EE1">
        <w:t xml:space="preserve"> </w:t>
      </w:r>
      <w:r w:rsidRPr="00CF7EE1">
        <w:t>copy</w:t>
      </w:r>
      <w:r w:rsidR="00CF7EE1" w:rsidRPr="00CF7EE1">
        <w:t xml:space="preserve"> </w:t>
      </w:r>
      <w:r w:rsidRPr="00CF7EE1">
        <w:t>of</w:t>
      </w:r>
      <w:r w:rsidR="00CF7EE1" w:rsidRPr="00CF7EE1">
        <w:t xml:space="preserve"> </w:t>
      </w:r>
      <w:r w:rsidRPr="00CF7EE1">
        <w:t>this</w:t>
      </w:r>
      <w:r w:rsidR="00CF7EE1" w:rsidRPr="00CF7EE1">
        <w:t xml:space="preserve"> </w:t>
      </w:r>
      <w:r w:rsidRPr="00CF7EE1">
        <w:t>licence,</w:t>
      </w:r>
      <w:r w:rsidR="00CF7EE1" w:rsidRPr="00CF7EE1">
        <w:t xml:space="preserve"> </w:t>
      </w:r>
      <w:r w:rsidRPr="00CF7EE1">
        <w:t>visit</w:t>
      </w:r>
      <w:r w:rsidR="00CF7EE1" w:rsidRPr="00CF7EE1">
        <w:t xml:space="preserve"> </w:t>
      </w:r>
      <w:hyperlink r:id="rId13" w:tooltip="Link to Creative Commons licenses webpage" w:history="1">
        <w:r w:rsidR="00CF7EE1" w:rsidRPr="00CF7EE1">
          <w:rPr>
            <w:rStyle w:val="Hyperlink"/>
          </w:rPr>
          <w:t>Creative Commons</w:t>
        </w:r>
      </w:hyperlink>
      <w:r w:rsidRPr="009E524A">
        <w:t>.</w:t>
      </w:r>
    </w:p>
    <w:p w14:paraId="4BEF73AE" w14:textId="0E4843BF" w:rsidR="000F7AD5" w:rsidRDefault="00BA59A6" w:rsidP="00CF7EE1">
      <w:r w:rsidRPr="009E524A">
        <w:lastRenderedPageBreak/>
        <w:t>It</w:t>
      </w:r>
      <w:r w:rsidR="00CF7EE1">
        <w:t xml:space="preserve"> </w:t>
      </w:r>
      <w:r w:rsidRPr="009E524A">
        <w:t>is</w:t>
      </w:r>
      <w:r w:rsidR="00CF7EE1">
        <w:t xml:space="preserve"> </w:t>
      </w:r>
      <w:r w:rsidRPr="009E524A">
        <w:t>a</w:t>
      </w:r>
      <w:r w:rsidR="00CF7EE1">
        <w:t xml:space="preserve"> </w:t>
      </w:r>
      <w:r w:rsidRPr="009E524A">
        <w:t>condition</w:t>
      </w:r>
      <w:r w:rsidR="00CF7EE1">
        <w:t xml:space="preserve"> </w:t>
      </w:r>
      <w:r w:rsidRPr="009E524A">
        <w:t>of</w:t>
      </w:r>
      <w:r w:rsidR="00CF7EE1">
        <w:t xml:space="preserve"> </w:t>
      </w:r>
      <w:r w:rsidRPr="009E524A">
        <w:t>this</w:t>
      </w:r>
      <w:r w:rsidR="00CF7EE1">
        <w:t xml:space="preserve"> </w:t>
      </w:r>
      <w:r w:rsidRPr="009E524A">
        <w:t>Creative</w:t>
      </w:r>
      <w:r w:rsidR="00CF7EE1">
        <w:t xml:space="preserve"> </w:t>
      </w:r>
      <w:r w:rsidRPr="009E524A">
        <w:t>Commons</w:t>
      </w:r>
      <w:r w:rsidR="00CF7EE1">
        <w:t xml:space="preserve"> </w:t>
      </w:r>
      <w:r w:rsidRPr="009E524A">
        <w:t>Attribution</w:t>
      </w:r>
      <w:r w:rsidR="00CF7EE1">
        <w:t xml:space="preserve"> </w:t>
      </w:r>
      <w:r w:rsidRPr="009E524A">
        <w:t>3.0</w:t>
      </w:r>
      <w:r w:rsidR="00CF7EE1">
        <w:t xml:space="preserve"> </w:t>
      </w:r>
      <w:r w:rsidRPr="009E524A">
        <w:t>Licence</w:t>
      </w:r>
      <w:r w:rsidR="00CF7EE1">
        <w:t xml:space="preserve"> </w:t>
      </w:r>
      <w:r w:rsidRPr="009E524A">
        <w:t>that</w:t>
      </w:r>
      <w:r w:rsidR="00CF7EE1">
        <w:t xml:space="preserve"> </w:t>
      </w:r>
      <w:r w:rsidRPr="009E524A">
        <w:t>you</w:t>
      </w:r>
      <w:r w:rsidR="00CF7EE1">
        <w:t xml:space="preserve"> </w:t>
      </w:r>
      <w:r w:rsidRPr="009E524A">
        <w:t>must</w:t>
      </w:r>
      <w:r w:rsidR="00CF7EE1">
        <w:t xml:space="preserve"> </w:t>
      </w:r>
      <w:r w:rsidRPr="009E524A">
        <w:t>give</w:t>
      </w:r>
      <w:r w:rsidR="00CF7EE1">
        <w:t xml:space="preserve"> </w:t>
      </w:r>
      <w:r w:rsidRPr="009E524A">
        <w:t>credit</w:t>
      </w:r>
      <w:r w:rsidR="00CF7EE1">
        <w:t xml:space="preserve"> </w:t>
      </w:r>
      <w:r w:rsidRPr="009E524A">
        <w:t>to</w:t>
      </w:r>
      <w:r w:rsidR="00CF7EE1">
        <w:t xml:space="preserve"> </w:t>
      </w:r>
      <w:r w:rsidRPr="009E524A">
        <w:t>the</w:t>
      </w:r>
      <w:r w:rsidR="00CF7EE1">
        <w:t xml:space="preserve"> </w:t>
      </w:r>
      <w:r w:rsidRPr="009E524A">
        <w:t>original</w:t>
      </w:r>
      <w:r w:rsidR="00CF7EE1">
        <w:t xml:space="preserve"> </w:t>
      </w:r>
      <w:r w:rsidRPr="009E524A">
        <w:t>author</w:t>
      </w:r>
      <w:r w:rsidR="00CF7EE1">
        <w:t xml:space="preserve"> </w:t>
      </w:r>
      <w:r w:rsidRPr="009E524A">
        <w:t>who</w:t>
      </w:r>
      <w:r w:rsidR="00CF7EE1">
        <w:t xml:space="preserve"> </w:t>
      </w:r>
      <w:r w:rsidRPr="009E524A">
        <w:t>is</w:t>
      </w:r>
      <w:r w:rsidR="00CF7EE1">
        <w:t xml:space="preserve"> </w:t>
      </w:r>
      <w:r w:rsidRPr="009E524A">
        <w:t>the</w:t>
      </w:r>
      <w:r w:rsidR="00CF7EE1">
        <w:t xml:space="preserve"> </w:t>
      </w:r>
      <w:r w:rsidRPr="009E524A">
        <w:t>State</w:t>
      </w:r>
      <w:r w:rsidR="00CF7EE1">
        <w:t xml:space="preserve"> </w:t>
      </w:r>
      <w:r w:rsidRPr="009E524A">
        <w:t>of</w:t>
      </w:r>
      <w:r w:rsidR="00CF7EE1">
        <w:t xml:space="preserve"> </w:t>
      </w:r>
      <w:r w:rsidRPr="009E524A">
        <w:t>Victoria.</w:t>
      </w:r>
    </w:p>
    <w:p w14:paraId="1AD7B247" w14:textId="5DD746C5" w:rsidR="00CF7EE1" w:rsidRDefault="00CF7EE1" w:rsidP="00CF7EE1">
      <w:pPr>
        <w:pStyle w:val="TOCHeading"/>
      </w:pPr>
      <w:r>
        <w:t>Contents</w:t>
      </w:r>
    </w:p>
    <w:p w14:paraId="7A37F8CF" w14:textId="79A054D8" w:rsidR="00062B5D" w:rsidRDefault="007C7515">
      <w:pPr>
        <w:pStyle w:val="TOC1"/>
        <w:rPr>
          <w:rFonts w:asciiTheme="minorHAnsi" w:eastAsiaTheme="minorEastAsia" w:hAnsiTheme="minorHAnsi" w:cstheme="minorBidi"/>
          <w:b w:val="0"/>
          <w:noProof/>
          <w:kern w:val="2"/>
          <w:szCs w:val="24"/>
          <w:lang w:eastAsia="en-GB"/>
          <w14:ligatures w14:val="standardContextual"/>
        </w:rPr>
      </w:pPr>
      <w:r>
        <w:fldChar w:fldCharType="begin"/>
      </w:r>
      <w:r>
        <w:instrText xml:space="preserve"> TOC \o "1-1" \h \z \t "Heading 2,2,Heading 2 - numbered,2" </w:instrText>
      </w:r>
      <w:r>
        <w:fldChar w:fldCharType="separate"/>
      </w:r>
      <w:hyperlink w:anchor="_Toc183430714" w:history="1">
        <w:r w:rsidR="00062B5D" w:rsidRPr="001B5279">
          <w:rPr>
            <w:rStyle w:val="Hyperlink"/>
            <w:noProof/>
          </w:rPr>
          <w:t>Foreword by the Minister for Jobs and Industry</w:t>
        </w:r>
        <w:r w:rsidR="00062B5D">
          <w:rPr>
            <w:noProof/>
            <w:webHidden/>
          </w:rPr>
          <w:tab/>
        </w:r>
        <w:r w:rsidR="00062B5D">
          <w:rPr>
            <w:noProof/>
            <w:webHidden/>
          </w:rPr>
          <w:fldChar w:fldCharType="begin"/>
        </w:r>
        <w:r w:rsidR="00062B5D">
          <w:rPr>
            <w:noProof/>
            <w:webHidden/>
          </w:rPr>
          <w:instrText xml:space="preserve"> PAGEREF _Toc183430714 \h </w:instrText>
        </w:r>
        <w:r w:rsidR="00062B5D">
          <w:rPr>
            <w:noProof/>
            <w:webHidden/>
          </w:rPr>
        </w:r>
        <w:r w:rsidR="00062B5D">
          <w:rPr>
            <w:noProof/>
            <w:webHidden/>
          </w:rPr>
          <w:fldChar w:fldCharType="separate"/>
        </w:r>
        <w:r w:rsidR="00062B5D">
          <w:rPr>
            <w:noProof/>
            <w:webHidden/>
          </w:rPr>
          <w:t>2</w:t>
        </w:r>
        <w:r w:rsidR="00062B5D">
          <w:rPr>
            <w:noProof/>
            <w:webHidden/>
          </w:rPr>
          <w:fldChar w:fldCharType="end"/>
        </w:r>
      </w:hyperlink>
    </w:p>
    <w:p w14:paraId="50510E7D" w14:textId="43105ED3" w:rsidR="00062B5D" w:rsidRDefault="00062B5D">
      <w:pPr>
        <w:pStyle w:val="TOC1"/>
        <w:rPr>
          <w:rFonts w:asciiTheme="minorHAnsi" w:eastAsiaTheme="minorEastAsia" w:hAnsiTheme="minorHAnsi" w:cstheme="minorBidi"/>
          <w:b w:val="0"/>
          <w:noProof/>
          <w:kern w:val="2"/>
          <w:szCs w:val="24"/>
          <w:lang w:eastAsia="en-GB"/>
          <w14:ligatures w14:val="standardContextual"/>
        </w:rPr>
      </w:pPr>
      <w:hyperlink w:anchor="_Toc183430715" w:history="1">
        <w:r w:rsidRPr="001B5279">
          <w:rPr>
            <w:rStyle w:val="Hyperlink"/>
            <w:noProof/>
          </w:rPr>
          <w:t>Foreword by the Minister for Employment</w:t>
        </w:r>
        <w:r>
          <w:rPr>
            <w:noProof/>
            <w:webHidden/>
          </w:rPr>
          <w:tab/>
        </w:r>
        <w:r>
          <w:rPr>
            <w:noProof/>
            <w:webHidden/>
          </w:rPr>
          <w:fldChar w:fldCharType="begin"/>
        </w:r>
        <w:r>
          <w:rPr>
            <w:noProof/>
            <w:webHidden/>
          </w:rPr>
          <w:instrText xml:space="preserve"> PAGEREF _Toc183430715 \h </w:instrText>
        </w:r>
        <w:r>
          <w:rPr>
            <w:noProof/>
            <w:webHidden/>
          </w:rPr>
        </w:r>
        <w:r>
          <w:rPr>
            <w:noProof/>
            <w:webHidden/>
          </w:rPr>
          <w:fldChar w:fldCharType="separate"/>
        </w:r>
        <w:r>
          <w:rPr>
            <w:noProof/>
            <w:webHidden/>
          </w:rPr>
          <w:t>3</w:t>
        </w:r>
        <w:r>
          <w:rPr>
            <w:noProof/>
            <w:webHidden/>
          </w:rPr>
          <w:fldChar w:fldCharType="end"/>
        </w:r>
      </w:hyperlink>
    </w:p>
    <w:p w14:paraId="50A5C3D3" w14:textId="191C50A5" w:rsidR="00062B5D" w:rsidRDefault="00062B5D">
      <w:pPr>
        <w:pStyle w:val="TOC1"/>
        <w:rPr>
          <w:rFonts w:asciiTheme="minorHAnsi" w:eastAsiaTheme="minorEastAsia" w:hAnsiTheme="minorHAnsi" w:cstheme="minorBidi"/>
          <w:b w:val="0"/>
          <w:noProof/>
          <w:kern w:val="2"/>
          <w:szCs w:val="24"/>
          <w:lang w:eastAsia="en-GB"/>
          <w14:ligatures w14:val="standardContextual"/>
        </w:rPr>
      </w:pPr>
      <w:hyperlink w:anchor="_Toc183430716" w:history="1">
        <w:r w:rsidRPr="001B5279">
          <w:rPr>
            <w:rStyle w:val="Hyperlink"/>
            <w:noProof/>
          </w:rPr>
          <w:t>1.</w:t>
        </w:r>
        <w:r>
          <w:rPr>
            <w:rFonts w:asciiTheme="minorHAnsi" w:eastAsiaTheme="minorEastAsia" w:hAnsiTheme="minorHAnsi" w:cstheme="minorBidi"/>
            <w:b w:val="0"/>
            <w:noProof/>
            <w:kern w:val="2"/>
            <w:szCs w:val="24"/>
            <w:lang w:eastAsia="en-GB"/>
            <w14:ligatures w14:val="standardContextual"/>
          </w:rPr>
          <w:tab/>
        </w:r>
        <w:r w:rsidRPr="001B5279">
          <w:rPr>
            <w:rStyle w:val="Hyperlink"/>
            <w:noProof/>
          </w:rPr>
          <w:t>About Local Jobs First</w:t>
        </w:r>
        <w:r>
          <w:rPr>
            <w:noProof/>
            <w:webHidden/>
          </w:rPr>
          <w:tab/>
        </w:r>
        <w:r>
          <w:rPr>
            <w:noProof/>
            <w:webHidden/>
          </w:rPr>
          <w:fldChar w:fldCharType="begin"/>
        </w:r>
        <w:r>
          <w:rPr>
            <w:noProof/>
            <w:webHidden/>
          </w:rPr>
          <w:instrText xml:space="preserve"> PAGEREF _Toc183430716 \h </w:instrText>
        </w:r>
        <w:r>
          <w:rPr>
            <w:noProof/>
            <w:webHidden/>
          </w:rPr>
        </w:r>
        <w:r>
          <w:rPr>
            <w:noProof/>
            <w:webHidden/>
          </w:rPr>
          <w:fldChar w:fldCharType="separate"/>
        </w:r>
        <w:r>
          <w:rPr>
            <w:noProof/>
            <w:webHidden/>
          </w:rPr>
          <w:t>9</w:t>
        </w:r>
        <w:r>
          <w:rPr>
            <w:noProof/>
            <w:webHidden/>
          </w:rPr>
          <w:fldChar w:fldCharType="end"/>
        </w:r>
      </w:hyperlink>
    </w:p>
    <w:p w14:paraId="02565D82" w14:textId="2163621B" w:rsidR="00062B5D" w:rsidRDefault="00062B5D">
      <w:pPr>
        <w:pStyle w:val="TOC1"/>
        <w:rPr>
          <w:rFonts w:asciiTheme="minorHAnsi" w:eastAsiaTheme="minorEastAsia" w:hAnsiTheme="minorHAnsi" w:cstheme="minorBidi"/>
          <w:b w:val="0"/>
          <w:noProof/>
          <w:kern w:val="2"/>
          <w:szCs w:val="24"/>
          <w:lang w:eastAsia="en-GB"/>
          <w14:ligatures w14:val="standardContextual"/>
        </w:rPr>
      </w:pPr>
      <w:hyperlink w:anchor="_Toc183430717" w:history="1">
        <w:r w:rsidRPr="001B5279">
          <w:rPr>
            <w:rStyle w:val="Hyperlink"/>
            <w:noProof/>
          </w:rPr>
          <w:t>2.</w:t>
        </w:r>
        <w:r>
          <w:rPr>
            <w:rFonts w:asciiTheme="minorHAnsi" w:eastAsiaTheme="minorEastAsia" w:hAnsiTheme="minorHAnsi" w:cstheme="minorBidi"/>
            <w:b w:val="0"/>
            <w:noProof/>
            <w:kern w:val="2"/>
            <w:szCs w:val="24"/>
            <w:lang w:eastAsia="en-GB"/>
            <w14:ligatures w14:val="standardContextual"/>
          </w:rPr>
          <w:tab/>
        </w:r>
        <w:r w:rsidRPr="001B5279">
          <w:rPr>
            <w:rStyle w:val="Hyperlink"/>
            <w:noProof/>
          </w:rPr>
          <w:t>Implementation of Local Jobs</w:t>
        </w:r>
        <w:r w:rsidRPr="001B5279">
          <w:rPr>
            <w:rStyle w:val="Hyperlink"/>
            <w:rFonts w:ascii="Calibri" w:hAnsi="Calibri" w:cs="Calibri"/>
            <w:noProof/>
          </w:rPr>
          <w:t xml:space="preserve"> </w:t>
        </w:r>
        <w:r w:rsidRPr="001B5279">
          <w:rPr>
            <w:rStyle w:val="Hyperlink"/>
            <w:noProof/>
          </w:rPr>
          <w:t>First</w:t>
        </w:r>
        <w:r>
          <w:rPr>
            <w:noProof/>
            <w:webHidden/>
          </w:rPr>
          <w:tab/>
        </w:r>
        <w:r>
          <w:rPr>
            <w:noProof/>
            <w:webHidden/>
          </w:rPr>
          <w:fldChar w:fldCharType="begin"/>
        </w:r>
        <w:r>
          <w:rPr>
            <w:noProof/>
            <w:webHidden/>
          </w:rPr>
          <w:instrText xml:space="preserve"> PAGEREF _Toc183430717 \h </w:instrText>
        </w:r>
        <w:r>
          <w:rPr>
            <w:noProof/>
            <w:webHidden/>
          </w:rPr>
        </w:r>
        <w:r>
          <w:rPr>
            <w:noProof/>
            <w:webHidden/>
          </w:rPr>
          <w:fldChar w:fldCharType="separate"/>
        </w:r>
        <w:r>
          <w:rPr>
            <w:noProof/>
            <w:webHidden/>
          </w:rPr>
          <w:t>11</w:t>
        </w:r>
        <w:r>
          <w:rPr>
            <w:noProof/>
            <w:webHidden/>
          </w:rPr>
          <w:fldChar w:fldCharType="end"/>
        </w:r>
      </w:hyperlink>
    </w:p>
    <w:p w14:paraId="464DEE43" w14:textId="58656830"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18" w:history="1">
        <w:r w:rsidRPr="001B5279">
          <w:rPr>
            <w:rStyle w:val="Hyperlink"/>
            <w:noProof/>
          </w:rPr>
          <w:t>2.1.</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Local Jobs First Commissioner</w:t>
        </w:r>
        <w:r>
          <w:rPr>
            <w:noProof/>
            <w:webHidden/>
          </w:rPr>
          <w:tab/>
        </w:r>
        <w:r>
          <w:rPr>
            <w:noProof/>
            <w:webHidden/>
          </w:rPr>
          <w:fldChar w:fldCharType="begin"/>
        </w:r>
        <w:r>
          <w:rPr>
            <w:noProof/>
            <w:webHidden/>
          </w:rPr>
          <w:instrText xml:space="preserve"> PAGEREF _Toc183430718 \h </w:instrText>
        </w:r>
        <w:r>
          <w:rPr>
            <w:noProof/>
            <w:webHidden/>
          </w:rPr>
        </w:r>
        <w:r>
          <w:rPr>
            <w:noProof/>
            <w:webHidden/>
          </w:rPr>
          <w:fldChar w:fldCharType="separate"/>
        </w:r>
        <w:r>
          <w:rPr>
            <w:noProof/>
            <w:webHidden/>
          </w:rPr>
          <w:t>11</w:t>
        </w:r>
        <w:r>
          <w:rPr>
            <w:noProof/>
            <w:webHidden/>
          </w:rPr>
          <w:fldChar w:fldCharType="end"/>
        </w:r>
      </w:hyperlink>
    </w:p>
    <w:p w14:paraId="36BA565C" w14:textId="142C8104"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19" w:history="1">
        <w:r w:rsidRPr="001B5279">
          <w:rPr>
            <w:rStyle w:val="Hyperlink"/>
            <w:noProof/>
          </w:rPr>
          <w:t>2.2.</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Message from the Local Jobs First Commissioner – Ms Moana Weir</w:t>
        </w:r>
        <w:r>
          <w:rPr>
            <w:noProof/>
            <w:webHidden/>
          </w:rPr>
          <w:tab/>
        </w:r>
        <w:r>
          <w:rPr>
            <w:noProof/>
            <w:webHidden/>
          </w:rPr>
          <w:fldChar w:fldCharType="begin"/>
        </w:r>
        <w:r>
          <w:rPr>
            <w:noProof/>
            <w:webHidden/>
          </w:rPr>
          <w:instrText xml:space="preserve"> PAGEREF _Toc183430719 \h </w:instrText>
        </w:r>
        <w:r>
          <w:rPr>
            <w:noProof/>
            <w:webHidden/>
          </w:rPr>
        </w:r>
        <w:r>
          <w:rPr>
            <w:noProof/>
            <w:webHidden/>
          </w:rPr>
          <w:fldChar w:fldCharType="separate"/>
        </w:r>
        <w:r>
          <w:rPr>
            <w:noProof/>
            <w:webHidden/>
          </w:rPr>
          <w:t>11</w:t>
        </w:r>
        <w:r>
          <w:rPr>
            <w:noProof/>
            <w:webHidden/>
          </w:rPr>
          <w:fldChar w:fldCharType="end"/>
        </w:r>
      </w:hyperlink>
    </w:p>
    <w:p w14:paraId="258FE5FC" w14:textId="3C0A51A6"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20" w:history="1">
        <w:r w:rsidRPr="001B5279">
          <w:rPr>
            <w:rStyle w:val="Hyperlink"/>
            <w:noProof/>
          </w:rPr>
          <w:t>2.3.</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Industry Capability Network</w:t>
        </w:r>
        <w:r w:rsidRPr="001B5279">
          <w:rPr>
            <w:rStyle w:val="Hyperlink"/>
            <w:rFonts w:ascii="Calibri" w:hAnsi="Calibri" w:cs="Calibri"/>
            <w:noProof/>
          </w:rPr>
          <w:t xml:space="preserve"> </w:t>
        </w:r>
        <w:r w:rsidRPr="001B5279">
          <w:rPr>
            <w:rStyle w:val="Hyperlink"/>
            <w:noProof/>
          </w:rPr>
          <w:t>Victoria</w:t>
        </w:r>
        <w:r>
          <w:rPr>
            <w:noProof/>
            <w:webHidden/>
          </w:rPr>
          <w:tab/>
        </w:r>
        <w:r>
          <w:rPr>
            <w:noProof/>
            <w:webHidden/>
          </w:rPr>
          <w:fldChar w:fldCharType="begin"/>
        </w:r>
        <w:r>
          <w:rPr>
            <w:noProof/>
            <w:webHidden/>
          </w:rPr>
          <w:instrText xml:space="preserve"> PAGEREF _Toc183430720 \h </w:instrText>
        </w:r>
        <w:r>
          <w:rPr>
            <w:noProof/>
            <w:webHidden/>
          </w:rPr>
        </w:r>
        <w:r>
          <w:rPr>
            <w:noProof/>
            <w:webHidden/>
          </w:rPr>
          <w:fldChar w:fldCharType="separate"/>
        </w:r>
        <w:r>
          <w:rPr>
            <w:noProof/>
            <w:webHidden/>
          </w:rPr>
          <w:t>12</w:t>
        </w:r>
        <w:r>
          <w:rPr>
            <w:noProof/>
            <w:webHidden/>
          </w:rPr>
          <w:fldChar w:fldCharType="end"/>
        </w:r>
      </w:hyperlink>
    </w:p>
    <w:p w14:paraId="1C76B0DE" w14:textId="5F162B7A"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21" w:history="1">
        <w:r w:rsidRPr="001B5279">
          <w:rPr>
            <w:rStyle w:val="Hyperlink"/>
            <w:noProof/>
          </w:rPr>
          <w:t>2.4.</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Department of Jobs, Skills, Industry and Regions</w:t>
        </w:r>
        <w:r>
          <w:rPr>
            <w:noProof/>
            <w:webHidden/>
          </w:rPr>
          <w:tab/>
        </w:r>
        <w:r>
          <w:rPr>
            <w:noProof/>
            <w:webHidden/>
          </w:rPr>
          <w:fldChar w:fldCharType="begin"/>
        </w:r>
        <w:r>
          <w:rPr>
            <w:noProof/>
            <w:webHidden/>
          </w:rPr>
          <w:instrText xml:space="preserve"> PAGEREF _Toc183430721 \h </w:instrText>
        </w:r>
        <w:r>
          <w:rPr>
            <w:noProof/>
            <w:webHidden/>
          </w:rPr>
        </w:r>
        <w:r>
          <w:rPr>
            <w:noProof/>
            <w:webHidden/>
          </w:rPr>
          <w:fldChar w:fldCharType="separate"/>
        </w:r>
        <w:r>
          <w:rPr>
            <w:noProof/>
            <w:webHidden/>
          </w:rPr>
          <w:t>13</w:t>
        </w:r>
        <w:r>
          <w:rPr>
            <w:noProof/>
            <w:webHidden/>
          </w:rPr>
          <w:fldChar w:fldCharType="end"/>
        </w:r>
      </w:hyperlink>
    </w:p>
    <w:p w14:paraId="106BF098" w14:textId="434F3D5C" w:rsidR="00062B5D" w:rsidRDefault="00062B5D">
      <w:pPr>
        <w:pStyle w:val="TOC1"/>
        <w:rPr>
          <w:rFonts w:asciiTheme="minorHAnsi" w:eastAsiaTheme="minorEastAsia" w:hAnsiTheme="minorHAnsi" w:cstheme="minorBidi"/>
          <w:b w:val="0"/>
          <w:noProof/>
          <w:kern w:val="2"/>
          <w:szCs w:val="24"/>
          <w:lang w:eastAsia="en-GB"/>
          <w14:ligatures w14:val="standardContextual"/>
        </w:rPr>
      </w:pPr>
      <w:hyperlink w:anchor="_Toc183430722" w:history="1">
        <w:r w:rsidRPr="001B5279">
          <w:rPr>
            <w:rStyle w:val="Hyperlink"/>
            <w:noProof/>
          </w:rPr>
          <w:t>3.</w:t>
        </w:r>
        <w:r>
          <w:rPr>
            <w:rFonts w:asciiTheme="minorHAnsi" w:eastAsiaTheme="minorEastAsia" w:hAnsiTheme="minorHAnsi" w:cstheme="minorBidi"/>
            <w:b w:val="0"/>
            <w:noProof/>
            <w:kern w:val="2"/>
            <w:szCs w:val="24"/>
            <w:lang w:eastAsia="en-GB"/>
            <w14:ligatures w14:val="standardContextual"/>
          </w:rPr>
          <w:tab/>
        </w:r>
        <w:r w:rsidRPr="001B5279">
          <w:rPr>
            <w:rStyle w:val="Hyperlink"/>
            <w:noProof/>
          </w:rPr>
          <w:t>Local Jobs First Outcomes in 2023-24</w:t>
        </w:r>
        <w:r>
          <w:rPr>
            <w:noProof/>
            <w:webHidden/>
          </w:rPr>
          <w:tab/>
        </w:r>
        <w:r>
          <w:rPr>
            <w:noProof/>
            <w:webHidden/>
          </w:rPr>
          <w:fldChar w:fldCharType="begin"/>
        </w:r>
        <w:r>
          <w:rPr>
            <w:noProof/>
            <w:webHidden/>
          </w:rPr>
          <w:instrText xml:space="preserve"> PAGEREF _Toc183430722 \h </w:instrText>
        </w:r>
        <w:r>
          <w:rPr>
            <w:noProof/>
            <w:webHidden/>
          </w:rPr>
        </w:r>
        <w:r>
          <w:rPr>
            <w:noProof/>
            <w:webHidden/>
          </w:rPr>
          <w:fldChar w:fldCharType="separate"/>
        </w:r>
        <w:r>
          <w:rPr>
            <w:noProof/>
            <w:webHidden/>
          </w:rPr>
          <w:t>14</w:t>
        </w:r>
        <w:r>
          <w:rPr>
            <w:noProof/>
            <w:webHidden/>
          </w:rPr>
          <w:fldChar w:fldCharType="end"/>
        </w:r>
      </w:hyperlink>
    </w:p>
    <w:p w14:paraId="17F9B6B0" w14:textId="34196A48"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23" w:history="1">
        <w:r w:rsidRPr="001B5279">
          <w:rPr>
            <w:rStyle w:val="Hyperlink"/>
            <w:noProof/>
          </w:rPr>
          <w:t>3.1.</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Strategic Projects</w:t>
        </w:r>
        <w:r>
          <w:rPr>
            <w:noProof/>
            <w:webHidden/>
          </w:rPr>
          <w:tab/>
        </w:r>
        <w:r>
          <w:rPr>
            <w:noProof/>
            <w:webHidden/>
          </w:rPr>
          <w:fldChar w:fldCharType="begin"/>
        </w:r>
        <w:r>
          <w:rPr>
            <w:noProof/>
            <w:webHidden/>
          </w:rPr>
          <w:instrText xml:space="preserve"> PAGEREF _Toc183430723 \h </w:instrText>
        </w:r>
        <w:r>
          <w:rPr>
            <w:noProof/>
            <w:webHidden/>
          </w:rPr>
        </w:r>
        <w:r>
          <w:rPr>
            <w:noProof/>
            <w:webHidden/>
          </w:rPr>
          <w:fldChar w:fldCharType="separate"/>
        </w:r>
        <w:r>
          <w:rPr>
            <w:noProof/>
            <w:webHidden/>
          </w:rPr>
          <w:t>14</w:t>
        </w:r>
        <w:r>
          <w:rPr>
            <w:noProof/>
            <w:webHidden/>
          </w:rPr>
          <w:fldChar w:fldCharType="end"/>
        </w:r>
      </w:hyperlink>
    </w:p>
    <w:p w14:paraId="61E22BA4" w14:textId="5AB6DD04"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24" w:history="1">
        <w:r w:rsidRPr="001B5279">
          <w:rPr>
            <w:rStyle w:val="Hyperlink"/>
            <w:noProof/>
          </w:rPr>
          <w:t>3.2.</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Commenced Projects</w:t>
        </w:r>
        <w:r>
          <w:rPr>
            <w:noProof/>
            <w:webHidden/>
          </w:rPr>
          <w:tab/>
        </w:r>
        <w:r>
          <w:rPr>
            <w:noProof/>
            <w:webHidden/>
          </w:rPr>
          <w:fldChar w:fldCharType="begin"/>
        </w:r>
        <w:r>
          <w:rPr>
            <w:noProof/>
            <w:webHidden/>
          </w:rPr>
          <w:instrText xml:space="preserve"> PAGEREF _Toc183430724 \h </w:instrText>
        </w:r>
        <w:r>
          <w:rPr>
            <w:noProof/>
            <w:webHidden/>
          </w:rPr>
        </w:r>
        <w:r>
          <w:rPr>
            <w:noProof/>
            <w:webHidden/>
          </w:rPr>
          <w:fldChar w:fldCharType="separate"/>
        </w:r>
        <w:r>
          <w:rPr>
            <w:noProof/>
            <w:webHidden/>
          </w:rPr>
          <w:t>18</w:t>
        </w:r>
        <w:r>
          <w:rPr>
            <w:noProof/>
            <w:webHidden/>
          </w:rPr>
          <w:fldChar w:fldCharType="end"/>
        </w:r>
      </w:hyperlink>
    </w:p>
    <w:p w14:paraId="3CB12B23" w14:textId="3EF71566"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25" w:history="1">
        <w:r w:rsidRPr="001B5279">
          <w:rPr>
            <w:rStyle w:val="Hyperlink"/>
            <w:noProof/>
          </w:rPr>
          <w:t>3.3.</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Completed Projects</w:t>
        </w:r>
        <w:r>
          <w:rPr>
            <w:noProof/>
            <w:webHidden/>
          </w:rPr>
          <w:tab/>
        </w:r>
        <w:r>
          <w:rPr>
            <w:noProof/>
            <w:webHidden/>
          </w:rPr>
          <w:fldChar w:fldCharType="begin"/>
        </w:r>
        <w:r>
          <w:rPr>
            <w:noProof/>
            <w:webHidden/>
          </w:rPr>
          <w:instrText xml:space="preserve"> PAGEREF _Toc183430725 \h </w:instrText>
        </w:r>
        <w:r>
          <w:rPr>
            <w:noProof/>
            <w:webHidden/>
          </w:rPr>
        </w:r>
        <w:r>
          <w:rPr>
            <w:noProof/>
            <w:webHidden/>
          </w:rPr>
          <w:fldChar w:fldCharType="separate"/>
        </w:r>
        <w:r>
          <w:rPr>
            <w:noProof/>
            <w:webHidden/>
          </w:rPr>
          <w:t>19</w:t>
        </w:r>
        <w:r>
          <w:rPr>
            <w:noProof/>
            <w:webHidden/>
          </w:rPr>
          <w:fldChar w:fldCharType="end"/>
        </w:r>
      </w:hyperlink>
    </w:p>
    <w:p w14:paraId="73D0C184" w14:textId="1A51B4D5"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26" w:history="1">
        <w:r w:rsidRPr="001B5279">
          <w:rPr>
            <w:rStyle w:val="Hyperlink"/>
            <w:noProof/>
          </w:rPr>
          <w:t>3.4.</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Major Projects Skills Guarantee</w:t>
        </w:r>
        <w:r>
          <w:rPr>
            <w:noProof/>
            <w:webHidden/>
          </w:rPr>
          <w:tab/>
        </w:r>
        <w:r>
          <w:rPr>
            <w:noProof/>
            <w:webHidden/>
          </w:rPr>
          <w:fldChar w:fldCharType="begin"/>
        </w:r>
        <w:r>
          <w:rPr>
            <w:noProof/>
            <w:webHidden/>
          </w:rPr>
          <w:instrText xml:space="preserve"> PAGEREF _Toc183430726 \h </w:instrText>
        </w:r>
        <w:r>
          <w:rPr>
            <w:noProof/>
            <w:webHidden/>
          </w:rPr>
        </w:r>
        <w:r>
          <w:rPr>
            <w:noProof/>
            <w:webHidden/>
          </w:rPr>
          <w:fldChar w:fldCharType="separate"/>
        </w:r>
        <w:r>
          <w:rPr>
            <w:noProof/>
            <w:webHidden/>
          </w:rPr>
          <w:t>19</w:t>
        </w:r>
        <w:r>
          <w:rPr>
            <w:noProof/>
            <w:webHidden/>
          </w:rPr>
          <w:fldChar w:fldCharType="end"/>
        </w:r>
      </w:hyperlink>
    </w:p>
    <w:p w14:paraId="2A9CE30F" w14:textId="0DB18D91"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27" w:history="1">
        <w:r w:rsidRPr="001B5279">
          <w:rPr>
            <w:rStyle w:val="Hyperlink"/>
            <w:noProof/>
          </w:rPr>
          <w:t>3.5.</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Local Content</w:t>
        </w:r>
        <w:r>
          <w:rPr>
            <w:noProof/>
            <w:webHidden/>
          </w:rPr>
          <w:tab/>
        </w:r>
        <w:r>
          <w:rPr>
            <w:noProof/>
            <w:webHidden/>
          </w:rPr>
          <w:fldChar w:fldCharType="begin"/>
        </w:r>
        <w:r>
          <w:rPr>
            <w:noProof/>
            <w:webHidden/>
          </w:rPr>
          <w:instrText xml:space="preserve"> PAGEREF _Toc183430727 \h </w:instrText>
        </w:r>
        <w:r>
          <w:rPr>
            <w:noProof/>
            <w:webHidden/>
          </w:rPr>
        </w:r>
        <w:r>
          <w:rPr>
            <w:noProof/>
            <w:webHidden/>
          </w:rPr>
          <w:fldChar w:fldCharType="separate"/>
        </w:r>
        <w:r>
          <w:rPr>
            <w:noProof/>
            <w:webHidden/>
          </w:rPr>
          <w:t>19</w:t>
        </w:r>
        <w:r>
          <w:rPr>
            <w:noProof/>
            <w:webHidden/>
          </w:rPr>
          <w:fldChar w:fldCharType="end"/>
        </w:r>
      </w:hyperlink>
    </w:p>
    <w:p w14:paraId="5FBF84E6" w14:textId="111E1348"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28" w:history="1">
        <w:r w:rsidRPr="001B5279">
          <w:rPr>
            <w:rStyle w:val="Hyperlink"/>
            <w:noProof/>
          </w:rPr>
          <w:t>3.6.</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Grants</w:t>
        </w:r>
        <w:r>
          <w:rPr>
            <w:noProof/>
            <w:webHidden/>
          </w:rPr>
          <w:tab/>
        </w:r>
        <w:r>
          <w:rPr>
            <w:noProof/>
            <w:webHidden/>
          </w:rPr>
          <w:fldChar w:fldCharType="begin"/>
        </w:r>
        <w:r>
          <w:rPr>
            <w:noProof/>
            <w:webHidden/>
          </w:rPr>
          <w:instrText xml:space="preserve"> PAGEREF _Toc183430728 \h </w:instrText>
        </w:r>
        <w:r>
          <w:rPr>
            <w:noProof/>
            <w:webHidden/>
          </w:rPr>
        </w:r>
        <w:r>
          <w:rPr>
            <w:noProof/>
            <w:webHidden/>
          </w:rPr>
          <w:fldChar w:fldCharType="separate"/>
        </w:r>
        <w:r>
          <w:rPr>
            <w:noProof/>
            <w:webHidden/>
          </w:rPr>
          <w:t>19</w:t>
        </w:r>
        <w:r>
          <w:rPr>
            <w:noProof/>
            <w:webHidden/>
          </w:rPr>
          <w:fldChar w:fldCharType="end"/>
        </w:r>
      </w:hyperlink>
    </w:p>
    <w:p w14:paraId="515A4C36" w14:textId="6E3DE0CC"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29" w:history="1">
        <w:r w:rsidRPr="001B5279">
          <w:rPr>
            <w:rStyle w:val="Hyperlink"/>
            <w:noProof/>
          </w:rPr>
          <w:t>3.7.</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Exemptions</w:t>
        </w:r>
        <w:r>
          <w:rPr>
            <w:noProof/>
            <w:webHidden/>
          </w:rPr>
          <w:tab/>
        </w:r>
        <w:r>
          <w:rPr>
            <w:noProof/>
            <w:webHidden/>
          </w:rPr>
          <w:fldChar w:fldCharType="begin"/>
        </w:r>
        <w:r>
          <w:rPr>
            <w:noProof/>
            <w:webHidden/>
          </w:rPr>
          <w:instrText xml:space="preserve"> PAGEREF _Toc183430729 \h </w:instrText>
        </w:r>
        <w:r>
          <w:rPr>
            <w:noProof/>
            <w:webHidden/>
          </w:rPr>
        </w:r>
        <w:r>
          <w:rPr>
            <w:noProof/>
            <w:webHidden/>
          </w:rPr>
          <w:fldChar w:fldCharType="separate"/>
        </w:r>
        <w:r>
          <w:rPr>
            <w:noProof/>
            <w:webHidden/>
          </w:rPr>
          <w:t>20</w:t>
        </w:r>
        <w:r>
          <w:rPr>
            <w:noProof/>
            <w:webHidden/>
          </w:rPr>
          <w:fldChar w:fldCharType="end"/>
        </w:r>
      </w:hyperlink>
    </w:p>
    <w:p w14:paraId="102A9999" w14:textId="6DBEFA2A" w:rsidR="00062B5D" w:rsidRDefault="00062B5D">
      <w:pPr>
        <w:pStyle w:val="TOC1"/>
        <w:rPr>
          <w:rFonts w:asciiTheme="minorHAnsi" w:eastAsiaTheme="minorEastAsia" w:hAnsiTheme="minorHAnsi" w:cstheme="minorBidi"/>
          <w:b w:val="0"/>
          <w:noProof/>
          <w:kern w:val="2"/>
          <w:szCs w:val="24"/>
          <w:lang w:eastAsia="en-GB"/>
          <w14:ligatures w14:val="standardContextual"/>
        </w:rPr>
      </w:pPr>
      <w:hyperlink w:anchor="_Toc183430730" w:history="1">
        <w:r w:rsidRPr="001B5279">
          <w:rPr>
            <w:rStyle w:val="Hyperlink"/>
            <w:noProof/>
          </w:rPr>
          <w:t>Local Jobs First Highlights</w:t>
        </w:r>
        <w:r>
          <w:rPr>
            <w:noProof/>
            <w:webHidden/>
          </w:rPr>
          <w:tab/>
        </w:r>
        <w:r>
          <w:rPr>
            <w:noProof/>
            <w:webHidden/>
          </w:rPr>
          <w:fldChar w:fldCharType="begin"/>
        </w:r>
        <w:r>
          <w:rPr>
            <w:noProof/>
            <w:webHidden/>
          </w:rPr>
          <w:instrText xml:space="preserve"> PAGEREF _Toc183430730 \h </w:instrText>
        </w:r>
        <w:r>
          <w:rPr>
            <w:noProof/>
            <w:webHidden/>
          </w:rPr>
        </w:r>
        <w:r>
          <w:rPr>
            <w:noProof/>
            <w:webHidden/>
          </w:rPr>
          <w:fldChar w:fldCharType="separate"/>
        </w:r>
        <w:r>
          <w:rPr>
            <w:noProof/>
            <w:webHidden/>
          </w:rPr>
          <w:t>20</w:t>
        </w:r>
        <w:r>
          <w:rPr>
            <w:noProof/>
            <w:webHidden/>
          </w:rPr>
          <w:fldChar w:fldCharType="end"/>
        </w:r>
      </w:hyperlink>
    </w:p>
    <w:p w14:paraId="4D533E39" w14:textId="54391E7A"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31" w:history="1">
        <w:r w:rsidRPr="001B5279">
          <w:rPr>
            <w:rStyle w:val="Hyperlink"/>
            <w:noProof/>
          </w:rPr>
          <w:t>3.8.</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Strategic Project Records and</w:t>
        </w:r>
        <w:r w:rsidRPr="001B5279">
          <w:rPr>
            <w:rStyle w:val="Hyperlink"/>
            <w:rFonts w:ascii="Calibri" w:hAnsi="Calibri" w:cs="Calibri"/>
            <w:noProof/>
          </w:rPr>
          <w:t xml:space="preserve"> </w:t>
        </w:r>
        <w:r w:rsidRPr="001B5279">
          <w:rPr>
            <w:rStyle w:val="Hyperlink"/>
            <w:noProof/>
          </w:rPr>
          <w:t>Milestones</w:t>
        </w:r>
        <w:r>
          <w:rPr>
            <w:noProof/>
            <w:webHidden/>
          </w:rPr>
          <w:tab/>
        </w:r>
        <w:r>
          <w:rPr>
            <w:noProof/>
            <w:webHidden/>
          </w:rPr>
          <w:fldChar w:fldCharType="begin"/>
        </w:r>
        <w:r>
          <w:rPr>
            <w:noProof/>
            <w:webHidden/>
          </w:rPr>
          <w:instrText xml:space="preserve"> PAGEREF _Toc183430731 \h </w:instrText>
        </w:r>
        <w:r>
          <w:rPr>
            <w:noProof/>
            <w:webHidden/>
          </w:rPr>
        </w:r>
        <w:r>
          <w:rPr>
            <w:noProof/>
            <w:webHidden/>
          </w:rPr>
          <w:fldChar w:fldCharType="separate"/>
        </w:r>
        <w:r>
          <w:rPr>
            <w:noProof/>
            <w:webHidden/>
          </w:rPr>
          <w:t>20</w:t>
        </w:r>
        <w:r>
          <w:rPr>
            <w:noProof/>
            <w:webHidden/>
          </w:rPr>
          <w:fldChar w:fldCharType="end"/>
        </w:r>
      </w:hyperlink>
    </w:p>
    <w:p w14:paraId="0D870107" w14:textId="048DEF85"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32" w:history="1">
        <w:r w:rsidRPr="001B5279">
          <w:rPr>
            <w:rStyle w:val="Hyperlink"/>
            <w:noProof/>
          </w:rPr>
          <w:t>3.9.</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Additional Requirements set for Strategic Projects</w:t>
        </w:r>
        <w:r>
          <w:rPr>
            <w:noProof/>
            <w:webHidden/>
          </w:rPr>
          <w:tab/>
        </w:r>
        <w:r>
          <w:rPr>
            <w:noProof/>
            <w:webHidden/>
          </w:rPr>
          <w:fldChar w:fldCharType="begin"/>
        </w:r>
        <w:r>
          <w:rPr>
            <w:noProof/>
            <w:webHidden/>
          </w:rPr>
          <w:instrText xml:space="preserve"> PAGEREF _Toc183430732 \h </w:instrText>
        </w:r>
        <w:r>
          <w:rPr>
            <w:noProof/>
            <w:webHidden/>
          </w:rPr>
        </w:r>
        <w:r>
          <w:rPr>
            <w:noProof/>
            <w:webHidden/>
          </w:rPr>
          <w:fldChar w:fldCharType="separate"/>
        </w:r>
        <w:r>
          <w:rPr>
            <w:noProof/>
            <w:webHidden/>
          </w:rPr>
          <w:t>20</w:t>
        </w:r>
        <w:r>
          <w:rPr>
            <w:noProof/>
            <w:webHidden/>
          </w:rPr>
          <w:fldChar w:fldCharType="end"/>
        </w:r>
      </w:hyperlink>
    </w:p>
    <w:p w14:paraId="0F3F27BD" w14:textId="0D513566"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33" w:history="1">
        <w:r w:rsidRPr="001B5279">
          <w:rPr>
            <w:rStyle w:val="Hyperlink"/>
            <w:noProof/>
          </w:rPr>
          <w:t>3.10.</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Industry Impacts of Steel and FF&amp;E Requirements</w:t>
        </w:r>
        <w:r>
          <w:rPr>
            <w:noProof/>
            <w:webHidden/>
          </w:rPr>
          <w:tab/>
        </w:r>
        <w:r>
          <w:rPr>
            <w:noProof/>
            <w:webHidden/>
          </w:rPr>
          <w:fldChar w:fldCharType="begin"/>
        </w:r>
        <w:r>
          <w:rPr>
            <w:noProof/>
            <w:webHidden/>
          </w:rPr>
          <w:instrText xml:space="preserve"> PAGEREF _Toc183430733 \h </w:instrText>
        </w:r>
        <w:r>
          <w:rPr>
            <w:noProof/>
            <w:webHidden/>
          </w:rPr>
        </w:r>
        <w:r>
          <w:rPr>
            <w:noProof/>
            <w:webHidden/>
          </w:rPr>
          <w:fldChar w:fldCharType="separate"/>
        </w:r>
        <w:r>
          <w:rPr>
            <w:noProof/>
            <w:webHidden/>
          </w:rPr>
          <w:t>22</w:t>
        </w:r>
        <w:r>
          <w:rPr>
            <w:noProof/>
            <w:webHidden/>
          </w:rPr>
          <w:fldChar w:fldCharType="end"/>
        </w:r>
      </w:hyperlink>
    </w:p>
    <w:p w14:paraId="04E42800" w14:textId="5B9EFA41" w:rsidR="00062B5D" w:rsidRDefault="00062B5D">
      <w:pPr>
        <w:pStyle w:val="TOC2"/>
        <w:rPr>
          <w:rFonts w:asciiTheme="minorHAnsi" w:eastAsiaTheme="minorEastAsia" w:hAnsiTheme="minorHAnsi" w:cstheme="minorBidi"/>
          <w:noProof/>
          <w:kern w:val="2"/>
          <w:szCs w:val="24"/>
          <w:lang w:eastAsia="en-GB"/>
          <w14:ligatures w14:val="standardContextual"/>
        </w:rPr>
      </w:pPr>
      <w:hyperlink w:anchor="_Toc183430734" w:history="1">
        <w:r w:rsidRPr="001B5279">
          <w:rPr>
            <w:rStyle w:val="Hyperlink"/>
            <w:noProof/>
          </w:rPr>
          <w:t>3.11.</w:t>
        </w:r>
        <w:r>
          <w:rPr>
            <w:rFonts w:asciiTheme="minorHAnsi" w:eastAsiaTheme="minorEastAsia" w:hAnsiTheme="minorHAnsi" w:cstheme="minorBidi"/>
            <w:noProof/>
            <w:kern w:val="2"/>
            <w:szCs w:val="24"/>
            <w:lang w:eastAsia="en-GB"/>
            <w14:ligatures w14:val="standardContextual"/>
          </w:rPr>
          <w:tab/>
        </w:r>
        <w:r w:rsidRPr="001B5279">
          <w:rPr>
            <w:rStyle w:val="Hyperlink"/>
            <w:noProof/>
          </w:rPr>
          <w:t>Local Jobs First Standard Projects</w:t>
        </w:r>
        <w:r>
          <w:rPr>
            <w:noProof/>
            <w:webHidden/>
          </w:rPr>
          <w:tab/>
        </w:r>
        <w:r>
          <w:rPr>
            <w:noProof/>
            <w:webHidden/>
          </w:rPr>
          <w:fldChar w:fldCharType="begin"/>
        </w:r>
        <w:r>
          <w:rPr>
            <w:noProof/>
            <w:webHidden/>
          </w:rPr>
          <w:instrText xml:space="preserve"> PAGEREF _Toc183430734 \h </w:instrText>
        </w:r>
        <w:r>
          <w:rPr>
            <w:noProof/>
            <w:webHidden/>
          </w:rPr>
        </w:r>
        <w:r>
          <w:rPr>
            <w:noProof/>
            <w:webHidden/>
          </w:rPr>
          <w:fldChar w:fldCharType="separate"/>
        </w:r>
        <w:r>
          <w:rPr>
            <w:noProof/>
            <w:webHidden/>
          </w:rPr>
          <w:t>23</w:t>
        </w:r>
        <w:r>
          <w:rPr>
            <w:noProof/>
            <w:webHidden/>
          </w:rPr>
          <w:fldChar w:fldCharType="end"/>
        </w:r>
      </w:hyperlink>
    </w:p>
    <w:p w14:paraId="3FDF2D2A" w14:textId="65FA02D3" w:rsidR="00062B5D" w:rsidRDefault="00062B5D">
      <w:pPr>
        <w:pStyle w:val="TOC1"/>
        <w:rPr>
          <w:rFonts w:asciiTheme="minorHAnsi" w:eastAsiaTheme="minorEastAsia" w:hAnsiTheme="minorHAnsi" w:cstheme="minorBidi"/>
          <w:b w:val="0"/>
          <w:noProof/>
          <w:kern w:val="2"/>
          <w:szCs w:val="24"/>
          <w:lang w:eastAsia="en-GB"/>
          <w14:ligatures w14:val="standardContextual"/>
        </w:rPr>
      </w:pPr>
      <w:hyperlink w:anchor="_Toc183430735" w:history="1">
        <w:r w:rsidRPr="001B5279">
          <w:rPr>
            <w:rStyle w:val="Hyperlink"/>
            <w:noProof/>
          </w:rPr>
          <w:t>Appendix A: Completed Strategic Projects for 2023</w:t>
        </w:r>
        <w:r w:rsidRPr="001B5279">
          <w:rPr>
            <w:rStyle w:val="Hyperlink"/>
            <w:noProof/>
          </w:rPr>
          <w:noBreakHyphen/>
          <w:t>24</w:t>
        </w:r>
        <w:r>
          <w:rPr>
            <w:noProof/>
            <w:webHidden/>
          </w:rPr>
          <w:tab/>
        </w:r>
        <w:r>
          <w:rPr>
            <w:noProof/>
            <w:webHidden/>
          </w:rPr>
          <w:fldChar w:fldCharType="begin"/>
        </w:r>
        <w:r>
          <w:rPr>
            <w:noProof/>
            <w:webHidden/>
          </w:rPr>
          <w:instrText xml:space="preserve"> PAGEREF _Toc183430735 \h </w:instrText>
        </w:r>
        <w:r>
          <w:rPr>
            <w:noProof/>
            <w:webHidden/>
          </w:rPr>
        </w:r>
        <w:r>
          <w:rPr>
            <w:noProof/>
            <w:webHidden/>
          </w:rPr>
          <w:fldChar w:fldCharType="separate"/>
        </w:r>
        <w:r>
          <w:rPr>
            <w:noProof/>
            <w:webHidden/>
          </w:rPr>
          <w:t>25</w:t>
        </w:r>
        <w:r>
          <w:rPr>
            <w:noProof/>
            <w:webHidden/>
          </w:rPr>
          <w:fldChar w:fldCharType="end"/>
        </w:r>
      </w:hyperlink>
    </w:p>
    <w:p w14:paraId="1A15630B" w14:textId="6FD481B1" w:rsidR="00CF7EE1" w:rsidRPr="009E524A" w:rsidRDefault="007C7515" w:rsidP="00CF7EE1">
      <w:r>
        <w:fldChar w:fldCharType="end"/>
      </w:r>
    </w:p>
    <w:p w14:paraId="2D540ADD" w14:textId="77611597" w:rsidR="000F7AD5" w:rsidRDefault="00D75B40" w:rsidP="00CF7EE1">
      <w:pPr>
        <w:pStyle w:val="Heading1"/>
      </w:pPr>
      <w:bookmarkStart w:id="0" w:name="_Toc183430714"/>
      <w:r w:rsidRPr="00D75B40">
        <w:t>Foreword by the Minister for Jobs and Industry</w:t>
      </w:r>
      <w:bookmarkEnd w:id="0"/>
    </w:p>
    <w:p w14:paraId="6B7F03A9" w14:textId="77777777" w:rsidR="00D75B40" w:rsidRDefault="00D75B40" w:rsidP="00D75B40">
      <w:r>
        <w:t xml:space="preserve">On behalf of the Victorian Government and together with the Minister for Employment, I am pleased to present the 2023-24 Local Jobs First Annual Report. </w:t>
      </w:r>
    </w:p>
    <w:p w14:paraId="02BC5C24" w14:textId="77777777" w:rsidR="00D75B40" w:rsidRDefault="00D75B40" w:rsidP="00D75B40">
      <w:r>
        <w:t>Victoria’s Local Jobs First Policy is Australia’s longest standing industry participation policy. We remain committed to strengthening this policy and continuing to maximise opportunities for local jobs and businesses across the state.</w:t>
      </w:r>
    </w:p>
    <w:p w14:paraId="0F277A5E" w14:textId="77777777" w:rsidR="00D75B40" w:rsidRDefault="00D75B40" w:rsidP="00D75B40">
      <w:r>
        <w:lastRenderedPageBreak/>
        <w:t xml:space="preserve">Since 2014, Local Jobs First has set local content requirements for 349 Strategic Projects, enabling local companies to compete for both large and small government contracts. These projects have a combined total value of more than $175 billion and have supported more than 60,000 jobs. </w:t>
      </w:r>
    </w:p>
    <w:p w14:paraId="788E1ED8" w14:textId="77777777" w:rsidR="00D75B40" w:rsidRDefault="00D75B40" w:rsidP="00D75B40">
      <w:r>
        <w:t>In 2023-24, $30.5 billion worth of projects have had local content requirements set by the government, ensuring that Victorian businesses have a full and fair opportunity to compete for government contracts.</w:t>
      </w:r>
    </w:p>
    <w:p w14:paraId="7F424C3C" w14:textId="77777777" w:rsidR="00D75B40" w:rsidRDefault="00D75B40" w:rsidP="00D75B40">
      <w:r>
        <w:t>Training the next generation of workers is a major priority for the Victorian Government. Since the introduction of the Major Projects Skills Guarantee in 2016, more than 13,300 apprentices, trainees and cadets have been employed, gaining an invaluable entry-point into the industry.</w:t>
      </w:r>
    </w:p>
    <w:p w14:paraId="2D739F19" w14:textId="77777777" w:rsidR="00D75B40" w:rsidRDefault="00D75B40" w:rsidP="00D75B40">
      <w:r>
        <w:t>With 3,037 apprentices, trainees and cadets having worked 4.3 million hours across 2023-24, we are continuing to build on this legacy and secure opportunities and skills for our future workforce.</w:t>
      </w:r>
    </w:p>
    <w:p w14:paraId="47AB3AF4" w14:textId="77777777" w:rsidR="00D75B40" w:rsidRDefault="00D75B40" w:rsidP="00D75B40">
      <w:r>
        <w:t>During the last year, we have undertaken extensive stakeholder engagement on proposed reforms to compliance, enforcement and the role of the Local Jobs First Commissioner. Work is underway to progress a legislative reform package that balances the diverse range of stakeholder feedback for implementation in 2025-26.</w:t>
      </w:r>
    </w:p>
    <w:p w14:paraId="0F017750" w14:textId="77777777" w:rsidR="00D75B40" w:rsidRDefault="00D75B40" w:rsidP="00D75B40">
      <w:r>
        <w:t>I would like to thank the Local Jobs First Commissioner, Ms Moana Weir, for continuing to advocate on behalf of businesses, workers, apprentices, trainees and cadets on government procurement matters and ensuring that suppliers uphold their local content and jobs commitments.</w:t>
      </w:r>
    </w:p>
    <w:p w14:paraId="464AF547" w14:textId="77777777" w:rsidR="00D75B40" w:rsidRDefault="00D75B40" w:rsidP="00D75B40">
      <w:r>
        <w:t>The Local Jobs First program has been greatly supported by the Industry Capability Network (ICN), who are celebrating their 40th anniversary this year. ICN plays a pivotal role, connecting thousands of Victorian companies to government projects, while providing important data and insights about our industry capabilities.</w:t>
      </w:r>
    </w:p>
    <w:p w14:paraId="1DC0342F" w14:textId="44B08DFE" w:rsidR="000F7AD5" w:rsidRDefault="00D75B40" w:rsidP="00D75B40">
      <w:r>
        <w:t>As the largest procurer of goods, services and construction works in the state, the Victorian Government will continue to use our purchasing power to provide local businesses and workers with the opportunity to build Victoria’s future.</w:t>
      </w:r>
    </w:p>
    <w:p w14:paraId="6077AF08" w14:textId="77777777" w:rsidR="007C4E9B" w:rsidRPr="007C4E9B" w:rsidRDefault="007C4E9B" w:rsidP="007C4E9B">
      <w:pPr>
        <w:rPr>
          <w:lang w:val="en-GB" w:eastAsia="en-AU"/>
        </w:rPr>
      </w:pPr>
      <w:r w:rsidRPr="007C4E9B">
        <w:rPr>
          <w:b/>
          <w:bCs/>
        </w:rPr>
        <w:t>The Hon Natalie Hutchins MP</w:t>
      </w:r>
      <w:r w:rsidRPr="007C4E9B">
        <w:rPr>
          <w:b/>
          <w:bCs/>
        </w:rPr>
        <w:br/>
      </w:r>
      <w:r w:rsidRPr="007C4E9B">
        <w:rPr>
          <w:lang w:val="en-GB" w:eastAsia="en-AU"/>
        </w:rPr>
        <w:t>Minister for Jobs and Industry</w:t>
      </w:r>
    </w:p>
    <w:p w14:paraId="719EA2B2" w14:textId="69CB7C59" w:rsidR="000F7AD5" w:rsidRDefault="00D75B40" w:rsidP="007C4E9B">
      <w:pPr>
        <w:pStyle w:val="Heading1"/>
      </w:pPr>
      <w:bookmarkStart w:id="1" w:name="_Toc183430715"/>
      <w:r w:rsidRPr="00D75B40">
        <w:t>Foreword by the Minister for Employment</w:t>
      </w:r>
      <w:bookmarkEnd w:id="1"/>
    </w:p>
    <w:p w14:paraId="695FE9B3" w14:textId="4C157486" w:rsidR="0085477F" w:rsidRPr="0085477F" w:rsidRDefault="0085477F" w:rsidP="0085477F">
      <w:pPr>
        <w:rPr>
          <w:lang w:val="en-GB"/>
        </w:rPr>
      </w:pPr>
      <w:r w:rsidRPr="0085477F">
        <w:rPr>
          <w:lang w:val="en-GB"/>
        </w:rPr>
        <w:t>I am pleased to be jointly presenting the 2023</w:t>
      </w:r>
      <w:r w:rsidRPr="0085477F">
        <w:rPr>
          <w:rFonts w:ascii="Cambria Math" w:hAnsi="Cambria Math" w:cs="Cambria Math"/>
          <w:lang w:val="en-GB"/>
        </w:rPr>
        <w:t>‑</w:t>
      </w:r>
      <w:r w:rsidRPr="0085477F">
        <w:rPr>
          <w:lang w:val="en-GB"/>
        </w:rPr>
        <w:t>24 Local Jobs First Annual Report with the Minister for Jobs and Industry on behalf of the Victorian Government.</w:t>
      </w:r>
    </w:p>
    <w:p w14:paraId="1F956D38" w14:textId="77777777" w:rsidR="0085477F" w:rsidRPr="0085477F" w:rsidRDefault="0085477F" w:rsidP="0085477F">
      <w:pPr>
        <w:rPr>
          <w:lang w:val="en-GB"/>
        </w:rPr>
      </w:pPr>
      <w:r w:rsidRPr="0085477F">
        <w:rPr>
          <w:lang w:val="en-GB"/>
        </w:rPr>
        <w:lastRenderedPageBreak/>
        <w:t xml:space="preserve">By leveraging the Government’s significant investments, the Local Jobs First Policy strengthens our businesses, boosts our workforce capabilities, creates jobs and delivers economic and social benefits for Victorians. </w:t>
      </w:r>
    </w:p>
    <w:p w14:paraId="428BB41E" w14:textId="77777777" w:rsidR="0085477F" w:rsidRPr="0085477F" w:rsidRDefault="0085477F" w:rsidP="0085477F">
      <w:pPr>
        <w:rPr>
          <w:lang w:val="en-GB"/>
        </w:rPr>
      </w:pPr>
      <w:r w:rsidRPr="0085477F">
        <w:rPr>
          <w:lang w:val="en-GB"/>
        </w:rPr>
        <w:t>In the 2023</w:t>
      </w:r>
      <w:r w:rsidRPr="0085477F">
        <w:rPr>
          <w:rFonts w:ascii="Cambria Math" w:hAnsi="Cambria Math" w:cs="Cambria Math"/>
          <w:lang w:val="en-GB"/>
        </w:rPr>
        <w:t>‑</w:t>
      </w:r>
      <w:r w:rsidRPr="0085477F">
        <w:rPr>
          <w:lang w:val="en-GB"/>
        </w:rPr>
        <w:t>24 financial year 334 projects commenced with local content requirements, supporting more than 3,500 jobs and providing 10,900 opportunities for small to medium enterprises (SMEs).</w:t>
      </w:r>
    </w:p>
    <w:p w14:paraId="0489B446" w14:textId="77777777" w:rsidR="0085477F" w:rsidRPr="0085477F" w:rsidRDefault="0085477F" w:rsidP="0085477F">
      <w:pPr>
        <w:rPr>
          <w:lang w:val="en-GB"/>
        </w:rPr>
      </w:pPr>
      <w:r w:rsidRPr="0085477F">
        <w:rPr>
          <w:lang w:val="en-GB"/>
        </w:rPr>
        <w:t>Under the Major Projects Skills Guarantee (MPSG), all construction projects valued at or over $20 million are required to use Victorian apprentices, trainees or cadets for at least 10 per cent of the total estimated labour hours.</w:t>
      </w:r>
    </w:p>
    <w:p w14:paraId="31D59EF2" w14:textId="77777777" w:rsidR="0085477F" w:rsidRPr="0085477F" w:rsidRDefault="0085477F" w:rsidP="0085477F">
      <w:pPr>
        <w:rPr>
          <w:lang w:val="en-GB"/>
        </w:rPr>
      </w:pPr>
      <w:r w:rsidRPr="0085477F">
        <w:rPr>
          <w:lang w:val="en-GB"/>
        </w:rPr>
        <w:t>This initiative is helping to provide vital work experience for young Victorians, enabling us to build the next generation of skilled workers and deliver the infrastructure projects our state needs.</w:t>
      </w:r>
    </w:p>
    <w:p w14:paraId="6B3F889F" w14:textId="77777777" w:rsidR="0085477F" w:rsidRPr="0085477F" w:rsidRDefault="0085477F" w:rsidP="0085477F">
      <w:pPr>
        <w:rPr>
          <w:lang w:val="en-GB"/>
        </w:rPr>
      </w:pPr>
      <w:r w:rsidRPr="0085477F">
        <w:rPr>
          <w:lang w:val="en-GB"/>
        </w:rPr>
        <w:t>A great example of the MPSG in action is the Mental Health Beds Expansion Program, which gave 356 apprentices, trainees and cadets the opportunity to work with 54 businesses on one of Victoria’s largest construction projects.</w:t>
      </w:r>
    </w:p>
    <w:p w14:paraId="7F692C60" w14:textId="77777777" w:rsidR="0085477F" w:rsidRPr="0085477F" w:rsidRDefault="0085477F" w:rsidP="0085477F">
      <w:pPr>
        <w:rPr>
          <w:lang w:val="en-GB"/>
        </w:rPr>
      </w:pPr>
      <w:r w:rsidRPr="0085477F">
        <w:rPr>
          <w:lang w:val="en-GB"/>
        </w:rPr>
        <w:t>Additionally, 27 businesses involved in the mental health beds project achieved 30,800 hours worked by female apprentices, trainees and cadets, while 25 businesses achieved 14,400 hours worked by First Nations apprentices, trainees and cadets.</w:t>
      </w:r>
    </w:p>
    <w:p w14:paraId="00D85F62" w14:textId="274F7257" w:rsidR="0085477F" w:rsidRPr="0085477F" w:rsidRDefault="0085477F" w:rsidP="0085477F">
      <w:pPr>
        <w:rPr>
          <w:lang w:val="en-GB"/>
        </w:rPr>
      </w:pPr>
      <w:r w:rsidRPr="0085477F">
        <w:rPr>
          <w:lang w:val="en-GB"/>
        </w:rPr>
        <w:t>We are committed to creating opportunities for fulfilling careers for every Victorian, no matter their gender, age or background. Our ongoing investment into Victoria through large</w:t>
      </w:r>
      <w:r w:rsidRPr="0085477F">
        <w:rPr>
          <w:rFonts w:ascii="Cambria Math" w:hAnsi="Cambria Math" w:cs="Cambria Math"/>
          <w:lang w:val="en-GB"/>
        </w:rPr>
        <w:t>‑</w:t>
      </w:r>
      <w:r w:rsidRPr="0085477F">
        <w:rPr>
          <w:lang w:val="en-GB"/>
        </w:rPr>
        <w:t>scale government projects like the Suburban Rail Loop and Melbourne Metro Tunnel will continue to drive economic opportunities for local SMEs.</w:t>
      </w:r>
    </w:p>
    <w:p w14:paraId="07CFD380" w14:textId="77777777" w:rsidR="0085477F" w:rsidRPr="0085477F" w:rsidRDefault="0085477F" w:rsidP="0085477F">
      <w:pPr>
        <w:rPr>
          <w:lang w:val="en-GB"/>
        </w:rPr>
      </w:pPr>
      <w:r w:rsidRPr="0085477F">
        <w:rPr>
          <w:lang w:val="en-GB"/>
        </w:rPr>
        <w:t>Victoria’s Big Build also plays a key part in developing our skilled workforce. It provides a range of training programs and initiatives from apprenticeships and cadetships through to specialist training for experienced tradespeople and labourers, complemented by the Local Jobs First Policy.</w:t>
      </w:r>
    </w:p>
    <w:p w14:paraId="4AF17F03" w14:textId="77777777" w:rsidR="0085477F" w:rsidRPr="0085477F" w:rsidRDefault="0085477F" w:rsidP="0085477F">
      <w:pPr>
        <w:rPr>
          <w:lang w:val="en-GB"/>
        </w:rPr>
      </w:pPr>
      <w:r w:rsidRPr="0085477F">
        <w:rPr>
          <w:lang w:val="en-GB"/>
        </w:rPr>
        <w:t>Thank you to all the workers, employers and businesses who have contributed to the future of our state through Local Jobs First projects.</w:t>
      </w:r>
    </w:p>
    <w:p w14:paraId="62DF3AFA" w14:textId="2DA26D32" w:rsidR="00D75B40" w:rsidRDefault="0085477F" w:rsidP="0085477F">
      <w:r w:rsidRPr="0085477F">
        <w:rPr>
          <w:lang w:val="en-GB"/>
        </w:rPr>
        <w:t>By prioritising local businesses and local jobs, we’re growing our economy and ensuring more Victorians have meaningful employment opportunities.</w:t>
      </w:r>
    </w:p>
    <w:p w14:paraId="7E3032A0" w14:textId="60276875" w:rsidR="00DF693E" w:rsidRDefault="00DF693E" w:rsidP="00D75B40">
      <w:pPr>
        <w:rPr>
          <w:lang w:val="en-GB" w:eastAsia="en-AU"/>
        </w:rPr>
      </w:pPr>
      <w:r w:rsidRPr="00DF693E">
        <w:rPr>
          <w:b/>
          <w:bCs/>
        </w:rPr>
        <w:t>Ms Vicki Ward MP</w:t>
      </w:r>
      <w:r w:rsidRPr="00DF693E">
        <w:rPr>
          <w:b/>
          <w:bCs/>
        </w:rPr>
        <w:br/>
      </w:r>
      <w:r w:rsidRPr="00DF693E">
        <w:rPr>
          <w:lang w:val="en-GB" w:eastAsia="en-AU"/>
        </w:rPr>
        <w:t>Minister for Employment</w:t>
      </w:r>
    </w:p>
    <w:p w14:paraId="04FDE415" w14:textId="295FFC72" w:rsidR="00DA4427" w:rsidRPr="00DA4427" w:rsidRDefault="00DA4427" w:rsidP="00DA4427">
      <w:pPr>
        <w:keepNext/>
        <w:keepLines/>
        <w:autoSpaceDE w:val="0"/>
        <w:autoSpaceDN w:val="0"/>
        <w:adjustRightInd w:val="0"/>
        <w:spacing w:before="227" w:after="113" w:line="288" w:lineRule="auto"/>
        <w:textAlignment w:val="center"/>
        <w:rPr>
          <w:rFonts w:asciiTheme="minorHAnsi" w:eastAsiaTheme="minorEastAsia" w:hAnsiTheme="minorHAnsi" w:cstheme="minorHAnsi"/>
          <w:b/>
          <w:bCs/>
          <w:color w:val="000000"/>
          <w:szCs w:val="24"/>
          <w:lang w:val="en-GB" w:eastAsia="en-AU"/>
        </w:rPr>
      </w:pPr>
      <w:r w:rsidRPr="00DA4427">
        <w:rPr>
          <w:rFonts w:asciiTheme="minorHAnsi" w:eastAsiaTheme="minorEastAsia" w:hAnsiTheme="minorHAnsi" w:cstheme="minorHAnsi"/>
          <w:b/>
          <w:bCs/>
          <w:color w:val="000000"/>
          <w:szCs w:val="24"/>
          <w:lang w:val="en-GB" w:eastAsia="en-AU"/>
        </w:rPr>
        <w:t xml:space="preserve">From 2014 until </w:t>
      </w:r>
      <w:r w:rsidR="009E12D8">
        <w:rPr>
          <w:rFonts w:asciiTheme="minorHAnsi" w:eastAsiaTheme="minorEastAsia" w:hAnsiTheme="minorHAnsi" w:cstheme="minorHAnsi"/>
          <w:b/>
          <w:bCs/>
          <w:color w:val="000000"/>
          <w:szCs w:val="24"/>
          <w:lang w:val="en-GB" w:eastAsia="en-AU"/>
        </w:rPr>
        <w:t>30 June 2024</w:t>
      </w:r>
      <w:r w:rsidRPr="00DA4427">
        <w:rPr>
          <w:rFonts w:asciiTheme="minorHAnsi" w:eastAsiaTheme="minorEastAsia" w:hAnsiTheme="minorHAnsi" w:cstheme="minorHAnsi"/>
          <w:b/>
          <w:bCs/>
          <w:color w:val="000000"/>
          <w:szCs w:val="24"/>
          <w:lang w:val="en-GB" w:eastAsia="en-AU"/>
        </w:rPr>
        <w:t>, the Local Jobs First Policy has been applied to</w:t>
      </w:r>
    </w:p>
    <w:p w14:paraId="4BD8669B" w14:textId="62E22C48" w:rsidR="00C73CF1" w:rsidRDefault="00DE6A72" w:rsidP="00DE6A72">
      <w:pPr>
        <w:pStyle w:val="Bullet"/>
        <w:rPr>
          <w:lang w:val="en-GB" w:eastAsia="en-AU"/>
        </w:rPr>
      </w:pPr>
      <w:r>
        <w:rPr>
          <w:lang w:val="en-GB" w:eastAsia="en-AU"/>
        </w:rPr>
        <w:t>3</w:t>
      </w:r>
      <w:r w:rsidR="009E12D8">
        <w:rPr>
          <w:lang w:val="en-GB" w:eastAsia="en-AU"/>
        </w:rPr>
        <w:t>49</w:t>
      </w:r>
      <w:r>
        <w:rPr>
          <w:lang w:val="en-GB" w:eastAsia="en-AU"/>
        </w:rPr>
        <w:t xml:space="preserve"> </w:t>
      </w:r>
      <w:r w:rsidR="00F57879">
        <w:rPr>
          <w:lang w:val="en-GB" w:eastAsia="en-AU"/>
        </w:rPr>
        <w:t>s</w:t>
      </w:r>
      <w:r>
        <w:rPr>
          <w:lang w:val="en-GB" w:eastAsia="en-AU"/>
        </w:rPr>
        <w:t xml:space="preserve">trategic </w:t>
      </w:r>
      <w:r w:rsidR="00F57879">
        <w:rPr>
          <w:lang w:val="en-GB" w:eastAsia="en-AU"/>
        </w:rPr>
        <w:t>projects</w:t>
      </w:r>
    </w:p>
    <w:p w14:paraId="31428508" w14:textId="6C418F4D" w:rsidR="00F57879" w:rsidRPr="00F57879" w:rsidRDefault="00F57879" w:rsidP="00F57879">
      <w:pPr>
        <w:pStyle w:val="Bullet2"/>
        <w:rPr>
          <w:lang w:val="en-GB" w:eastAsia="en-AU"/>
        </w:rPr>
      </w:pPr>
      <w:r w:rsidRPr="00F57879">
        <w:rPr>
          <w:lang w:val="en-GB" w:eastAsia="en-AU"/>
        </w:rPr>
        <w:lastRenderedPageBreak/>
        <w:t>1</w:t>
      </w:r>
      <w:r w:rsidR="009E12D8">
        <w:rPr>
          <w:lang w:val="en-GB" w:eastAsia="en-AU"/>
        </w:rPr>
        <w:t>9</w:t>
      </w:r>
      <w:r w:rsidRPr="00F57879">
        <w:rPr>
          <w:lang w:val="en-GB" w:eastAsia="en-AU"/>
        </w:rPr>
        <w:t>9</w:t>
      </w:r>
      <w:r>
        <w:rPr>
          <w:lang w:val="en-GB" w:eastAsia="en-AU"/>
        </w:rPr>
        <w:t xml:space="preserve"> </w:t>
      </w:r>
      <w:r w:rsidRPr="00F57879">
        <w:rPr>
          <w:lang w:val="en-GB" w:eastAsia="en-AU"/>
        </w:rPr>
        <w:t>Metro projects</w:t>
      </w:r>
    </w:p>
    <w:p w14:paraId="5FF661B7" w14:textId="3838C1F8" w:rsidR="00F57879" w:rsidRPr="00F57879" w:rsidRDefault="009E12D8" w:rsidP="00F57879">
      <w:pPr>
        <w:pStyle w:val="Bullet2"/>
        <w:rPr>
          <w:lang w:val="en-GB" w:eastAsia="en-AU"/>
        </w:rPr>
      </w:pPr>
      <w:r>
        <w:rPr>
          <w:lang w:val="en-GB" w:eastAsia="en-AU"/>
        </w:rPr>
        <w:t>76</w:t>
      </w:r>
      <w:r w:rsidR="00F57879">
        <w:rPr>
          <w:lang w:val="en-GB" w:eastAsia="en-AU"/>
        </w:rPr>
        <w:t xml:space="preserve"> </w:t>
      </w:r>
      <w:r w:rsidR="00F57879" w:rsidRPr="00F57879">
        <w:rPr>
          <w:lang w:val="en-GB" w:eastAsia="en-AU"/>
        </w:rPr>
        <w:t>Regional projects</w:t>
      </w:r>
    </w:p>
    <w:p w14:paraId="346FD882" w14:textId="1964422A" w:rsidR="00F57879" w:rsidRDefault="009E12D8" w:rsidP="00F57879">
      <w:pPr>
        <w:pStyle w:val="Bullet2"/>
        <w:rPr>
          <w:lang w:val="en-GB" w:eastAsia="en-AU"/>
        </w:rPr>
      </w:pPr>
      <w:r>
        <w:rPr>
          <w:lang w:val="en-GB" w:eastAsia="en-AU"/>
        </w:rPr>
        <w:t>74</w:t>
      </w:r>
      <w:r w:rsidR="00F57879">
        <w:rPr>
          <w:lang w:val="en-GB" w:eastAsia="en-AU"/>
        </w:rPr>
        <w:t xml:space="preserve"> </w:t>
      </w:r>
      <w:r w:rsidR="00F57879" w:rsidRPr="00F57879">
        <w:rPr>
          <w:lang w:val="en-GB" w:eastAsia="en-AU"/>
        </w:rPr>
        <w:t>Statewide projects</w:t>
      </w:r>
    </w:p>
    <w:p w14:paraId="426EC882" w14:textId="69505700" w:rsidR="00F57879" w:rsidRDefault="00861D50" w:rsidP="00DC6F30">
      <w:pPr>
        <w:pStyle w:val="Bulletlast"/>
        <w:rPr>
          <w:lang w:val="en-GB" w:eastAsia="en-AU"/>
        </w:rPr>
      </w:pPr>
      <w:r w:rsidRPr="00861D50">
        <w:rPr>
          <w:lang w:val="en-GB" w:eastAsia="en-AU"/>
        </w:rPr>
        <w:t>Worth $</w:t>
      </w:r>
      <w:r w:rsidR="009E12D8">
        <w:rPr>
          <w:lang w:val="en-GB" w:eastAsia="en-AU"/>
        </w:rPr>
        <w:t>175.1</w:t>
      </w:r>
      <w:r w:rsidRPr="00861D50">
        <w:rPr>
          <w:lang w:val="en-GB" w:eastAsia="en-AU"/>
        </w:rPr>
        <w:t xml:space="preserve"> billion</w:t>
      </w:r>
    </w:p>
    <w:p w14:paraId="0551A282" w14:textId="0B03FE82" w:rsidR="00861D50" w:rsidRDefault="00DC6F30" w:rsidP="00DC6F30">
      <w:pPr>
        <w:rPr>
          <w:lang w:val="en-GB" w:eastAsia="en-AU"/>
        </w:rPr>
      </w:pPr>
      <w:r>
        <w:rPr>
          <w:noProof/>
          <w:lang w:val="en-GB" w:eastAsia="en-AU"/>
        </w:rPr>
        <w:drawing>
          <wp:inline distT="0" distB="0" distL="0" distR="0" wp14:anchorId="33477E38" wp14:editId="2A04EBCC">
            <wp:extent cx="6120130" cy="1612565"/>
            <wp:effectExtent l="0" t="0" r="1270" b="635"/>
            <wp:docPr id="12" name="Picture 12" descr="Cumulative Strategic Projects and Value graph. Data in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mulative Strategic Projects and Value graph. Data in table below."/>
                    <pic:cNvPicPr/>
                  </pic:nvPicPr>
                  <pic:blipFill>
                    <a:blip r:embed="rId14"/>
                    <a:stretch>
                      <a:fillRect/>
                    </a:stretch>
                  </pic:blipFill>
                  <pic:spPr>
                    <a:xfrm>
                      <a:off x="0" y="0"/>
                      <a:ext cx="6120130" cy="1612565"/>
                    </a:xfrm>
                    <a:prstGeom prst="rect">
                      <a:avLst/>
                    </a:prstGeom>
                  </pic:spPr>
                </pic:pic>
              </a:graphicData>
            </a:graphic>
          </wp:inline>
        </w:drawing>
      </w:r>
    </w:p>
    <w:tbl>
      <w:tblPr>
        <w:tblStyle w:val="TableGrid"/>
        <w:tblW w:w="0" w:type="auto"/>
        <w:tblLook w:val="04A0" w:firstRow="1" w:lastRow="0" w:firstColumn="1" w:lastColumn="0" w:noHBand="0" w:noVBand="1"/>
      </w:tblPr>
      <w:tblGrid>
        <w:gridCol w:w="3209"/>
        <w:gridCol w:w="3209"/>
        <w:gridCol w:w="3210"/>
      </w:tblGrid>
      <w:tr w:rsidR="00950625" w14:paraId="29D6850D" w14:textId="77777777" w:rsidTr="007C3917">
        <w:trPr>
          <w:cantSplit/>
          <w:tblHeader/>
        </w:trPr>
        <w:tc>
          <w:tcPr>
            <w:tcW w:w="3209" w:type="dxa"/>
          </w:tcPr>
          <w:p w14:paraId="1F5838AB" w14:textId="77777777" w:rsidR="00950625" w:rsidRDefault="00950625" w:rsidP="00E62210">
            <w:pPr>
              <w:pStyle w:val="TableColumnHeading"/>
            </w:pPr>
            <w:bookmarkStart w:id="2" w:name="ColumnTitles"/>
            <w:bookmarkEnd w:id="2"/>
          </w:p>
        </w:tc>
        <w:tc>
          <w:tcPr>
            <w:tcW w:w="3209" w:type="dxa"/>
          </w:tcPr>
          <w:p w14:paraId="1682C9B9" w14:textId="0FF39D36" w:rsidR="00950625" w:rsidRDefault="00E62210" w:rsidP="002663B4">
            <w:pPr>
              <w:pStyle w:val="TableColumnHeading"/>
              <w:jc w:val="right"/>
            </w:pPr>
            <w:r>
              <w:t>Projects</w:t>
            </w:r>
          </w:p>
        </w:tc>
        <w:tc>
          <w:tcPr>
            <w:tcW w:w="3210" w:type="dxa"/>
          </w:tcPr>
          <w:p w14:paraId="32816A44" w14:textId="0206FAFC" w:rsidR="00950625" w:rsidRDefault="00E62210" w:rsidP="002663B4">
            <w:pPr>
              <w:pStyle w:val="TableColumnHeading"/>
              <w:jc w:val="right"/>
            </w:pPr>
            <w:r>
              <w:t>Value</w:t>
            </w:r>
            <w:r w:rsidR="002663B4">
              <w:t xml:space="preserve"> ($bn)</w:t>
            </w:r>
          </w:p>
        </w:tc>
      </w:tr>
      <w:tr w:rsidR="002663B4" w14:paraId="6314D847" w14:textId="77777777" w:rsidTr="00822889">
        <w:trPr>
          <w:cantSplit/>
        </w:trPr>
        <w:tc>
          <w:tcPr>
            <w:tcW w:w="3209" w:type="dxa"/>
          </w:tcPr>
          <w:p w14:paraId="25BB0F1A" w14:textId="2580A7DC" w:rsidR="002663B4" w:rsidRDefault="002663B4" w:rsidP="002663B4">
            <w:pPr>
              <w:pStyle w:val="TableCopy"/>
            </w:pPr>
            <w:r w:rsidRPr="00E62210">
              <w:t>2014-15 FY</w:t>
            </w:r>
          </w:p>
        </w:tc>
        <w:tc>
          <w:tcPr>
            <w:tcW w:w="3209" w:type="dxa"/>
          </w:tcPr>
          <w:p w14:paraId="143F27F2" w14:textId="329D64A4" w:rsidR="002663B4" w:rsidRDefault="002663B4" w:rsidP="002663B4">
            <w:pPr>
              <w:pStyle w:val="TableCopy"/>
              <w:jc w:val="right"/>
            </w:pPr>
            <w:r w:rsidRPr="00D30835">
              <w:t>3</w:t>
            </w:r>
          </w:p>
        </w:tc>
        <w:tc>
          <w:tcPr>
            <w:tcW w:w="3210" w:type="dxa"/>
          </w:tcPr>
          <w:p w14:paraId="55EC3E0A" w14:textId="06F5775E" w:rsidR="002663B4" w:rsidRDefault="002663B4" w:rsidP="002663B4">
            <w:pPr>
              <w:pStyle w:val="TableCopy"/>
              <w:jc w:val="right"/>
            </w:pPr>
            <w:r w:rsidRPr="00E62210">
              <w:t>3.1</w:t>
            </w:r>
          </w:p>
        </w:tc>
      </w:tr>
      <w:tr w:rsidR="002663B4" w14:paraId="7197AC0F" w14:textId="77777777" w:rsidTr="00822889">
        <w:trPr>
          <w:cantSplit/>
        </w:trPr>
        <w:tc>
          <w:tcPr>
            <w:tcW w:w="3209" w:type="dxa"/>
          </w:tcPr>
          <w:p w14:paraId="31BA030C" w14:textId="43D636DD" w:rsidR="002663B4" w:rsidRDefault="002663B4" w:rsidP="002663B4">
            <w:pPr>
              <w:pStyle w:val="TableCopy"/>
            </w:pPr>
            <w:r w:rsidRPr="00E62210">
              <w:rPr>
                <w:lang w:eastAsia="en-AU"/>
              </w:rPr>
              <w:t>2015-16 FY</w:t>
            </w:r>
          </w:p>
        </w:tc>
        <w:tc>
          <w:tcPr>
            <w:tcW w:w="3209" w:type="dxa"/>
          </w:tcPr>
          <w:p w14:paraId="4813A260" w14:textId="5B2AC2D7" w:rsidR="002663B4" w:rsidRDefault="002663B4" w:rsidP="002663B4">
            <w:pPr>
              <w:pStyle w:val="TableCopy"/>
              <w:jc w:val="right"/>
            </w:pPr>
            <w:r w:rsidRPr="00D30835">
              <w:t>23</w:t>
            </w:r>
          </w:p>
        </w:tc>
        <w:tc>
          <w:tcPr>
            <w:tcW w:w="3210" w:type="dxa"/>
          </w:tcPr>
          <w:p w14:paraId="34490D80" w14:textId="7DCAA2D4" w:rsidR="002663B4" w:rsidRDefault="002663B4" w:rsidP="002663B4">
            <w:pPr>
              <w:pStyle w:val="TableCopy"/>
              <w:jc w:val="right"/>
            </w:pPr>
            <w:r w:rsidRPr="00E62210">
              <w:rPr>
                <w:lang w:eastAsia="en-AU"/>
              </w:rPr>
              <w:t>20.7</w:t>
            </w:r>
          </w:p>
        </w:tc>
      </w:tr>
      <w:tr w:rsidR="002663B4" w14:paraId="6C810EB6" w14:textId="77777777" w:rsidTr="00822889">
        <w:trPr>
          <w:cantSplit/>
        </w:trPr>
        <w:tc>
          <w:tcPr>
            <w:tcW w:w="3209" w:type="dxa"/>
          </w:tcPr>
          <w:p w14:paraId="62B09D01" w14:textId="777B0F30" w:rsidR="002663B4" w:rsidRDefault="002663B4" w:rsidP="002663B4">
            <w:pPr>
              <w:pStyle w:val="TableCopy"/>
            </w:pPr>
            <w:r w:rsidRPr="00E62210">
              <w:rPr>
                <w:lang w:eastAsia="en-AU"/>
              </w:rPr>
              <w:t>2016-17 FY</w:t>
            </w:r>
          </w:p>
        </w:tc>
        <w:tc>
          <w:tcPr>
            <w:tcW w:w="3209" w:type="dxa"/>
          </w:tcPr>
          <w:p w14:paraId="2C841C63" w14:textId="12819517" w:rsidR="002663B4" w:rsidRDefault="002663B4" w:rsidP="002663B4">
            <w:pPr>
              <w:pStyle w:val="TableCopy"/>
              <w:jc w:val="right"/>
            </w:pPr>
            <w:r w:rsidRPr="00D30835">
              <w:t>55</w:t>
            </w:r>
          </w:p>
        </w:tc>
        <w:tc>
          <w:tcPr>
            <w:tcW w:w="3210" w:type="dxa"/>
          </w:tcPr>
          <w:p w14:paraId="6341C074" w14:textId="06E5D0E5" w:rsidR="002663B4" w:rsidRDefault="002663B4" w:rsidP="002663B4">
            <w:pPr>
              <w:pStyle w:val="TableCopy"/>
              <w:jc w:val="right"/>
            </w:pPr>
            <w:r w:rsidRPr="00E62210">
              <w:rPr>
                <w:lang w:eastAsia="en-AU"/>
              </w:rPr>
              <w:t>37.8</w:t>
            </w:r>
          </w:p>
        </w:tc>
      </w:tr>
      <w:tr w:rsidR="002663B4" w14:paraId="18F655DE" w14:textId="77777777" w:rsidTr="00822889">
        <w:trPr>
          <w:cantSplit/>
        </w:trPr>
        <w:tc>
          <w:tcPr>
            <w:tcW w:w="3209" w:type="dxa"/>
          </w:tcPr>
          <w:p w14:paraId="2E1E3D86" w14:textId="296079E4" w:rsidR="002663B4" w:rsidRDefault="002663B4" w:rsidP="002663B4">
            <w:pPr>
              <w:pStyle w:val="TableCopy"/>
            </w:pPr>
            <w:r w:rsidRPr="00E62210">
              <w:rPr>
                <w:lang w:eastAsia="en-AU"/>
              </w:rPr>
              <w:t>2017-18 FY</w:t>
            </w:r>
          </w:p>
        </w:tc>
        <w:tc>
          <w:tcPr>
            <w:tcW w:w="3209" w:type="dxa"/>
          </w:tcPr>
          <w:p w14:paraId="592B1C9D" w14:textId="104144D0" w:rsidR="002663B4" w:rsidRDefault="002663B4" w:rsidP="002663B4">
            <w:pPr>
              <w:pStyle w:val="TableCopy"/>
              <w:jc w:val="right"/>
            </w:pPr>
            <w:r w:rsidRPr="00D30835">
              <w:t>93</w:t>
            </w:r>
          </w:p>
        </w:tc>
        <w:tc>
          <w:tcPr>
            <w:tcW w:w="3210" w:type="dxa"/>
          </w:tcPr>
          <w:p w14:paraId="65F59231" w14:textId="2F5F75F3" w:rsidR="002663B4" w:rsidRDefault="002663B4" w:rsidP="002663B4">
            <w:pPr>
              <w:pStyle w:val="TableCopy"/>
              <w:jc w:val="right"/>
            </w:pPr>
            <w:r w:rsidRPr="00E62210">
              <w:rPr>
                <w:lang w:eastAsia="en-AU"/>
              </w:rPr>
              <w:t>57.1</w:t>
            </w:r>
          </w:p>
        </w:tc>
      </w:tr>
      <w:tr w:rsidR="002663B4" w14:paraId="49C06EBD" w14:textId="77777777" w:rsidTr="00822889">
        <w:trPr>
          <w:cantSplit/>
        </w:trPr>
        <w:tc>
          <w:tcPr>
            <w:tcW w:w="3209" w:type="dxa"/>
          </w:tcPr>
          <w:p w14:paraId="3D48E6FD" w14:textId="3D4662E7" w:rsidR="002663B4" w:rsidRDefault="002663B4" w:rsidP="002663B4">
            <w:pPr>
              <w:pStyle w:val="TableCopy"/>
            </w:pPr>
            <w:r w:rsidRPr="00E62210">
              <w:rPr>
                <w:lang w:eastAsia="en-AU"/>
              </w:rPr>
              <w:t>2018-19 FY</w:t>
            </w:r>
          </w:p>
        </w:tc>
        <w:tc>
          <w:tcPr>
            <w:tcW w:w="3209" w:type="dxa"/>
          </w:tcPr>
          <w:p w14:paraId="30D23A5F" w14:textId="32F98E8B" w:rsidR="002663B4" w:rsidRDefault="002663B4" w:rsidP="002663B4">
            <w:pPr>
              <w:pStyle w:val="TableCopy"/>
              <w:jc w:val="right"/>
            </w:pPr>
            <w:r w:rsidRPr="00D30835">
              <w:t>125</w:t>
            </w:r>
          </w:p>
        </w:tc>
        <w:tc>
          <w:tcPr>
            <w:tcW w:w="3210" w:type="dxa"/>
          </w:tcPr>
          <w:p w14:paraId="0C162CC6" w14:textId="261B6AB0" w:rsidR="002663B4" w:rsidRDefault="002663B4" w:rsidP="002663B4">
            <w:pPr>
              <w:pStyle w:val="TableCopy"/>
              <w:jc w:val="right"/>
            </w:pPr>
            <w:r w:rsidRPr="00E62210">
              <w:rPr>
                <w:lang w:eastAsia="en-AU"/>
              </w:rPr>
              <w:t>78.8</w:t>
            </w:r>
          </w:p>
        </w:tc>
      </w:tr>
      <w:tr w:rsidR="002663B4" w14:paraId="4A41B3AD" w14:textId="77777777" w:rsidTr="00822889">
        <w:trPr>
          <w:cantSplit/>
        </w:trPr>
        <w:tc>
          <w:tcPr>
            <w:tcW w:w="3209" w:type="dxa"/>
          </w:tcPr>
          <w:p w14:paraId="76651516" w14:textId="6BF99A41" w:rsidR="002663B4" w:rsidRDefault="002663B4" w:rsidP="002663B4">
            <w:pPr>
              <w:pStyle w:val="TableCopy"/>
            </w:pPr>
            <w:r w:rsidRPr="00E62210">
              <w:rPr>
                <w:lang w:eastAsia="en-AU"/>
              </w:rPr>
              <w:t>2019-20 FY</w:t>
            </w:r>
          </w:p>
        </w:tc>
        <w:tc>
          <w:tcPr>
            <w:tcW w:w="3209" w:type="dxa"/>
          </w:tcPr>
          <w:p w14:paraId="1EE6D153" w14:textId="2ADE4011" w:rsidR="002663B4" w:rsidRDefault="002663B4" w:rsidP="002663B4">
            <w:pPr>
              <w:pStyle w:val="TableCopy"/>
              <w:jc w:val="right"/>
            </w:pPr>
            <w:r w:rsidRPr="00D30835">
              <w:t>157</w:t>
            </w:r>
          </w:p>
        </w:tc>
        <w:tc>
          <w:tcPr>
            <w:tcW w:w="3210" w:type="dxa"/>
          </w:tcPr>
          <w:p w14:paraId="17F91906" w14:textId="76C6D966" w:rsidR="002663B4" w:rsidRDefault="002663B4" w:rsidP="002663B4">
            <w:pPr>
              <w:pStyle w:val="TableCopy"/>
              <w:jc w:val="right"/>
            </w:pPr>
            <w:r w:rsidRPr="00E62210">
              <w:rPr>
                <w:lang w:eastAsia="en-AU"/>
              </w:rPr>
              <w:t>85.4</w:t>
            </w:r>
          </w:p>
        </w:tc>
      </w:tr>
      <w:tr w:rsidR="002663B4" w14:paraId="5251DB93" w14:textId="77777777" w:rsidTr="00822889">
        <w:trPr>
          <w:cantSplit/>
        </w:trPr>
        <w:tc>
          <w:tcPr>
            <w:tcW w:w="3209" w:type="dxa"/>
          </w:tcPr>
          <w:p w14:paraId="5596CC0A" w14:textId="003F6425" w:rsidR="002663B4" w:rsidRDefault="002663B4" w:rsidP="002663B4">
            <w:pPr>
              <w:pStyle w:val="TableCopy"/>
            </w:pPr>
            <w:r w:rsidRPr="00E62210">
              <w:rPr>
                <w:lang w:eastAsia="en-AU"/>
              </w:rPr>
              <w:t>2020-21 FY</w:t>
            </w:r>
          </w:p>
        </w:tc>
        <w:tc>
          <w:tcPr>
            <w:tcW w:w="3209" w:type="dxa"/>
          </w:tcPr>
          <w:p w14:paraId="151E6D75" w14:textId="2B4C904A" w:rsidR="002663B4" w:rsidRDefault="002663B4" w:rsidP="002663B4">
            <w:pPr>
              <w:pStyle w:val="TableCopy"/>
              <w:jc w:val="right"/>
            </w:pPr>
            <w:r w:rsidRPr="00D30835">
              <w:t>198</w:t>
            </w:r>
          </w:p>
        </w:tc>
        <w:tc>
          <w:tcPr>
            <w:tcW w:w="3210" w:type="dxa"/>
          </w:tcPr>
          <w:p w14:paraId="4B59E277" w14:textId="18E072D6" w:rsidR="002663B4" w:rsidRDefault="002663B4" w:rsidP="002663B4">
            <w:pPr>
              <w:pStyle w:val="TableCopy"/>
              <w:jc w:val="right"/>
            </w:pPr>
            <w:r w:rsidRPr="00E62210">
              <w:rPr>
                <w:lang w:eastAsia="en-AU"/>
              </w:rPr>
              <w:t>98</w:t>
            </w:r>
          </w:p>
        </w:tc>
      </w:tr>
      <w:tr w:rsidR="002663B4" w14:paraId="04CF7A5E" w14:textId="77777777" w:rsidTr="00822889">
        <w:trPr>
          <w:cantSplit/>
        </w:trPr>
        <w:tc>
          <w:tcPr>
            <w:tcW w:w="3209" w:type="dxa"/>
          </w:tcPr>
          <w:p w14:paraId="13EA3F6D" w14:textId="01CCCB59" w:rsidR="002663B4" w:rsidRPr="00E62210" w:rsidRDefault="002663B4" w:rsidP="002663B4">
            <w:pPr>
              <w:pStyle w:val="TableCopy"/>
              <w:rPr>
                <w:lang w:eastAsia="en-AU"/>
              </w:rPr>
            </w:pPr>
            <w:r w:rsidRPr="00E62210">
              <w:rPr>
                <w:lang w:eastAsia="en-AU"/>
              </w:rPr>
              <w:t>2021-22 FY</w:t>
            </w:r>
          </w:p>
        </w:tc>
        <w:tc>
          <w:tcPr>
            <w:tcW w:w="3209" w:type="dxa"/>
          </w:tcPr>
          <w:p w14:paraId="1C8FFF8F" w14:textId="33481EA1" w:rsidR="002663B4" w:rsidRDefault="002663B4" w:rsidP="002663B4">
            <w:pPr>
              <w:pStyle w:val="TableCopy"/>
              <w:jc w:val="right"/>
            </w:pPr>
            <w:r w:rsidRPr="00D30835">
              <w:t>253</w:t>
            </w:r>
          </w:p>
        </w:tc>
        <w:tc>
          <w:tcPr>
            <w:tcW w:w="3210" w:type="dxa"/>
          </w:tcPr>
          <w:p w14:paraId="5B4BC4F3" w14:textId="3507B788" w:rsidR="002663B4" w:rsidRDefault="002663B4" w:rsidP="002663B4">
            <w:pPr>
              <w:pStyle w:val="TableCopy"/>
              <w:jc w:val="right"/>
            </w:pPr>
            <w:r w:rsidRPr="00E62210">
              <w:rPr>
                <w:lang w:eastAsia="en-AU"/>
              </w:rPr>
              <w:t>117.5</w:t>
            </w:r>
          </w:p>
        </w:tc>
      </w:tr>
      <w:tr w:rsidR="002663B4" w14:paraId="50FE12B6" w14:textId="77777777" w:rsidTr="00822889">
        <w:trPr>
          <w:cantSplit/>
        </w:trPr>
        <w:tc>
          <w:tcPr>
            <w:tcW w:w="3209" w:type="dxa"/>
          </w:tcPr>
          <w:p w14:paraId="14C70D66" w14:textId="24062A99" w:rsidR="002663B4" w:rsidRPr="00E62210" w:rsidRDefault="002663B4" w:rsidP="002663B4">
            <w:pPr>
              <w:pStyle w:val="TableCopy"/>
              <w:rPr>
                <w:lang w:eastAsia="en-AU"/>
              </w:rPr>
            </w:pPr>
            <w:r w:rsidRPr="00E62210">
              <w:rPr>
                <w:lang w:eastAsia="en-AU"/>
              </w:rPr>
              <w:t>2022-23 FY</w:t>
            </w:r>
          </w:p>
        </w:tc>
        <w:tc>
          <w:tcPr>
            <w:tcW w:w="3209" w:type="dxa"/>
          </w:tcPr>
          <w:p w14:paraId="3359C5F1" w14:textId="70CBE5B8" w:rsidR="002663B4" w:rsidRDefault="002663B4" w:rsidP="002663B4">
            <w:pPr>
              <w:pStyle w:val="TableCopy"/>
              <w:jc w:val="right"/>
            </w:pPr>
            <w:r w:rsidRPr="00D30835">
              <w:t>300</w:t>
            </w:r>
          </w:p>
        </w:tc>
        <w:tc>
          <w:tcPr>
            <w:tcW w:w="3210" w:type="dxa"/>
          </w:tcPr>
          <w:p w14:paraId="160B77C2" w14:textId="31092331" w:rsidR="002663B4" w:rsidRDefault="002663B4" w:rsidP="002663B4">
            <w:pPr>
              <w:pStyle w:val="TableCopy"/>
              <w:jc w:val="right"/>
            </w:pPr>
            <w:r w:rsidRPr="00E62210">
              <w:rPr>
                <w:lang w:eastAsia="en-AU"/>
              </w:rPr>
              <w:t>144.6</w:t>
            </w:r>
          </w:p>
        </w:tc>
      </w:tr>
      <w:tr w:rsidR="009E12D8" w14:paraId="1E41621E" w14:textId="77777777" w:rsidTr="00822889">
        <w:trPr>
          <w:cantSplit/>
        </w:trPr>
        <w:tc>
          <w:tcPr>
            <w:tcW w:w="3209" w:type="dxa"/>
          </w:tcPr>
          <w:p w14:paraId="1E9E10F7" w14:textId="261703D5" w:rsidR="009E12D8" w:rsidRPr="00E62210" w:rsidRDefault="009E12D8" w:rsidP="009E12D8">
            <w:pPr>
              <w:pStyle w:val="TableCopy"/>
              <w:rPr>
                <w:lang w:eastAsia="en-AU"/>
              </w:rPr>
            </w:pPr>
            <w:r w:rsidRPr="00E62210">
              <w:rPr>
                <w:lang w:eastAsia="en-AU"/>
              </w:rPr>
              <w:t>202</w:t>
            </w:r>
            <w:r>
              <w:rPr>
                <w:lang w:eastAsia="en-AU"/>
              </w:rPr>
              <w:t>3</w:t>
            </w:r>
            <w:r w:rsidRPr="00E62210">
              <w:rPr>
                <w:lang w:eastAsia="en-AU"/>
              </w:rPr>
              <w:t>-2</w:t>
            </w:r>
            <w:r>
              <w:rPr>
                <w:lang w:eastAsia="en-AU"/>
              </w:rPr>
              <w:t>4</w:t>
            </w:r>
            <w:r w:rsidRPr="00E62210">
              <w:rPr>
                <w:lang w:eastAsia="en-AU"/>
              </w:rPr>
              <w:t xml:space="preserve"> FY</w:t>
            </w:r>
          </w:p>
        </w:tc>
        <w:tc>
          <w:tcPr>
            <w:tcW w:w="3209" w:type="dxa"/>
          </w:tcPr>
          <w:p w14:paraId="30FD8A34" w14:textId="51B97B32" w:rsidR="009E12D8" w:rsidRPr="00D30835" w:rsidRDefault="009E12D8" w:rsidP="009E12D8">
            <w:pPr>
              <w:pStyle w:val="TableCopy"/>
              <w:jc w:val="right"/>
            </w:pPr>
            <w:r w:rsidRPr="00D30835">
              <w:t>3</w:t>
            </w:r>
            <w:r>
              <w:t>49</w:t>
            </w:r>
          </w:p>
        </w:tc>
        <w:tc>
          <w:tcPr>
            <w:tcW w:w="3210" w:type="dxa"/>
          </w:tcPr>
          <w:p w14:paraId="09ABC8C2" w14:textId="60C2D585" w:rsidR="009E12D8" w:rsidRPr="00E62210" w:rsidRDefault="009E12D8" w:rsidP="009E12D8">
            <w:pPr>
              <w:pStyle w:val="TableCopy"/>
              <w:jc w:val="right"/>
              <w:rPr>
                <w:lang w:eastAsia="en-AU"/>
              </w:rPr>
            </w:pPr>
            <w:r>
              <w:rPr>
                <w:lang w:eastAsia="en-AU"/>
              </w:rPr>
              <w:t>175.1</w:t>
            </w:r>
          </w:p>
        </w:tc>
      </w:tr>
    </w:tbl>
    <w:p w14:paraId="1BB24A4F" w14:textId="05930DAF" w:rsidR="00E856EF" w:rsidRDefault="00E856EF" w:rsidP="00926565">
      <w:pPr>
        <w:rPr>
          <w:lang w:val="en-GB" w:eastAsia="en-AU"/>
        </w:rPr>
      </w:pPr>
    </w:p>
    <w:p w14:paraId="0DC4239E" w14:textId="77777777" w:rsidR="00DC4D4A" w:rsidRPr="00DC4D4A" w:rsidRDefault="00DC4D4A" w:rsidP="00DC4D4A">
      <w:pPr>
        <w:pStyle w:val="Normalbeforebullets"/>
        <w:rPr>
          <w:lang w:val="en-GB" w:eastAsia="en-AU"/>
        </w:rPr>
      </w:pPr>
      <w:r w:rsidRPr="00DC4D4A">
        <w:rPr>
          <w:lang w:val="en-GB" w:eastAsia="en-AU"/>
        </w:rPr>
        <w:t>Ministerial requirements</w:t>
      </w:r>
    </w:p>
    <w:p w14:paraId="38971F98" w14:textId="1D7D02BB" w:rsidR="00DC4D4A" w:rsidRPr="00DC4D4A" w:rsidRDefault="00DC4D4A" w:rsidP="00DC4D4A">
      <w:pPr>
        <w:pStyle w:val="Bullet"/>
        <w:rPr>
          <w:lang w:val="en-GB" w:eastAsia="en-AU"/>
        </w:rPr>
      </w:pPr>
      <w:r w:rsidRPr="00DC4D4A">
        <w:rPr>
          <w:lang w:val="en-GB" w:eastAsia="en-AU"/>
        </w:rPr>
        <w:t>88%</w:t>
      </w:r>
      <w:r>
        <w:rPr>
          <w:lang w:val="en-GB" w:eastAsia="en-AU"/>
        </w:rPr>
        <w:t xml:space="preserve"> </w:t>
      </w:r>
      <w:r w:rsidRPr="00DC4D4A">
        <w:rPr>
          <w:lang w:val="en-GB" w:eastAsia="en-AU"/>
        </w:rPr>
        <w:t>average minimum local content</w:t>
      </w:r>
    </w:p>
    <w:p w14:paraId="3F94ABC9" w14:textId="4DE7007F" w:rsidR="002663B4" w:rsidRDefault="009E12D8" w:rsidP="00DC4D4A">
      <w:pPr>
        <w:pStyle w:val="Bulletlast"/>
        <w:rPr>
          <w:lang w:val="en-GB" w:eastAsia="en-AU"/>
        </w:rPr>
      </w:pPr>
      <w:r>
        <w:rPr>
          <w:lang w:val="en-GB" w:eastAsia="en-AU"/>
        </w:rPr>
        <w:t>113</w:t>
      </w:r>
      <w:r w:rsidR="00DC4D4A" w:rsidRPr="00DC4D4A">
        <w:rPr>
          <w:lang w:val="en-GB" w:eastAsia="en-AU"/>
        </w:rPr>
        <w:t xml:space="preserve"> projects with a local steel requirement</w:t>
      </w:r>
    </w:p>
    <w:p w14:paraId="42E38490" w14:textId="77777777" w:rsidR="00C575A9" w:rsidRPr="00C575A9" w:rsidRDefault="00C575A9" w:rsidP="00C575A9">
      <w:pPr>
        <w:pStyle w:val="Normalbeforebullets"/>
        <w:rPr>
          <w:lang w:val="en-GB" w:eastAsia="en-AU"/>
        </w:rPr>
      </w:pPr>
      <w:r w:rsidRPr="00C575A9">
        <w:rPr>
          <w:lang w:val="en-GB" w:eastAsia="en-AU"/>
        </w:rPr>
        <w:lastRenderedPageBreak/>
        <w:t>Local Industry Development Plan commitments</w:t>
      </w:r>
    </w:p>
    <w:p w14:paraId="2D6157BD" w14:textId="30631EC3" w:rsidR="00C575A9" w:rsidRPr="00C575A9" w:rsidRDefault="009E12D8" w:rsidP="00C575A9">
      <w:pPr>
        <w:pStyle w:val="Bullet"/>
        <w:keepNext/>
        <w:rPr>
          <w:lang w:val="en-GB" w:eastAsia="en-AU"/>
        </w:rPr>
      </w:pPr>
      <w:r>
        <w:rPr>
          <w:lang w:val="en-GB" w:eastAsia="en-AU"/>
        </w:rPr>
        <w:t>80</w:t>
      </w:r>
      <w:r w:rsidR="00C575A9" w:rsidRPr="00C575A9">
        <w:rPr>
          <w:lang w:val="en-GB" w:eastAsia="en-AU"/>
        </w:rPr>
        <w:t>%</w:t>
      </w:r>
      <w:r w:rsidR="00C575A9">
        <w:rPr>
          <w:lang w:val="en-GB" w:eastAsia="en-AU"/>
        </w:rPr>
        <w:t xml:space="preserve"> </w:t>
      </w:r>
      <w:r w:rsidR="00C575A9" w:rsidRPr="00C575A9">
        <w:rPr>
          <w:lang w:val="en-GB" w:eastAsia="en-AU"/>
        </w:rPr>
        <w:t>average local content</w:t>
      </w:r>
    </w:p>
    <w:p w14:paraId="0A6FB5D2" w14:textId="13A93B68" w:rsidR="00C575A9" w:rsidRPr="00C575A9" w:rsidRDefault="009E12D8" w:rsidP="00C575A9">
      <w:pPr>
        <w:pStyle w:val="Bullet"/>
        <w:rPr>
          <w:lang w:val="en-GB" w:eastAsia="en-AU"/>
        </w:rPr>
      </w:pPr>
      <w:r>
        <w:rPr>
          <w:lang w:val="en-GB" w:eastAsia="en-AU"/>
        </w:rPr>
        <w:t>91</w:t>
      </w:r>
      <w:r w:rsidR="00C575A9" w:rsidRPr="00C575A9">
        <w:rPr>
          <w:lang w:val="en-GB" w:eastAsia="en-AU"/>
        </w:rPr>
        <w:t>%</w:t>
      </w:r>
      <w:r w:rsidR="00C575A9">
        <w:rPr>
          <w:lang w:val="en-GB" w:eastAsia="en-AU"/>
        </w:rPr>
        <w:t xml:space="preserve"> </w:t>
      </w:r>
      <w:r w:rsidR="00C575A9" w:rsidRPr="00C575A9">
        <w:rPr>
          <w:lang w:val="en-GB" w:eastAsia="en-AU"/>
        </w:rPr>
        <w:t>average local steel content</w:t>
      </w:r>
    </w:p>
    <w:p w14:paraId="11457A7B" w14:textId="0662A4D7" w:rsidR="00C575A9" w:rsidRDefault="009E12D8" w:rsidP="00C575A9">
      <w:pPr>
        <w:pStyle w:val="Bulletlast"/>
        <w:rPr>
          <w:lang w:val="en-GB" w:eastAsia="en-AU"/>
        </w:rPr>
      </w:pPr>
      <w:r>
        <w:rPr>
          <w:lang w:val="en-GB" w:eastAsia="en-AU"/>
        </w:rPr>
        <w:t>63,790</w:t>
      </w:r>
      <w:r w:rsidR="00C575A9">
        <w:rPr>
          <w:lang w:val="en-GB" w:eastAsia="en-AU"/>
        </w:rPr>
        <w:t xml:space="preserve"> </w:t>
      </w:r>
      <w:r w:rsidR="00C575A9" w:rsidRPr="00C575A9">
        <w:rPr>
          <w:lang w:val="en-GB" w:eastAsia="en-AU"/>
        </w:rPr>
        <w:t>jobs committed</w:t>
      </w:r>
    </w:p>
    <w:p w14:paraId="409916FB" w14:textId="507CB7CC" w:rsidR="00D06756" w:rsidRDefault="009E12D8" w:rsidP="00D06756">
      <w:pPr>
        <w:pStyle w:val="FootnoteText"/>
        <w:spacing w:after="280"/>
        <w:rPr>
          <w:lang w:val="en-GB" w:eastAsia="en-AU"/>
        </w:rPr>
      </w:pPr>
      <w:r w:rsidRPr="009E12D8">
        <w:rPr>
          <w:lang w:val="en-GB" w:eastAsia="en-AU"/>
        </w:rPr>
        <w:t>A Strategic Project is a project with a budget of $50 million or more or that has been declared as a Strategic Project by the Minister for Jobs and Industry.</w:t>
      </w:r>
    </w:p>
    <w:p w14:paraId="3B72BB61" w14:textId="0EB4026C" w:rsidR="00D06756" w:rsidRPr="00B67F56" w:rsidRDefault="00B67F56" w:rsidP="00B67F56">
      <w:pPr>
        <w:keepNext/>
        <w:keepLines/>
        <w:autoSpaceDE w:val="0"/>
        <w:autoSpaceDN w:val="0"/>
        <w:adjustRightInd w:val="0"/>
        <w:spacing w:before="227" w:after="113" w:line="288" w:lineRule="auto"/>
        <w:textAlignment w:val="center"/>
        <w:rPr>
          <w:rFonts w:asciiTheme="minorHAnsi" w:eastAsiaTheme="minorEastAsia" w:hAnsiTheme="minorHAnsi" w:cstheme="minorHAnsi"/>
          <w:b/>
          <w:bCs/>
          <w:color w:val="000000"/>
          <w:szCs w:val="24"/>
          <w:lang w:val="en-GB" w:eastAsia="en-AU"/>
        </w:rPr>
      </w:pPr>
      <w:r w:rsidRPr="00B67F56">
        <w:rPr>
          <w:rFonts w:asciiTheme="minorHAnsi" w:eastAsiaTheme="minorEastAsia" w:hAnsiTheme="minorHAnsi" w:cstheme="minorHAnsi"/>
          <w:b/>
          <w:bCs/>
          <w:color w:val="000000"/>
          <w:szCs w:val="24"/>
          <w:lang w:val="en-GB" w:eastAsia="en-AU"/>
        </w:rPr>
        <w:t>Since 2015, the Local Jobs First Policy has been applied to</w:t>
      </w:r>
    </w:p>
    <w:p w14:paraId="2F91264E" w14:textId="3AD715D5" w:rsidR="00B67F56" w:rsidRDefault="007A3673" w:rsidP="007A3673">
      <w:pPr>
        <w:pStyle w:val="Bullet"/>
        <w:rPr>
          <w:lang w:val="en-GB" w:eastAsia="en-AU"/>
        </w:rPr>
      </w:pPr>
      <w:r w:rsidRPr="007A3673">
        <w:rPr>
          <w:lang w:val="en-GB" w:eastAsia="en-AU"/>
        </w:rPr>
        <w:t>2,</w:t>
      </w:r>
      <w:r w:rsidR="009E12D8">
        <w:rPr>
          <w:lang w:val="en-GB" w:eastAsia="en-AU"/>
        </w:rPr>
        <w:t>8</w:t>
      </w:r>
      <w:r w:rsidRPr="007A3673">
        <w:rPr>
          <w:lang w:val="en-GB" w:eastAsia="en-AU"/>
        </w:rPr>
        <w:t>36 Standard projects</w:t>
      </w:r>
    </w:p>
    <w:p w14:paraId="7B790E6A" w14:textId="0319F836" w:rsidR="009F2793" w:rsidRPr="009F2793" w:rsidRDefault="009F2793" w:rsidP="009F2793">
      <w:pPr>
        <w:pStyle w:val="Bullet2"/>
        <w:rPr>
          <w:lang w:val="en-GB" w:eastAsia="en-AU"/>
        </w:rPr>
      </w:pPr>
      <w:r w:rsidRPr="009F2793">
        <w:rPr>
          <w:lang w:val="en-GB" w:eastAsia="en-AU"/>
        </w:rPr>
        <w:t>1,</w:t>
      </w:r>
      <w:r w:rsidR="009E12D8">
        <w:rPr>
          <w:lang w:val="en-GB" w:eastAsia="en-AU"/>
        </w:rPr>
        <w:t>145</w:t>
      </w:r>
      <w:r>
        <w:rPr>
          <w:lang w:val="en-GB" w:eastAsia="en-AU"/>
        </w:rPr>
        <w:t xml:space="preserve"> </w:t>
      </w:r>
      <w:r w:rsidRPr="009F2793">
        <w:rPr>
          <w:lang w:val="en-GB" w:eastAsia="en-AU"/>
        </w:rPr>
        <w:t>Metro projects</w:t>
      </w:r>
    </w:p>
    <w:p w14:paraId="6E2AFA35" w14:textId="42A81E72" w:rsidR="009F2793" w:rsidRPr="009F2793" w:rsidRDefault="009F2793" w:rsidP="009F2793">
      <w:pPr>
        <w:pStyle w:val="Bullet2"/>
        <w:rPr>
          <w:lang w:val="en-GB" w:eastAsia="en-AU"/>
        </w:rPr>
      </w:pPr>
      <w:r w:rsidRPr="009F2793">
        <w:rPr>
          <w:lang w:val="en-GB" w:eastAsia="en-AU"/>
        </w:rPr>
        <w:t>1,</w:t>
      </w:r>
      <w:r w:rsidR="009E12D8">
        <w:rPr>
          <w:lang w:val="en-GB" w:eastAsia="en-AU"/>
        </w:rPr>
        <w:t>253</w:t>
      </w:r>
      <w:r>
        <w:rPr>
          <w:lang w:val="en-GB" w:eastAsia="en-AU"/>
        </w:rPr>
        <w:t xml:space="preserve"> </w:t>
      </w:r>
      <w:r w:rsidRPr="009F2793">
        <w:rPr>
          <w:lang w:val="en-GB" w:eastAsia="en-AU"/>
        </w:rPr>
        <w:t>Regional projects</w:t>
      </w:r>
    </w:p>
    <w:p w14:paraId="5035401C" w14:textId="418D25B9" w:rsidR="007A3673" w:rsidRDefault="009E12D8" w:rsidP="009F2793">
      <w:pPr>
        <w:pStyle w:val="Bullet2"/>
        <w:rPr>
          <w:lang w:val="en-GB" w:eastAsia="en-AU"/>
        </w:rPr>
      </w:pPr>
      <w:r>
        <w:rPr>
          <w:lang w:val="en-GB" w:eastAsia="en-AU"/>
        </w:rPr>
        <w:t>438</w:t>
      </w:r>
      <w:r w:rsidR="009F2793">
        <w:rPr>
          <w:lang w:val="en-GB" w:eastAsia="en-AU"/>
        </w:rPr>
        <w:t xml:space="preserve"> </w:t>
      </w:r>
      <w:r w:rsidR="009F2793" w:rsidRPr="009F2793">
        <w:rPr>
          <w:lang w:val="en-GB" w:eastAsia="en-AU"/>
        </w:rPr>
        <w:t>Statewide projects</w:t>
      </w:r>
    </w:p>
    <w:p w14:paraId="7AE46090" w14:textId="62C3E75B" w:rsidR="009F2793" w:rsidRDefault="009614B7" w:rsidP="009614B7">
      <w:pPr>
        <w:pStyle w:val="Bulletlast"/>
        <w:rPr>
          <w:lang w:val="en-GB" w:eastAsia="en-AU"/>
        </w:rPr>
      </w:pPr>
      <w:r w:rsidRPr="009614B7">
        <w:rPr>
          <w:lang w:val="en-GB" w:eastAsia="en-AU"/>
        </w:rPr>
        <w:t>Worth $2</w:t>
      </w:r>
      <w:r w:rsidR="009E12D8">
        <w:rPr>
          <w:lang w:val="en-GB" w:eastAsia="en-AU"/>
        </w:rPr>
        <w:t>2.6</w:t>
      </w:r>
      <w:r w:rsidRPr="009614B7">
        <w:rPr>
          <w:lang w:val="en-GB" w:eastAsia="en-AU"/>
        </w:rPr>
        <w:t xml:space="preserve"> billion</w:t>
      </w:r>
    </w:p>
    <w:p w14:paraId="6DAE8B2C" w14:textId="487EB30B" w:rsidR="009614B7" w:rsidRDefault="009614B7" w:rsidP="009614B7">
      <w:pPr>
        <w:rPr>
          <w:lang w:val="en-GB" w:eastAsia="en-AU"/>
        </w:rPr>
      </w:pPr>
      <w:r>
        <w:rPr>
          <w:noProof/>
          <w:lang w:val="en-GB" w:eastAsia="en-AU"/>
        </w:rPr>
        <w:drawing>
          <wp:inline distT="0" distB="0" distL="0" distR="0" wp14:anchorId="3FA77D52" wp14:editId="67DE2B22">
            <wp:extent cx="6120130" cy="1612565"/>
            <wp:effectExtent l="0" t="0" r="1270" b="635"/>
            <wp:docPr id="13" name="Picture 13" descr="Cumulative Standard Projects and Value graph. Data in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mulative Standard Projects and Value graph. Data in table below."/>
                    <pic:cNvPicPr/>
                  </pic:nvPicPr>
                  <pic:blipFill>
                    <a:blip r:embed="rId15"/>
                    <a:stretch>
                      <a:fillRect/>
                    </a:stretch>
                  </pic:blipFill>
                  <pic:spPr>
                    <a:xfrm>
                      <a:off x="0" y="0"/>
                      <a:ext cx="6120130" cy="1612565"/>
                    </a:xfrm>
                    <a:prstGeom prst="rect">
                      <a:avLst/>
                    </a:prstGeom>
                  </pic:spPr>
                </pic:pic>
              </a:graphicData>
            </a:graphic>
          </wp:inline>
        </w:drawing>
      </w:r>
    </w:p>
    <w:tbl>
      <w:tblPr>
        <w:tblStyle w:val="TableGrid"/>
        <w:tblW w:w="0" w:type="auto"/>
        <w:tblLook w:val="04A0" w:firstRow="1" w:lastRow="0" w:firstColumn="1" w:lastColumn="0" w:noHBand="0" w:noVBand="1"/>
      </w:tblPr>
      <w:tblGrid>
        <w:gridCol w:w="3209"/>
        <w:gridCol w:w="3209"/>
        <w:gridCol w:w="3210"/>
      </w:tblGrid>
      <w:tr w:rsidR="004B09F2" w14:paraId="262AB400" w14:textId="77777777" w:rsidTr="007C3917">
        <w:trPr>
          <w:cantSplit/>
          <w:tblHeader/>
        </w:trPr>
        <w:tc>
          <w:tcPr>
            <w:tcW w:w="3209" w:type="dxa"/>
          </w:tcPr>
          <w:p w14:paraId="435ACA86" w14:textId="77777777" w:rsidR="004B09F2" w:rsidRDefault="004B09F2" w:rsidP="009E0CAD">
            <w:pPr>
              <w:pStyle w:val="TableColumnHeading"/>
            </w:pPr>
            <w:bookmarkStart w:id="3" w:name="ColumnTitles_2"/>
            <w:bookmarkEnd w:id="3"/>
          </w:p>
        </w:tc>
        <w:tc>
          <w:tcPr>
            <w:tcW w:w="3209" w:type="dxa"/>
          </w:tcPr>
          <w:p w14:paraId="0D184881" w14:textId="77777777" w:rsidR="004B09F2" w:rsidRDefault="004B09F2" w:rsidP="009E0CAD">
            <w:pPr>
              <w:pStyle w:val="TableColumnHeading"/>
              <w:jc w:val="right"/>
            </w:pPr>
            <w:r>
              <w:t>Projects</w:t>
            </w:r>
          </w:p>
        </w:tc>
        <w:tc>
          <w:tcPr>
            <w:tcW w:w="3210" w:type="dxa"/>
          </w:tcPr>
          <w:p w14:paraId="77A23DD3" w14:textId="77777777" w:rsidR="004B09F2" w:rsidRDefault="004B09F2" w:rsidP="009E0CAD">
            <w:pPr>
              <w:pStyle w:val="TableColumnHeading"/>
              <w:jc w:val="right"/>
            </w:pPr>
            <w:r>
              <w:t>Value ($bn)</w:t>
            </w:r>
          </w:p>
        </w:tc>
      </w:tr>
      <w:tr w:rsidR="00A40A32" w14:paraId="65ABB693" w14:textId="77777777" w:rsidTr="00B158A3">
        <w:trPr>
          <w:cantSplit/>
        </w:trPr>
        <w:tc>
          <w:tcPr>
            <w:tcW w:w="3209" w:type="dxa"/>
          </w:tcPr>
          <w:p w14:paraId="2AFC3B49" w14:textId="77777777" w:rsidR="00A40A32" w:rsidRDefault="00A40A32" w:rsidP="00A40A32">
            <w:pPr>
              <w:pStyle w:val="TableCopy"/>
            </w:pPr>
            <w:r w:rsidRPr="00E62210">
              <w:rPr>
                <w:lang w:eastAsia="en-AU"/>
              </w:rPr>
              <w:t>2015-16 FY</w:t>
            </w:r>
          </w:p>
        </w:tc>
        <w:tc>
          <w:tcPr>
            <w:tcW w:w="3209" w:type="dxa"/>
          </w:tcPr>
          <w:p w14:paraId="297B1984" w14:textId="31A5F7D7" w:rsidR="00A40A32" w:rsidRDefault="00A40A32" w:rsidP="00A40A32">
            <w:pPr>
              <w:pStyle w:val="TableCopy"/>
              <w:jc w:val="right"/>
            </w:pPr>
            <w:r w:rsidRPr="00746FA5">
              <w:t>224</w:t>
            </w:r>
          </w:p>
        </w:tc>
        <w:tc>
          <w:tcPr>
            <w:tcW w:w="3210" w:type="dxa"/>
          </w:tcPr>
          <w:p w14:paraId="728EA70E" w14:textId="617C90BA" w:rsidR="00A40A32" w:rsidRDefault="00A40A32" w:rsidP="00A40A32">
            <w:pPr>
              <w:pStyle w:val="TableCopy"/>
              <w:jc w:val="right"/>
            </w:pPr>
            <w:r w:rsidRPr="000513E3">
              <w:t>1.4</w:t>
            </w:r>
          </w:p>
        </w:tc>
      </w:tr>
      <w:tr w:rsidR="00A40A32" w14:paraId="1ECF6097" w14:textId="77777777" w:rsidTr="00B158A3">
        <w:trPr>
          <w:cantSplit/>
        </w:trPr>
        <w:tc>
          <w:tcPr>
            <w:tcW w:w="3209" w:type="dxa"/>
          </w:tcPr>
          <w:p w14:paraId="0788143A" w14:textId="77777777" w:rsidR="00A40A32" w:rsidRDefault="00A40A32" w:rsidP="00A40A32">
            <w:pPr>
              <w:pStyle w:val="TableCopy"/>
            </w:pPr>
            <w:r w:rsidRPr="00E62210">
              <w:rPr>
                <w:lang w:eastAsia="en-AU"/>
              </w:rPr>
              <w:t>2016-17 FY</w:t>
            </w:r>
          </w:p>
        </w:tc>
        <w:tc>
          <w:tcPr>
            <w:tcW w:w="3209" w:type="dxa"/>
          </w:tcPr>
          <w:p w14:paraId="0A7C9AFD" w14:textId="7710ADF6" w:rsidR="00A40A32" w:rsidRDefault="00A40A32" w:rsidP="00A40A32">
            <w:pPr>
              <w:pStyle w:val="TableCopy"/>
              <w:jc w:val="right"/>
            </w:pPr>
            <w:r w:rsidRPr="00746FA5">
              <w:t>541</w:t>
            </w:r>
          </w:p>
        </w:tc>
        <w:tc>
          <w:tcPr>
            <w:tcW w:w="3210" w:type="dxa"/>
          </w:tcPr>
          <w:p w14:paraId="69528BF0" w14:textId="79D90081" w:rsidR="00A40A32" w:rsidRDefault="00A40A32" w:rsidP="00A40A32">
            <w:pPr>
              <w:pStyle w:val="TableCopy"/>
              <w:jc w:val="right"/>
            </w:pPr>
            <w:r w:rsidRPr="000513E3">
              <w:t>3.6</w:t>
            </w:r>
          </w:p>
        </w:tc>
      </w:tr>
      <w:tr w:rsidR="00A40A32" w14:paraId="160161F7" w14:textId="77777777" w:rsidTr="00B158A3">
        <w:trPr>
          <w:cantSplit/>
        </w:trPr>
        <w:tc>
          <w:tcPr>
            <w:tcW w:w="3209" w:type="dxa"/>
          </w:tcPr>
          <w:p w14:paraId="14B931A3" w14:textId="77777777" w:rsidR="00A40A32" w:rsidRDefault="00A40A32" w:rsidP="00A40A32">
            <w:pPr>
              <w:pStyle w:val="TableCopy"/>
            </w:pPr>
            <w:r w:rsidRPr="00E62210">
              <w:rPr>
                <w:lang w:eastAsia="en-AU"/>
              </w:rPr>
              <w:t>2017-18 FY</w:t>
            </w:r>
          </w:p>
        </w:tc>
        <w:tc>
          <w:tcPr>
            <w:tcW w:w="3209" w:type="dxa"/>
          </w:tcPr>
          <w:p w14:paraId="1FB1F735" w14:textId="41C21214" w:rsidR="00A40A32" w:rsidRDefault="00A40A32" w:rsidP="00A40A32">
            <w:pPr>
              <w:pStyle w:val="TableCopy"/>
              <w:jc w:val="right"/>
            </w:pPr>
            <w:r w:rsidRPr="00746FA5">
              <w:t>957</w:t>
            </w:r>
          </w:p>
        </w:tc>
        <w:tc>
          <w:tcPr>
            <w:tcW w:w="3210" w:type="dxa"/>
          </w:tcPr>
          <w:p w14:paraId="0965808D" w14:textId="23F5689B" w:rsidR="00A40A32" w:rsidRDefault="00A40A32" w:rsidP="00A40A32">
            <w:pPr>
              <w:pStyle w:val="TableCopy"/>
              <w:jc w:val="right"/>
            </w:pPr>
            <w:r w:rsidRPr="000513E3">
              <w:t>8.2</w:t>
            </w:r>
          </w:p>
        </w:tc>
      </w:tr>
      <w:tr w:rsidR="00A40A32" w14:paraId="6D936225" w14:textId="77777777" w:rsidTr="00B158A3">
        <w:trPr>
          <w:cantSplit/>
        </w:trPr>
        <w:tc>
          <w:tcPr>
            <w:tcW w:w="3209" w:type="dxa"/>
          </w:tcPr>
          <w:p w14:paraId="4E17F1CF" w14:textId="77777777" w:rsidR="00A40A32" w:rsidRDefault="00A40A32" w:rsidP="00A40A32">
            <w:pPr>
              <w:pStyle w:val="TableCopy"/>
            </w:pPr>
            <w:r w:rsidRPr="00E62210">
              <w:rPr>
                <w:lang w:eastAsia="en-AU"/>
              </w:rPr>
              <w:t>2018-19 FY</w:t>
            </w:r>
          </w:p>
        </w:tc>
        <w:tc>
          <w:tcPr>
            <w:tcW w:w="3209" w:type="dxa"/>
          </w:tcPr>
          <w:p w14:paraId="07A46B11" w14:textId="221A2451" w:rsidR="00A40A32" w:rsidRDefault="00A40A32" w:rsidP="00A40A32">
            <w:pPr>
              <w:pStyle w:val="TableCopy"/>
              <w:jc w:val="right"/>
            </w:pPr>
            <w:r w:rsidRPr="00746FA5">
              <w:t>1308</w:t>
            </w:r>
          </w:p>
        </w:tc>
        <w:tc>
          <w:tcPr>
            <w:tcW w:w="3210" w:type="dxa"/>
          </w:tcPr>
          <w:p w14:paraId="49AC2EFC" w14:textId="52DBD824" w:rsidR="00A40A32" w:rsidRDefault="00A40A32" w:rsidP="00A40A32">
            <w:pPr>
              <w:pStyle w:val="TableCopy"/>
              <w:jc w:val="right"/>
            </w:pPr>
            <w:r w:rsidRPr="000513E3">
              <w:t>10.6</w:t>
            </w:r>
          </w:p>
        </w:tc>
      </w:tr>
      <w:tr w:rsidR="00A40A32" w14:paraId="4A145D1B" w14:textId="77777777" w:rsidTr="00B158A3">
        <w:trPr>
          <w:cantSplit/>
        </w:trPr>
        <w:tc>
          <w:tcPr>
            <w:tcW w:w="3209" w:type="dxa"/>
          </w:tcPr>
          <w:p w14:paraId="4A291529" w14:textId="77777777" w:rsidR="00A40A32" w:rsidRDefault="00A40A32" w:rsidP="00A40A32">
            <w:pPr>
              <w:pStyle w:val="TableCopy"/>
            </w:pPr>
            <w:r w:rsidRPr="00E62210">
              <w:rPr>
                <w:lang w:eastAsia="en-AU"/>
              </w:rPr>
              <w:t>2019-20 FY</w:t>
            </w:r>
          </w:p>
        </w:tc>
        <w:tc>
          <w:tcPr>
            <w:tcW w:w="3209" w:type="dxa"/>
          </w:tcPr>
          <w:p w14:paraId="251D9924" w14:textId="154C6C7A" w:rsidR="00A40A32" w:rsidRDefault="00A40A32" w:rsidP="00A40A32">
            <w:pPr>
              <w:pStyle w:val="TableCopy"/>
              <w:jc w:val="right"/>
            </w:pPr>
            <w:r w:rsidRPr="00746FA5">
              <w:t>1610</w:t>
            </w:r>
          </w:p>
        </w:tc>
        <w:tc>
          <w:tcPr>
            <w:tcW w:w="3210" w:type="dxa"/>
          </w:tcPr>
          <w:p w14:paraId="7B88CC59" w14:textId="2C2A3AC2" w:rsidR="00A40A32" w:rsidRDefault="00A40A32" w:rsidP="00A40A32">
            <w:pPr>
              <w:pStyle w:val="TableCopy"/>
              <w:jc w:val="right"/>
            </w:pPr>
            <w:r w:rsidRPr="000513E3">
              <w:t>12.7</w:t>
            </w:r>
          </w:p>
        </w:tc>
      </w:tr>
      <w:tr w:rsidR="00A40A32" w14:paraId="5E56A437" w14:textId="77777777" w:rsidTr="00B158A3">
        <w:trPr>
          <w:cantSplit/>
        </w:trPr>
        <w:tc>
          <w:tcPr>
            <w:tcW w:w="3209" w:type="dxa"/>
          </w:tcPr>
          <w:p w14:paraId="0A44A882" w14:textId="77777777" w:rsidR="00A40A32" w:rsidRDefault="00A40A32" w:rsidP="00A40A32">
            <w:pPr>
              <w:pStyle w:val="TableCopy"/>
            </w:pPr>
            <w:r w:rsidRPr="00E62210">
              <w:rPr>
                <w:lang w:eastAsia="en-AU"/>
              </w:rPr>
              <w:t>2020-21 FY</w:t>
            </w:r>
          </w:p>
        </w:tc>
        <w:tc>
          <w:tcPr>
            <w:tcW w:w="3209" w:type="dxa"/>
          </w:tcPr>
          <w:p w14:paraId="07013296" w14:textId="4854344E" w:rsidR="00A40A32" w:rsidRDefault="00A40A32" w:rsidP="00A40A32">
            <w:pPr>
              <w:pStyle w:val="TableCopy"/>
              <w:jc w:val="right"/>
            </w:pPr>
            <w:r w:rsidRPr="00746FA5">
              <w:t>1924</w:t>
            </w:r>
          </w:p>
        </w:tc>
        <w:tc>
          <w:tcPr>
            <w:tcW w:w="3210" w:type="dxa"/>
          </w:tcPr>
          <w:p w14:paraId="53FE502D" w14:textId="51162974" w:rsidR="00A40A32" w:rsidRDefault="00A40A32" w:rsidP="00A40A32">
            <w:pPr>
              <w:pStyle w:val="TableCopy"/>
              <w:jc w:val="right"/>
            </w:pPr>
            <w:r w:rsidRPr="000513E3">
              <w:t>14.7</w:t>
            </w:r>
          </w:p>
        </w:tc>
      </w:tr>
      <w:tr w:rsidR="00A40A32" w14:paraId="41725767" w14:textId="77777777" w:rsidTr="00B158A3">
        <w:trPr>
          <w:cantSplit/>
        </w:trPr>
        <w:tc>
          <w:tcPr>
            <w:tcW w:w="3209" w:type="dxa"/>
          </w:tcPr>
          <w:p w14:paraId="3CE6B1F7" w14:textId="77777777" w:rsidR="00A40A32" w:rsidRPr="00E62210" w:rsidRDefault="00A40A32" w:rsidP="00A40A32">
            <w:pPr>
              <w:pStyle w:val="TableCopy"/>
              <w:rPr>
                <w:lang w:eastAsia="en-AU"/>
              </w:rPr>
            </w:pPr>
            <w:r w:rsidRPr="00E62210">
              <w:rPr>
                <w:lang w:eastAsia="en-AU"/>
              </w:rPr>
              <w:t>2021-22 FY</w:t>
            </w:r>
          </w:p>
        </w:tc>
        <w:tc>
          <w:tcPr>
            <w:tcW w:w="3209" w:type="dxa"/>
          </w:tcPr>
          <w:p w14:paraId="79461E5A" w14:textId="59A11302" w:rsidR="00A40A32" w:rsidRDefault="00A40A32" w:rsidP="00A40A32">
            <w:pPr>
              <w:pStyle w:val="TableCopy"/>
              <w:jc w:val="right"/>
            </w:pPr>
            <w:r w:rsidRPr="00746FA5">
              <w:t>2217</w:t>
            </w:r>
          </w:p>
        </w:tc>
        <w:tc>
          <w:tcPr>
            <w:tcW w:w="3210" w:type="dxa"/>
          </w:tcPr>
          <w:p w14:paraId="120769CB" w14:textId="0F1C948D" w:rsidR="00A40A32" w:rsidRDefault="00A40A32" w:rsidP="00A40A32">
            <w:pPr>
              <w:pStyle w:val="TableCopy"/>
              <w:jc w:val="right"/>
            </w:pPr>
            <w:r w:rsidRPr="000513E3">
              <w:t>17.4</w:t>
            </w:r>
          </w:p>
        </w:tc>
      </w:tr>
      <w:tr w:rsidR="00A40A32" w14:paraId="24884EB3" w14:textId="77777777" w:rsidTr="00B158A3">
        <w:trPr>
          <w:cantSplit/>
        </w:trPr>
        <w:tc>
          <w:tcPr>
            <w:tcW w:w="3209" w:type="dxa"/>
          </w:tcPr>
          <w:p w14:paraId="5A8FEF45" w14:textId="77777777" w:rsidR="00A40A32" w:rsidRPr="00E62210" w:rsidRDefault="00A40A32" w:rsidP="00A40A32">
            <w:pPr>
              <w:pStyle w:val="TableCopy"/>
              <w:rPr>
                <w:lang w:eastAsia="en-AU"/>
              </w:rPr>
            </w:pPr>
            <w:r w:rsidRPr="00E62210">
              <w:rPr>
                <w:lang w:eastAsia="en-AU"/>
              </w:rPr>
              <w:t>2022-23 FY</w:t>
            </w:r>
          </w:p>
        </w:tc>
        <w:tc>
          <w:tcPr>
            <w:tcW w:w="3209" w:type="dxa"/>
          </w:tcPr>
          <w:p w14:paraId="5EDB16A3" w14:textId="5B2E9849" w:rsidR="00A40A32" w:rsidRDefault="00A40A32" w:rsidP="00A40A32">
            <w:pPr>
              <w:pStyle w:val="TableCopy"/>
              <w:jc w:val="right"/>
            </w:pPr>
            <w:r w:rsidRPr="00746FA5">
              <w:t>2536</w:t>
            </w:r>
          </w:p>
        </w:tc>
        <w:tc>
          <w:tcPr>
            <w:tcW w:w="3210" w:type="dxa"/>
          </w:tcPr>
          <w:p w14:paraId="16004CA0" w14:textId="5CFA2F94" w:rsidR="00A40A32" w:rsidRDefault="00A40A32" w:rsidP="00A40A32">
            <w:pPr>
              <w:pStyle w:val="TableCopy"/>
              <w:jc w:val="right"/>
            </w:pPr>
            <w:r w:rsidRPr="000513E3">
              <w:t>20.2</w:t>
            </w:r>
          </w:p>
        </w:tc>
      </w:tr>
      <w:tr w:rsidR="00B459B4" w14:paraId="4F5B4BF1" w14:textId="77777777" w:rsidTr="00B158A3">
        <w:trPr>
          <w:cantSplit/>
        </w:trPr>
        <w:tc>
          <w:tcPr>
            <w:tcW w:w="3209" w:type="dxa"/>
          </w:tcPr>
          <w:p w14:paraId="77757055" w14:textId="460B1324" w:rsidR="00B459B4" w:rsidRPr="00E62210" w:rsidRDefault="00B459B4" w:rsidP="00B459B4">
            <w:pPr>
              <w:pStyle w:val="TableCopy"/>
              <w:rPr>
                <w:lang w:eastAsia="en-AU"/>
              </w:rPr>
            </w:pPr>
            <w:r w:rsidRPr="00E62210">
              <w:rPr>
                <w:lang w:eastAsia="en-AU"/>
              </w:rPr>
              <w:lastRenderedPageBreak/>
              <w:t>202</w:t>
            </w:r>
            <w:r>
              <w:rPr>
                <w:lang w:eastAsia="en-AU"/>
              </w:rPr>
              <w:t>3</w:t>
            </w:r>
            <w:r w:rsidRPr="00E62210">
              <w:rPr>
                <w:lang w:eastAsia="en-AU"/>
              </w:rPr>
              <w:t>-2</w:t>
            </w:r>
            <w:r>
              <w:rPr>
                <w:lang w:eastAsia="en-AU"/>
              </w:rPr>
              <w:t>4</w:t>
            </w:r>
            <w:r w:rsidRPr="00E62210">
              <w:rPr>
                <w:lang w:eastAsia="en-AU"/>
              </w:rPr>
              <w:t xml:space="preserve"> FY</w:t>
            </w:r>
          </w:p>
        </w:tc>
        <w:tc>
          <w:tcPr>
            <w:tcW w:w="3209" w:type="dxa"/>
          </w:tcPr>
          <w:p w14:paraId="6F63582C" w14:textId="47532599" w:rsidR="00B459B4" w:rsidRPr="00746FA5" w:rsidRDefault="00B459B4" w:rsidP="00B459B4">
            <w:pPr>
              <w:pStyle w:val="TableCopy"/>
              <w:jc w:val="right"/>
            </w:pPr>
            <w:r>
              <w:t>2836</w:t>
            </w:r>
          </w:p>
        </w:tc>
        <w:tc>
          <w:tcPr>
            <w:tcW w:w="3210" w:type="dxa"/>
          </w:tcPr>
          <w:p w14:paraId="513A9462" w14:textId="01E3ACCF" w:rsidR="00B459B4" w:rsidRPr="000513E3" w:rsidRDefault="00B459B4" w:rsidP="00B459B4">
            <w:pPr>
              <w:pStyle w:val="TableCopy"/>
              <w:jc w:val="right"/>
            </w:pPr>
            <w:r>
              <w:t>22.6</w:t>
            </w:r>
          </w:p>
        </w:tc>
      </w:tr>
    </w:tbl>
    <w:p w14:paraId="2382D63C" w14:textId="77777777" w:rsidR="009614B7" w:rsidRDefault="009614B7" w:rsidP="009614B7">
      <w:pPr>
        <w:rPr>
          <w:lang w:val="en-GB" w:eastAsia="en-AU"/>
        </w:rPr>
      </w:pPr>
    </w:p>
    <w:p w14:paraId="6D88B08E" w14:textId="77777777" w:rsidR="00810FC3" w:rsidRPr="00810FC3" w:rsidRDefault="00810FC3" w:rsidP="00810FC3">
      <w:pPr>
        <w:pStyle w:val="Normalbeforebullets"/>
        <w:rPr>
          <w:lang w:val="en-GB" w:eastAsia="en-AU"/>
        </w:rPr>
      </w:pPr>
      <w:r w:rsidRPr="00810FC3">
        <w:rPr>
          <w:lang w:val="en-GB" w:eastAsia="en-AU"/>
        </w:rPr>
        <w:t>Local industry development plan commitments</w:t>
      </w:r>
    </w:p>
    <w:p w14:paraId="2FEA365E" w14:textId="5F80A6B7" w:rsidR="00810FC3" w:rsidRPr="00810FC3" w:rsidRDefault="00810FC3" w:rsidP="00810FC3">
      <w:pPr>
        <w:pStyle w:val="Bullet"/>
        <w:rPr>
          <w:lang w:val="en-GB" w:eastAsia="en-AU"/>
        </w:rPr>
      </w:pPr>
      <w:r w:rsidRPr="00810FC3">
        <w:rPr>
          <w:lang w:val="en-GB" w:eastAsia="en-AU"/>
        </w:rPr>
        <w:t>7</w:t>
      </w:r>
      <w:r w:rsidR="00B459B4">
        <w:rPr>
          <w:lang w:val="en-GB" w:eastAsia="en-AU"/>
        </w:rPr>
        <w:t>6</w:t>
      </w:r>
      <w:r w:rsidRPr="00810FC3">
        <w:rPr>
          <w:lang w:val="en-GB" w:eastAsia="en-AU"/>
        </w:rPr>
        <w:t>%</w:t>
      </w:r>
      <w:r>
        <w:rPr>
          <w:lang w:val="en-GB" w:eastAsia="en-AU"/>
        </w:rPr>
        <w:t xml:space="preserve"> </w:t>
      </w:r>
      <w:r w:rsidRPr="00810FC3">
        <w:rPr>
          <w:lang w:val="en-GB" w:eastAsia="en-AU"/>
        </w:rPr>
        <w:t>average local content</w:t>
      </w:r>
    </w:p>
    <w:p w14:paraId="47347483" w14:textId="101F5958" w:rsidR="00810FC3" w:rsidRPr="00810FC3" w:rsidRDefault="00810FC3" w:rsidP="00810FC3">
      <w:pPr>
        <w:pStyle w:val="Bullet"/>
        <w:rPr>
          <w:lang w:val="en-GB" w:eastAsia="en-AU"/>
        </w:rPr>
      </w:pPr>
      <w:r w:rsidRPr="00810FC3">
        <w:rPr>
          <w:lang w:val="en-GB" w:eastAsia="en-AU"/>
        </w:rPr>
        <w:t>4</w:t>
      </w:r>
      <w:r w:rsidR="00B459B4">
        <w:rPr>
          <w:lang w:val="en-GB" w:eastAsia="en-AU"/>
        </w:rPr>
        <w:t>6</w:t>
      </w:r>
      <w:r w:rsidRPr="00810FC3">
        <w:rPr>
          <w:lang w:val="en-GB" w:eastAsia="en-AU"/>
        </w:rPr>
        <w:t>,</w:t>
      </w:r>
      <w:r w:rsidR="00B459B4">
        <w:rPr>
          <w:lang w:val="en-GB" w:eastAsia="en-AU"/>
        </w:rPr>
        <w:t>136</w:t>
      </w:r>
      <w:r>
        <w:rPr>
          <w:lang w:val="en-GB" w:eastAsia="en-AU"/>
        </w:rPr>
        <w:t xml:space="preserve"> </w:t>
      </w:r>
      <w:r w:rsidRPr="00810FC3">
        <w:rPr>
          <w:lang w:val="en-GB" w:eastAsia="en-AU"/>
        </w:rPr>
        <w:t>jobs committed</w:t>
      </w:r>
    </w:p>
    <w:p w14:paraId="493AF864" w14:textId="68E499FD" w:rsidR="00810FC3" w:rsidRDefault="00B775B5" w:rsidP="00810FC3">
      <w:pPr>
        <w:pStyle w:val="Bulletlast"/>
        <w:rPr>
          <w:lang w:val="en-GB" w:eastAsia="en-AU"/>
        </w:rPr>
      </w:pPr>
      <w:r>
        <w:rPr>
          <w:lang w:val="en-GB" w:eastAsia="en-AU"/>
        </w:rPr>
        <w:t>7</w:t>
      </w:r>
      <w:r w:rsidR="00810FC3" w:rsidRPr="00810FC3">
        <w:rPr>
          <w:lang w:val="en-GB" w:eastAsia="en-AU"/>
        </w:rPr>
        <w:t>2,</w:t>
      </w:r>
      <w:r>
        <w:rPr>
          <w:lang w:val="en-GB" w:eastAsia="en-AU"/>
        </w:rPr>
        <w:t>079</w:t>
      </w:r>
      <w:r w:rsidR="00810FC3">
        <w:rPr>
          <w:lang w:val="en-GB" w:eastAsia="en-AU"/>
        </w:rPr>
        <w:t xml:space="preserve"> </w:t>
      </w:r>
      <w:r w:rsidR="009A354E" w:rsidRPr="00810FC3">
        <w:rPr>
          <w:lang w:val="en-GB" w:eastAsia="en-AU"/>
        </w:rPr>
        <w:t xml:space="preserve">opportunities for </w:t>
      </w:r>
      <w:r w:rsidR="00810FC3" w:rsidRPr="00810FC3">
        <w:rPr>
          <w:lang w:val="en-GB" w:eastAsia="en-AU"/>
        </w:rPr>
        <w:t>SMEs</w:t>
      </w:r>
    </w:p>
    <w:p w14:paraId="6B19551E" w14:textId="23D0F3B3" w:rsidR="00CE265A" w:rsidRDefault="00B775B5" w:rsidP="00CE265A">
      <w:pPr>
        <w:pStyle w:val="FootnoteText"/>
        <w:spacing w:after="280"/>
        <w:rPr>
          <w:lang w:val="en-GB" w:eastAsia="en-AU"/>
        </w:rPr>
      </w:pPr>
      <w:r w:rsidRPr="00B775B5">
        <w:rPr>
          <w:lang w:val="en-GB" w:eastAsia="en-AU"/>
        </w:rPr>
        <w:t>A Standard Project is a project with a budget less than $50 million and greater than $1 million if it is regional, or greater than $3 million if it is statewide or in metropolitan Melbourne.</w:t>
      </w:r>
    </w:p>
    <w:p w14:paraId="6AEB3B7F" w14:textId="0D441736" w:rsidR="003A4772" w:rsidRPr="00AC7CB3" w:rsidRDefault="00AC7CB3" w:rsidP="00AC7CB3">
      <w:pPr>
        <w:keepNext/>
        <w:keepLines/>
        <w:autoSpaceDE w:val="0"/>
        <w:autoSpaceDN w:val="0"/>
        <w:adjustRightInd w:val="0"/>
        <w:spacing w:before="227" w:after="113" w:line="288" w:lineRule="auto"/>
        <w:textAlignment w:val="center"/>
        <w:rPr>
          <w:rFonts w:asciiTheme="minorHAnsi" w:eastAsiaTheme="minorEastAsia" w:hAnsiTheme="minorHAnsi" w:cstheme="minorHAnsi"/>
          <w:b/>
          <w:bCs/>
          <w:color w:val="000000"/>
          <w:szCs w:val="24"/>
          <w:lang w:val="en-GB" w:eastAsia="en-AU"/>
        </w:rPr>
      </w:pPr>
      <w:r w:rsidRPr="00AC7CB3">
        <w:rPr>
          <w:rFonts w:asciiTheme="minorHAnsi" w:eastAsiaTheme="minorEastAsia" w:hAnsiTheme="minorHAnsi" w:cstheme="minorHAnsi"/>
          <w:b/>
          <w:bCs/>
          <w:color w:val="000000"/>
          <w:szCs w:val="24"/>
          <w:lang w:val="en-GB" w:eastAsia="en-AU"/>
        </w:rPr>
        <w:t>Key highlights 202</w:t>
      </w:r>
      <w:r w:rsidR="009E7304">
        <w:rPr>
          <w:rFonts w:asciiTheme="minorHAnsi" w:eastAsiaTheme="minorEastAsia" w:hAnsiTheme="minorHAnsi" w:cstheme="minorHAnsi"/>
          <w:b/>
          <w:bCs/>
          <w:color w:val="000000"/>
          <w:szCs w:val="24"/>
          <w:lang w:val="en-GB" w:eastAsia="en-AU"/>
        </w:rPr>
        <w:t>3</w:t>
      </w:r>
      <w:r w:rsidRPr="00AC7CB3">
        <w:rPr>
          <w:rFonts w:ascii="Cambria Math" w:eastAsiaTheme="minorEastAsia" w:hAnsi="Cambria Math" w:cs="Cambria Math"/>
          <w:b/>
          <w:bCs/>
          <w:color w:val="000000"/>
          <w:szCs w:val="24"/>
          <w:lang w:val="en-GB" w:eastAsia="en-AU"/>
        </w:rPr>
        <w:t>‑</w:t>
      </w:r>
      <w:r w:rsidRPr="00AC7CB3">
        <w:rPr>
          <w:rFonts w:asciiTheme="minorHAnsi" w:eastAsiaTheme="minorEastAsia" w:hAnsiTheme="minorHAnsi" w:cstheme="minorHAnsi"/>
          <w:b/>
          <w:bCs/>
          <w:color w:val="000000"/>
          <w:szCs w:val="24"/>
          <w:lang w:val="en-GB" w:eastAsia="en-AU"/>
        </w:rPr>
        <w:t>2</w:t>
      </w:r>
      <w:r w:rsidR="009E7304">
        <w:rPr>
          <w:rFonts w:asciiTheme="minorHAnsi" w:eastAsiaTheme="minorEastAsia" w:hAnsiTheme="minorHAnsi" w:cstheme="minorHAnsi"/>
          <w:b/>
          <w:bCs/>
          <w:color w:val="000000"/>
          <w:szCs w:val="24"/>
          <w:lang w:val="en-GB" w:eastAsia="en-AU"/>
        </w:rPr>
        <w:t>4</w:t>
      </w:r>
    </w:p>
    <w:p w14:paraId="5F90E00D" w14:textId="05EF7E2A" w:rsidR="00AC7CB3" w:rsidRDefault="009E7304" w:rsidP="00AC7CB3">
      <w:pPr>
        <w:pStyle w:val="Bullet"/>
        <w:rPr>
          <w:lang w:val="en-GB" w:eastAsia="en-AU"/>
        </w:rPr>
      </w:pPr>
      <w:r>
        <w:rPr>
          <w:lang w:val="en-GB" w:eastAsia="en-AU"/>
        </w:rPr>
        <w:t>334</w:t>
      </w:r>
      <w:r w:rsidR="00AC7CB3">
        <w:rPr>
          <w:lang w:val="en-GB" w:eastAsia="en-AU"/>
        </w:rPr>
        <w:t xml:space="preserve"> </w:t>
      </w:r>
      <w:r w:rsidR="00AC7CB3" w:rsidRPr="00AC7CB3">
        <w:rPr>
          <w:lang w:val="en-GB" w:eastAsia="en-AU"/>
        </w:rPr>
        <w:t>Commenced Local Jobs First</w:t>
      </w:r>
      <w:r w:rsidR="00AC7CB3">
        <w:rPr>
          <w:lang w:val="en-GB" w:eastAsia="en-AU"/>
        </w:rPr>
        <w:t xml:space="preserve"> </w:t>
      </w:r>
      <w:r w:rsidR="00AC7CB3" w:rsidRPr="00AC7CB3">
        <w:rPr>
          <w:lang w:val="en-GB" w:eastAsia="en-AU"/>
        </w:rPr>
        <w:t>projects</w:t>
      </w:r>
    </w:p>
    <w:p w14:paraId="1FBA01CE" w14:textId="3F825E92" w:rsidR="00DB7084" w:rsidRDefault="00DB7084" w:rsidP="00DB7084">
      <w:pPr>
        <w:pStyle w:val="Bullet"/>
        <w:rPr>
          <w:lang w:val="en-GB" w:eastAsia="en-AU"/>
        </w:rPr>
      </w:pPr>
      <w:r w:rsidRPr="00AC7CB3">
        <w:rPr>
          <w:lang w:val="en-GB" w:eastAsia="en-AU"/>
        </w:rPr>
        <w:t>Worth *$</w:t>
      </w:r>
      <w:r w:rsidR="009E7304">
        <w:rPr>
          <w:lang w:val="en-GB" w:eastAsia="en-AU"/>
        </w:rPr>
        <w:t>1</w:t>
      </w:r>
      <w:r w:rsidRPr="00AC7CB3">
        <w:rPr>
          <w:lang w:val="en-GB" w:eastAsia="en-AU"/>
        </w:rPr>
        <w:t>4 billion</w:t>
      </w:r>
    </w:p>
    <w:p w14:paraId="37067255" w14:textId="6107A53C" w:rsidR="00AC7CB3" w:rsidRPr="00AC7CB3" w:rsidRDefault="00AC7CB3" w:rsidP="00AC7CB3">
      <w:pPr>
        <w:pStyle w:val="Bullet2"/>
        <w:rPr>
          <w:lang w:val="en-GB" w:eastAsia="en-AU"/>
        </w:rPr>
      </w:pPr>
      <w:r w:rsidRPr="00AC7CB3">
        <w:rPr>
          <w:lang w:val="en-GB" w:eastAsia="en-AU"/>
        </w:rPr>
        <w:t>1</w:t>
      </w:r>
      <w:r w:rsidR="009E7304">
        <w:rPr>
          <w:lang w:val="en-GB" w:eastAsia="en-AU"/>
        </w:rPr>
        <w:t>33</w:t>
      </w:r>
      <w:r>
        <w:rPr>
          <w:lang w:val="en-GB" w:eastAsia="en-AU"/>
        </w:rPr>
        <w:t xml:space="preserve"> </w:t>
      </w:r>
      <w:r w:rsidRPr="00AC7CB3">
        <w:rPr>
          <w:lang w:val="en-GB" w:eastAsia="en-AU"/>
        </w:rPr>
        <w:t>Metro projects</w:t>
      </w:r>
      <w:r>
        <w:rPr>
          <w:lang w:val="en-GB" w:eastAsia="en-AU"/>
        </w:rPr>
        <w:t xml:space="preserve"> </w:t>
      </w:r>
      <w:r w:rsidRPr="00AC7CB3">
        <w:rPr>
          <w:lang w:val="en-GB" w:eastAsia="en-AU"/>
        </w:rPr>
        <w:t>worth $</w:t>
      </w:r>
      <w:r w:rsidR="009E7304">
        <w:rPr>
          <w:lang w:val="en-GB" w:eastAsia="en-AU"/>
        </w:rPr>
        <w:t>9.1</w:t>
      </w:r>
      <w:r w:rsidRPr="00AC7CB3">
        <w:rPr>
          <w:lang w:val="en-GB" w:eastAsia="en-AU"/>
        </w:rPr>
        <w:t xml:space="preserve"> billion</w:t>
      </w:r>
    </w:p>
    <w:p w14:paraId="0D5CEEF7" w14:textId="31CDC6D3" w:rsidR="00AC7CB3" w:rsidRPr="00AC7CB3" w:rsidRDefault="00AC7CB3" w:rsidP="00AC7CB3">
      <w:pPr>
        <w:pStyle w:val="Bullet2"/>
        <w:rPr>
          <w:lang w:val="en-GB" w:eastAsia="en-AU"/>
        </w:rPr>
      </w:pPr>
      <w:r w:rsidRPr="00AC7CB3">
        <w:rPr>
          <w:lang w:val="en-GB" w:eastAsia="en-AU"/>
        </w:rPr>
        <w:t>13</w:t>
      </w:r>
      <w:r w:rsidR="009E7304">
        <w:rPr>
          <w:lang w:val="en-GB" w:eastAsia="en-AU"/>
        </w:rPr>
        <w:t>8</w:t>
      </w:r>
      <w:r>
        <w:rPr>
          <w:lang w:val="en-GB" w:eastAsia="en-AU"/>
        </w:rPr>
        <w:t xml:space="preserve"> </w:t>
      </w:r>
      <w:r w:rsidRPr="00AC7CB3">
        <w:rPr>
          <w:lang w:val="en-GB" w:eastAsia="en-AU"/>
        </w:rPr>
        <w:t>Regional projects</w:t>
      </w:r>
      <w:r>
        <w:rPr>
          <w:lang w:val="en-GB" w:eastAsia="en-AU"/>
        </w:rPr>
        <w:t xml:space="preserve"> </w:t>
      </w:r>
      <w:r w:rsidRPr="00AC7CB3">
        <w:rPr>
          <w:lang w:val="en-GB" w:eastAsia="en-AU"/>
        </w:rPr>
        <w:t>worth $</w:t>
      </w:r>
      <w:r w:rsidR="009E7304">
        <w:rPr>
          <w:lang w:val="en-GB" w:eastAsia="en-AU"/>
        </w:rPr>
        <w:t>1.2</w:t>
      </w:r>
      <w:r w:rsidRPr="00AC7CB3">
        <w:rPr>
          <w:lang w:val="en-GB" w:eastAsia="en-AU"/>
        </w:rPr>
        <w:t xml:space="preserve"> billion</w:t>
      </w:r>
    </w:p>
    <w:p w14:paraId="58F443EE" w14:textId="59D393D1" w:rsidR="00AC7CB3" w:rsidRDefault="009E7304" w:rsidP="00AC7CB3">
      <w:pPr>
        <w:pStyle w:val="Bullet2"/>
        <w:rPr>
          <w:lang w:val="en-GB" w:eastAsia="en-AU"/>
        </w:rPr>
      </w:pPr>
      <w:r>
        <w:rPr>
          <w:lang w:val="en-GB" w:eastAsia="en-AU"/>
        </w:rPr>
        <w:t>63</w:t>
      </w:r>
      <w:r w:rsidR="00AC7CB3" w:rsidRPr="00AC7CB3">
        <w:rPr>
          <w:lang w:val="en-GB" w:eastAsia="en-AU"/>
        </w:rPr>
        <w:t xml:space="preserve"> Statewide projects</w:t>
      </w:r>
      <w:r w:rsidR="00AC7CB3" w:rsidRPr="00AC7CB3">
        <w:rPr>
          <w:lang w:val="en-GB" w:eastAsia="en-AU"/>
        </w:rPr>
        <w:tab/>
      </w:r>
      <w:r w:rsidR="00AC7CB3">
        <w:rPr>
          <w:lang w:val="en-GB" w:eastAsia="en-AU"/>
        </w:rPr>
        <w:t xml:space="preserve"> </w:t>
      </w:r>
      <w:r w:rsidR="00AC7CB3" w:rsidRPr="00AC7CB3">
        <w:rPr>
          <w:lang w:val="en-GB" w:eastAsia="en-AU"/>
        </w:rPr>
        <w:t>worth $</w:t>
      </w:r>
      <w:r>
        <w:rPr>
          <w:lang w:val="en-GB" w:eastAsia="en-AU"/>
        </w:rPr>
        <w:t>3.6</w:t>
      </w:r>
      <w:r w:rsidR="00AC7CB3" w:rsidRPr="00AC7CB3">
        <w:rPr>
          <w:lang w:val="en-GB" w:eastAsia="en-AU"/>
        </w:rPr>
        <w:t xml:space="preserve"> billion</w:t>
      </w:r>
    </w:p>
    <w:p w14:paraId="322C22BC" w14:textId="389E977A" w:rsidR="00AC7CB3" w:rsidRPr="00AC7CB3" w:rsidRDefault="009E7304" w:rsidP="00AC7CB3">
      <w:pPr>
        <w:pStyle w:val="Bullet2"/>
        <w:rPr>
          <w:lang w:val="en-GB" w:eastAsia="en-AU"/>
        </w:rPr>
      </w:pPr>
      <w:r>
        <w:rPr>
          <w:lang w:val="en-GB" w:eastAsia="en-AU"/>
        </w:rPr>
        <w:t>34</w:t>
      </w:r>
      <w:r w:rsidR="00AC7CB3">
        <w:rPr>
          <w:lang w:val="en-GB" w:eastAsia="en-AU"/>
        </w:rPr>
        <w:t xml:space="preserve"> </w:t>
      </w:r>
      <w:r w:rsidR="00AC7CB3" w:rsidRPr="00AC7CB3">
        <w:rPr>
          <w:lang w:val="en-GB" w:eastAsia="en-AU"/>
        </w:rPr>
        <w:t>Strategic projects</w:t>
      </w:r>
    </w:p>
    <w:p w14:paraId="0F312F28" w14:textId="3B1B1EB1" w:rsidR="00AC7CB3" w:rsidRDefault="009E7304" w:rsidP="00AC7CB3">
      <w:pPr>
        <w:pStyle w:val="Bullet2"/>
        <w:rPr>
          <w:lang w:val="en-GB" w:eastAsia="en-AU"/>
        </w:rPr>
      </w:pPr>
      <w:r>
        <w:rPr>
          <w:lang w:val="en-GB" w:eastAsia="en-AU"/>
        </w:rPr>
        <w:t>300</w:t>
      </w:r>
      <w:r w:rsidR="00AC7CB3">
        <w:rPr>
          <w:lang w:val="en-GB" w:eastAsia="en-AU"/>
        </w:rPr>
        <w:t xml:space="preserve"> </w:t>
      </w:r>
      <w:r w:rsidR="00AC7CB3" w:rsidRPr="00AC7CB3">
        <w:rPr>
          <w:lang w:val="en-GB" w:eastAsia="en-AU"/>
        </w:rPr>
        <w:t>Standard projects</w:t>
      </w:r>
    </w:p>
    <w:p w14:paraId="659E90AC" w14:textId="5A54D473" w:rsidR="00AC7CB3" w:rsidRDefault="009E7304" w:rsidP="00AC7CB3">
      <w:pPr>
        <w:pStyle w:val="Bullet2"/>
        <w:rPr>
          <w:lang w:val="en-GB" w:eastAsia="en-AU"/>
        </w:rPr>
      </w:pPr>
      <w:r>
        <w:rPr>
          <w:lang w:val="en-GB" w:eastAsia="en-AU"/>
        </w:rPr>
        <w:t>3,594</w:t>
      </w:r>
      <w:r w:rsidR="00AC7CB3">
        <w:rPr>
          <w:lang w:val="en-GB" w:eastAsia="en-AU"/>
        </w:rPr>
        <w:t xml:space="preserve"> </w:t>
      </w:r>
      <w:r w:rsidR="00AC7CB3" w:rsidRPr="00AC7CB3">
        <w:rPr>
          <w:lang w:val="en-GB" w:eastAsia="en-AU"/>
        </w:rPr>
        <w:t>Jobs committed</w:t>
      </w:r>
    </w:p>
    <w:p w14:paraId="3DE051A0" w14:textId="1A69EBC4" w:rsidR="00AC7CB3" w:rsidRPr="00AC7CB3" w:rsidRDefault="009E7304" w:rsidP="00AC7CB3">
      <w:pPr>
        <w:pStyle w:val="Bullet2"/>
        <w:rPr>
          <w:lang w:val="en-GB" w:eastAsia="en-AU"/>
        </w:rPr>
      </w:pPr>
      <w:r>
        <w:rPr>
          <w:lang w:val="en-GB" w:eastAsia="en-AU"/>
        </w:rPr>
        <w:t>10,896</w:t>
      </w:r>
      <w:r w:rsidR="00AC7CB3">
        <w:rPr>
          <w:lang w:val="en-GB" w:eastAsia="en-AU"/>
        </w:rPr>
        <w:t xml:space="preserve"> </w:t>
      </w:r>
      <w:r w:rsidR="00AC7CB3" w:rsidRPr="00AC7CB3">
        <w:rPr>
          <w:lang w:val="en-GB" w:eastAsia="en-AU"/>
        </w:rPr>
        <w:t>opportunities for SMEs</w:t>
      </w:r>
    </w:p>
    <w:p w14:paraId="237B4A5F" w14:textId="55137209" w:rsidR="00AC7CB3" w:rsidRDefault="009E7304" w:rsidP="00AC7CB3">
      <w:pPr>
        <w:pStyle w:val="FootnoteText"/>
        <w:spacing w:after="280"/>
        <w:rPr>
          <w:lang w:val="en-GB" w:eastAsia="en-AU"/>
        </w:rPr>
      </w:pPr>
      <w:r w:rsidRPr="009E7304">
        <w:rPr>
          <w:lang w:val="en-GB" w:eastAsia="en-AU"/>
        </w:rPr>
        <w:t>* This figure represents the metro Melbourne, regional Victoria and Statewide figures rounded up.</w:t>
      </w:r>
    </w:p>
    <w:p w14:paraId="46108698" w14:textId="476375A2" w:rsidR="00DB7084" w:rsidRPr="00DB7084" w:rsidRDefault="00DB7084" w:rsidP="00DB7084">
      <w:pPr>
        <w:pStyle w:val="Bullet"/>
        <w:rPr>
          <w:lang w:val="en-GB" w:eastAsia="en-AU"/>
        </w:rPr>
      </w:pPr>
      <w:r w:rsidRPr="00DB7084">
        <w:rPr>
          <w:lang w:val="en-GB" w:eastAsia="en-AU"/>
        </w:rPr>
        <w:t>1</w:t>
      </w:r>
      <w:r w:rsidR="009E7304">
        <w:rPr>
          <w:lang w:val="en-GB" w:eastAsia="en-AU"/>
        </w:rPr>
        <w:t>88</w:t>
      </w:r>
      <w:r w:rsidRPr="00DB7084">
        <w:rPr>
          <w:lang w:val="en-GB" w:eastAsia="en-AU"/>
        </w:rPr>
        <w:tab/>
        <w:t>Completed projects</w:t>
      </w:r>
    </w:p>
    <w:p w14:paraId="46918DCB" w14:textId="428AD610" w:rsidR="00DB7084" w:rsidRPr="00DB7084" w:rsidRDefault="00DB7084" w:rsidP="00DB7084">
      <w:pPr>
        <w:pStyle w:val="Bullet2"/>
        <w:rPr>
          <w:lang w:val="en-GB" w:eastAsia="en-AU"/>
        </w:rPr>
      </w:pPr>
      <w:r w:rsidRPr="00DB7084">
        <w:rPr>
          <w:lang w:val="en-GB" w:eastAsia="en-AU"/>
        </w:rPr>
        <w:t>7</w:t>
      </w:r>
      <w:r w:rsidR="009E7304">
        <w:rPr>
          <w:lang w:val="en-GB" w:eastAsia="en-AU"/>
        </w:rPr>
        <w:t>1</w:t>
      </w:r>
      <w:r>
        <w:rPr>
          <w:lang w:val="en-GB" w:eastAsia="en-AU"/>
        </w:rPr>
        <w:t xml:space="preserve"> </w:t>
      </w:r>
      <w:r w:rsidRPr="00DB7084">
        <w:rPr>
          <w:lang w:val="en-GB" w:eastAsia="en-AU"/>
        </w:rPr>
        <w:t>Metro projects</w:t>
      </w:r>
    </w:p>
    <w:p w14:paraId="58F9869A" w14:textId="1DD88C85" w:rsidR="00DB7084" w:rsidRPr="00DB7084" w:rsidRDefault="009E7304" w:rsidP="00DB7084">
      <w:pPr>
        <w:pStyle w:val="Bullet2"/>
        <w:rPr>
          <w:lang w:val="en-GB" w:eastAsia="en-AU"/>
        </w:rPr>
      </w:pPr>
      <w:r>
        <w:rPr>
          <w:lang w:val="en-GB" w:eastAsia="en-AU"/>
        </w:rPr>
        <w:t>9</w:t>
      </w:r>
      <w:r w:rsidR="00DB7084" w:rsidRPr="00DB7084">
        <w:rPr>
          <w:lang w:val="en-GB" w:eastAsia="en-AU"/>
        </w:rPr>
        <w:t>7</w:t>
      </w:r>
      <w:r w:rsidR="00DB7084">
        <w:rPr>
          <w:lang w:val="en-GB" w:eastAsia="en-AU"/>
        </w:rPr>
        <w:t xml:space="preserve"> </w:t>
      </w:r>
      <w:r w:rsidR="00DB7084" w:rsidRPr="00DB7084">
        <w:rPr>
          <w:lang w:val="en-GB" w:eastAsia="en-AU"/>
        </w:rPr>
        <w:t>Regional projects</w:t>
      </w:r>
    </w:p>
    <w:p w14:paraId="073777FA" w14:textId="799B0771" w:rsidR="00AC7CB3" w:rsidRDefault="009E7304" w:rsidP="00DB7084">
      <w:pPr>
        <w:pStyle w:val="Bullet2"/>
        <w:rPr>
          <w:lang w:val="en-GB" w:eastAsia="en-AU"/>
        </w:rPr>
      </w:pPr>
      <w:r>
        <w:rPr>
          <w:lang w:val="en-GB" w:eastAsia="en-AU"/>
        </w:rPr>
        <w:t>20</w:t>
      </w:r>
      <w:r w:rsidR="00DB7084" w:rsidRPr="00DB7084">
        <w:rPr>
          <w:lang w:val="en-GB" w:eastAsia="en-AU"/>
        </w:rPr>
        <w:t xml:space="preserve"> Statewide projects</w:t>
      </w:r>
    </w:p>
    <w:p w14:paraId="33A14D28" w14:textId="0F455680" w:rsidR="00DB7084" w:rsidRPr="00DB7084" w:rsidRDefault="00DB7084" w:rsidP="00DB7084">
      <w:pPr>
        <w:pStyle w:val="Bullet2"/>
        <w:rPr>
          <w:lang w:val="en-GB" w:eastAsia="en-AU"/>
        </w:rPr>
      </w:pPr>
      <w:r w:rsidRPr="00DB7084">
        <w:rPr>
          <w:lang w:val="en-GB" w:eastAsia="en-AU"/>
        </w:rPr>
        <w:t>1</w:t>
      </w:r>
      <w:r w:rsidR="009E7304">
        <w:rPr>
          <w:lang w:val="en-GB" w:eastAsia="en-AU"/>
        </w:rPr>
        <w:t>4</w:t>
      </w:r>
      <w:r>
        <w:rPr>
          <w:lang w:val="en-GB" w:eastAsia="en-AU"/>
        </w:rPr>
        <w:t xml:space="preserve"> </w:t>
      </w:r>
      <w:r w:rsidRPr="00DB7084">
        <w:rPr>
          <w:lang w:val="en-GB" w:eastAsia="en-AU"/>
        </w:rPr>
        <w:t>Strategic projects</w:t>
      </w:r>
    </w:p>
    <w:p w14:paraId="16D268A6" w14:textId="4F644009" w:rsidR="00DB7084" w:rsidRDefault="00DB7084" w:rsidP="00DB7084">
      <w:pPr>
        <w:pStyle w:val="Bullet2"/>
        <w:rPr>
          <w:lang w:val="en-GB" w:eastAsia="en-AU"/>
        </w:rPr>
      </w:pPr>
      <w:r w:rsidRPr="00DB7084">
        <w:rPr>
          <w:lang w:val="en-GB" w:eastAsia="en-AU"/>
        </w:rPr>
        <w:t>1</w:t>
      </w:r>
      <w:r w:rsidR="009E7304">
        <w:rPr>
          <w:lang w:val="en-GB" w:eastAsia="en-AU"/>
        </w:rPr>
        <w:t>74</w:t>
      </w:r>
      <w:r>
        <w:rPr>
          <w:lang w:val="en-GB" w:eastAsia="en-AU"/>
        </w:rPr>
        <w:t xml:space="preserve"> </w:t>
      </w:r>
      <w:r w:rsidRPr="00DB7084">
        <w:rPr>
          <w:lang w:val="en-GB" w:eastAsia="en-AU"/>
        </w:rPr>
        <w:t>Standard projects</w:t>
      </w:r>
    </w:p>
    <w:p w14:paraId="4913CC2C" w14:textId="29E3E3A5" w:rsidR="00EB3D04" w:rsidRDefault="009E7304" w:rsidP="00DB7084">
      <w:pPr>
        <w:pStyle w:val="Bullet2"/>
        <w:rPr>
          <w:lang w:val="en-GB" w:eastAsia="en-AU"/>
        </w:rPr>
      </w:pPr>
      <w:r>
        <w:rPr>
          <w:lang w:val="en-GB" w:eastAsia="en-AU"/>
        </w:rPr>
        <w:t>4,154</w:t>
      </w:r>
      <w:r w:rsidR="00EB3D04">
        <w:rPr>
          <w:lang w:val="en-GB" w:eastAsia="en-AU"/>
        </w:rPr>
        <w:t xml:space="preserve"> </w:t>
      </w:r>
      <w:r w:rsidR="00EB3D04" w:rsidRPr="00EB3D04">
        <w:rPr>
          <w:lang w:val="en-GB" w:eastAsia="en-AU"/>
        </w:rPr>
        <w:t>Jobs committed</w:t>
      </w:r>
    </w:p>
    <w:p w14:paraId="1897242F" w14:textId="26352A27" w:rsidR="00EB3D04" w:rsidRDefault="00EB3D04" w:rsidP="00DB7084">
      <w:pPr>
        <w:pStyle w:val="Bullet2"/>
        <w:rPr>
          <w:lang w:val="en-GB" w:eastAsia="en-AU"/>
        </w:rPr>
      </w:pPr>
      <w:r w:rsidRPr="00EB3D04">
        <w:rPr>
          <w:lang w:val="en-GB" w:eastAsia="en-AU"/>
        </w:rPr>
        <w:t>13,</w:t>
      </w:r>
      <w:r w:rsidR="009E7304">
        <w:rPr>
          <w:lang w:val="en-GB" w:eastAsia="en-AU"/>
        </w:rPr>
        <w:t>067</w:t>
      </w:r>
      <w:r>
        <w:rPr>
          <w:lang w:val="en-GB" w:eastAsia="en-AU"/>
        </w:rPr>
        <w:t xml:space="preserve"> </w:t>
      </w:r>
      <w:r w:rsidRPr="00EB3D04">
        <w:rPr>
          <w:lang w:val="en-GB" w:eastAsia="en-AU"/>
        </w:rPr>
        <w:t>opportunities for SMEs</w:t>
      </w:r>
    </w:p>
    <w:p w14:paraId="24BFB89A" w14:textId="17C25FCF" w:rsidR="00DB7084" w:rsidRDefault="00DB7084" w:rsidP="00DB7084">
      <w:pPr>
        <w:pStyle w:val="Bullet"/>
        <w:rPr>
          <w:lang w:val="en-GB" w:eastAsia="en-AU"/>
        </w:rPr>
      </w:pPr>
      <w:r w:rsidRPr="00DB7084">
        <w:rPr>
          <w:lang w:val="en-GB" w:eastAsia="en-AU"/>
        </w:rPr>
        <w:t>Worth *$</w:t>
      </w:r>
      <w:r w:rsidR="009E7304">
        <w:rPr>
          <w:lang w:val="en-GB" w:eastAsia="en-AU"/>
        </w:rPr>
        <w:t>4.1</w:t>
      </w:r>
      <w:r w:rsidRPr="00DB7084">
        <w:rPr>
          <w:lang w:val="en-GB" w:eastAsia="en-AU"/>
        </w:rPr>
        <w:t xml:space="preserve"> billion</w:t>
      </w:r>
    </w:p>
    <w:p w14:paraId="39FFF72B" w14:textId="5F2D6C95" w:rsidR="00EB3D04" w:rsidRDefault="00EB3D04" w:rsidP="00EB3D04">
      <w:pPr>
        <w:pStyle w:val="FootnoteText"/>
        <w:spacing w:after="280"/>
        <w:rPr>
          <w:lang w:val="en-GB" w:eastAsia="en-AU"/>
        </w:rPr>
      </w:pPr>
      <w:r w:rsidRPr="00EB3D04">
        <w:rPr>
          <w:lang w:val="en-GB" w:eastAsia="en-AU"/>
        </w:rPr>
        <w:lastRenderedPageBreak/>
        <w:t>* This figure represents the metro Melbourne, regional Victoria and Statewide figures rounded up.</w:t>
      </w:r>
    </w:p>
    <w:p w14:paraId="6CAB720F" w14:textId="2513A0F8" w:rsidR="00EB3D04" w:rsidRPr="00EB3D04" w:rsidRDefault="00EB3D04" w:rsidP="00EB3D04">
      <w:pPr>
        <w:pStyle w:val="Normalbeforebullets"/>
        <w:rPr>
          <w:lang w:val="en-GB" w:eastAsia="en-AU"/>
        </w:rPr>
      </w:pPr>
      <w:r w:rsidRPr="00EB3D04">
        <w:rPr>
          <w:lang w:val="en-GB" w:eastAsia="en-AU"/>
        </w:rPr>
        <w:t>Metro Melbourne</w:t>
      </w:r>
    </w:p>
    <w:p w14:paraId="7D131FBC" w14:textId="23707077" w:rsidR="00EB3D04" w:rsidRDefault="00EB3D04" w:rsidP="00EB3D04">
      <w:pPr>
        <w:pStyle w:val="Bulletlast"/>
        <w:rPr>
          <w:lang w:val="en-GB" w:eastAsia="en-AU"/>
        </w:rPr>
      </w:pPr>
      <w:r w:rsidRPr="00EB3D04">
        <w:rPr>
          <w:lang w:val="en-GB" w:eastAsia="en-AU"/>
        </w:rPr>
        <w:t>7</w:t>
      </w:r>
      <w:r w:rsidR="009E7304">
        <w:rPr>
          <w:lang w:val="en-GB" w:eastAsia="en-AU"/>
        </w:rPr>
        <w:t>1</w:t>
      </w:r>
      <w:r>
        <w:rPr>
          <w:lang w:val="en-GB" w:eastAsia="en-AU"/>
        </w:rPr>
        <w:t xml:space="preserve"> </w:t>
      </w:r>
      <w:r w:rsidRPr="00EB3D04">
        <w:rPr>
          <w:lang w:val="en-GB" w:eastAsia="en-AU"/>
        </w:rPr>
        <w:t>Completed projects</w:t>
      </w:r>
      <w:r>
        <w:rPr>
          <w:lang w:val="en-GB" w:eastAsia="en-AU"/>
        </w:rPr>
        <w:t xml:space="preserve"> w</w:t>
      </w:r>
      <w:r w:rsidRPr="00EB3D04">
        <w:rPr>
          <w:lang w:val="en-GB" w:eastAsia="en-AU"/>
        </w:rPr>
        <w:t>orth $</w:t>
      </w:r>
      <w:r w:rsidR="009E7304">
        <w:rPr>
          <w:lang w:val="en-GB" w:eastAsia="en-AU"/>
        </w:rPr>
        <w:t>2.8</w:t>
      </w:r>
      <w:r w:rsidRPr="00EB3D04">
        <w:rPr>
          <w:lang w:val="en-GB" w:eastAsia="en-AU"/>
        </w:rPr>
        <w:t xml:space="preserve"> billion</w:t>
      </w:r>
    </w:p>
    <w:p w14:paraId="75CD19CD" w14:textId="142049AF" w:rsidR="00EB3D04" w:rsidRDefault="00EB3D04" w:rsidP="00EB3D04">
      <w:pPr>
        <w:pStyle w:val="Normalbeforebullets"/>
        <w:rPr>
          <w:lang w:val="en-GB" w:eastAsia="en-AU"/>
        </w:rPr>
      </w:pPr>
      <w:r w:rsidRPr="00EB3D04">
        <w:rPr>
          <w:lang w:val="en-GB" w:eastAsia="en-AU"/>
        </w:rPr>
        <w:t>Regional Victoria</w:t>
      </w:r>
    </w:p>
    <w:p w14:paraId="35B76EE7" w14:textId="229ECD87" w:rsidR="00EB3D04" w:rsidRDefault="009E7304" w:rsidP="00EB3D04">
      <w:pPr>
        <w:pStyle w:val="Bulletlast"/>
        <w:rPr>
          <w:lang w:val="en-GB" w:eastAsia="en-AU"/>
        </w:rPr>
      </w:pPr>
      <w:r>
        <w:rPr>
          <w:lang w:val="en-GB" w:eastAsia="en-AU"/>
        </w:rPr>
        <w:t>9</w:t>
      </w:r>
      <w:r w:rsidR="00EB3D04" w:rsidRPr="00EB3D04">
        <w:rPr>
          <w:lang w:val="en-GB" w:eastAsia="en-AU"/>
        </w:rPr>
        <w:t>7</w:t>
      </w:r>
      <w:r w:rsidR="00EB3D04">
        <w:rPr>
          <w:lang w:val="en-GB" w:eastAsia="en-AU"/>
        </w:rPr>
        <w:t xml:space="preserve"> </w:t>
      </w:r>
      <w:r w:rsidR="00EB3D04" w:rsidRPr="00EB3D04">
        <w:rPr>
          <w:lang w:val="en-GB" w:eastAsia="en-AU"/>
        </w:rPr>
        <w:t>Completed projects</w:t>
      </w:r>
      <w:r w:rsidR="00EB3D04">
        <w:rPr>
          <w:lang w:val="en-GB" w:eastAsia="en-AU"/>
        </w:rPr>
        <w:t xml:space="preserve"> w</w:t>
      </w:r>
      <w:r w:rsidR="00EB3D04" w:rsidRPr="00EB3D04">
        <w:rPr>
          <w:lang w:val="en-GB" w:eastAsia="en-AU"/>
        </w:rPr>
        <w:t>orth $</w:t>
      </w:r>
      <w:r>
        <w:rPr>
          <w:lang w:val="en-GB" w:eastAsia="en-AU"/>
        </w:rPr>
        <w:t>1.2</w:t>
      </w:r>
      <w:r w:rsidRPr="00EB3D04">
        <w:rPr>
          <w:lang w:val="en-GB" w:eastAsia="en-AU"/>
        </w:rPr>
        <w:t xml:space="preserve"> billion</w:t>
      </w:r>
    </w:p>
    <w:p w14:paraId="7D8148DD" w14:textId="36B7C9A4" w:rsidR="00EB3D04" w:rsidRDefault="00EB3D04" w:rsidP="00EB3D04">
      <w:pPr>
        <w:pStyle w:val="Normalbeforebullets"/>
        <w:rPr>
          <w:lang w:val="en-GB" w:eastAsia="en-AU"/>
        </w:rPr>
      </w:pPr>
      <w:r w:rsidRPr="00EB3D04">
        <w:rPr>
          <w:lang w:val="en-GB" w:eastAsia="en-AU"/>
        </w:rPr>
        <w:t>Statewide</w:t>
      </w:r>
    </w:p>
    <w:p w14:paraId="43BF732B" w14:textId="27E1B54E" w:rsidR="00EB3D04" w:rsidRDefault="009E7304" w:rsidP="00EB3D04">
      <w:pPr>
        <w:pStyle w:val="Bulletlast"/>
        <w:rPr>
          <w:lang w:val="en-GB" w:eastAsia="en-AU"/>
        </w:rPr>
      </w:pPr>
      <w:r>
        <w:rPr>
          <w:lang w:val="en-GB" w:eastAsia="en-AU"/>
        </w:rPr>
        <w:t>20</w:t>
      </w:r>
      <w:r w:rsidR="00EB3D04">
        <w:rPr>
          <w:lang w:val="en-GB" w:eastAsia="en-AU"/>
        </w:rPr>
        <w:t xml:space="preserve"> </w:t>
      </w:r>
      <w:r w:rsidR="00EB3D04" w:rsidRPr="00EB3D04">
        <w:rPr>
          <w:lang w:val="en-GB" w:eastAsia="en-AU"/>
        </w:rPr>
        <w:t>Completed projects</w:t>
      </w:r>
      <w:r w:rsidR="00EB3D04">
        <w:rPr>
          <w:lang w:val="en-GB" w:eastAsia="en-AU"/>
        </w:rPr>
        <w:t xml:space="preserve"> w</w:t>
      </w:r>
      <w:r w:rsidR="00EB3D04" w:rsidRPr="00EB3D04">
        <w:rPr>
          <w:lang w:val="en-GB" w:eastAsia="en-AU"/>
        </w:rPr>
        <w:t>orth $</w:t>
      </w:r>
      <w:r>
        <w:rPr>
          <w:lang w:val="en-GB" w:eastAsia="en-AU"/>
        </w:rPr>
        <w:t>164.5</w:t>
      </w:r>
      <w:r w:rsidR="00EB3D04" w:rsidRPr="00EB3D04">
        <w:rPr>
          <w:lang w:val="en-GB" w:eastAsia="en-AU"/>
        </w:rPr>
        <w:t xml:space="preserve"> million</w:t>
      </w:r>
    </w:p>
    <w:p w14:paraId="2F97F2C5" w14:textId="6DA777CC" w:rsidR="00EB3D04" w:rsidRDefault="00EB3D04" w:rsidP="00EB3D04">
      <w:pPr>
        <w:keepNext/>
        <w:keepLines/>
        <w:autoSpaceDE w:val="0"/>
        <w:autoSpaceDN w:val="0"/>
        <w:adjustRightInd w:val="0"/>
        <w:spacing w:before="227" w:after="113" w:line="288" w:lineRule="auto"/>
        <w:textAlignment w:val="center"/>
        <w:rPr>
          <w:rFonts w:asciiTheme="minorHAnsi" w:eastAsiaTheme="minorEastAsia" w:hAnsiTheme="minorHAnsi" w:cstheme="minorHAnsi"/>
          <w:b/>
          <w:bCs/>
          <w:color w:val="000000"/>
          <w:szCs w:val="24"/>
          <w:lang w:val="en-GB" w:eastAsia="en-AU"/>
        </w:rPr>
      </w:pPr>
      <w:r w:rsidRPr="00EB3D04">
        <w:rPr>
          <w:rFonts w:asciiTheme="minorHAnsi" w:eastAsiaTheme="minorEastAsia" w:hAnsiTheme="minorHAnsi" w:cstheme="minorHAnsi"/>
          <w:b/>
          <w:bCs/>
          <w:color w:val="000000"/>
          <w:szCs w:val="24"/>
          <w:lang w:val="en-GB" w:eastAsia="en-AU"/>
        </w:rPr>
        <w:t>Since its introduction in 2016 and 30 March 202</w:t>
      </w:r>
      <w:r w:rsidR="009E7304">
        <w:rPr>
          <w:rFonts w:asciiTheme="minorHAnsi" w:eastAsiaTheme="minorEastAsia" w:hAnsiTheme="minorHAnsi" w:cstheme="minorHAnsi"/>
          <w:b/>
          <w:bCs/>
          <w:color w:val="000000"/>
          <w:szCs w:val="24"/>
          <w:lang w:val="en-GB" w:eastAsia="en-AU"/>
        </w:rPr>
        <w:t>4</w:t>
      </w:r>
      <w:r w:rsidR="00F43CBE">
        <w:rPr>
          <w:rStyle w:val="FootnoteReference"/>
          <w:rFonts w:eastAsiaTheme="minorEastAsia" w:cstheme="minorHAnsi"/>
          <w:b/>
          <w:bCs/>
          <w:color w:val="000000"/>
          <w:szCs w:val="24"/>
          <w:lang w:val="en-GB" w:eastAsia="en-AU"/>
        </w:rPr>
        <w:footnoteReference w:id="1"/>
      </w:r>
      <w:r w:rsidRPr="00EB3D04">
        <w:rPr>
          <w:rFonts w:asciiTheme="minorHAnsi" w:eastAsiaTheme="minorEastAsia" w:hAnsiTheme="minorHAnsi" w:cstheme="minorHAnsi"/>
          <w:b/>
          <w:bCs/>
          <w:color w:val="000000"/>
          <w:szCs w:val="24"/>
          <w:lang w:val="en-GB" w:eastAsia="en-AU"/>
        </w:rPr>
        <w:t>, the MPSG has been applied to 4</w:t>
      </w:r>
      <w:r w:rsidR="009E7304">
        <w:rPr>
          <w:rFonts w:asciiTheme="minorHAnsi" w:eastAsiaTheme="minorEastAsia" w:hAnsiTheme="minorHAnsi" w:cstheme="minorHAnsi"/>
          <w:b/>
          <w:bCs/>
          <w:color w:val="000000"/>
          <w:szCs w:val="24"/>
          <w:lang w:val="en-GB" w:eastAsia="en-AU"/>
        </w:rPr>
        <w:t>36</w:t>
      </w:r>
      <w:r w:rsidRPr="00EB3D04">
        <w:rPr>
          <w:rFonts w:asciiTheme="minorHAnsi" w:eastAsiaTheme="minorEastAsia" w:hAnsiTheme="minorHAnsi" w:cstheme="minorHAnsi"/>
          <w:b/>
          <w:bCs/>
          <w:color w:val="000000"/>
          <w:szCs w:val="24"/>
          <w:lang w:val="en-GB" w:eastAsia="en-AU"/>
        </w:rPr>
        <w:t xml:space="preserve"> projects worth $</w:t>
      </w:r>
      <w:r w:rsidR="009E7304">
        <w:rPr>
          <w:rFonts w:asciiTheme="minorHAnsi" w:eastAsiaTheme="minorEastAsia" w:hAnsiTheme="minorHAnsi" w:cstheme="minorHAnsi"/>
          <w:b/>
          <w:bCs/>
          <w:color w:val="000000"/>
          <w:szCs w:val="24"/>
          <w:lang w:val="en-GB" w:eastAsia="en-AU"/>
        </w:rPr>
        <w:t>172</w:t>
      </w:r>
      <w:r w:rsidRPr="00EB3D04">
        <w:rPr>
          <w:rFonts w:asciiTheme="minorHAnsi" w:eastAsiaTheme="minorEastAsia" w:hAnsiTheme="minorHAnsi" w:cstheme="minorHAnsi"/>
          <w:b/>
          <w:bCs/>
          <w:color w:val="000000"/>
          <w:szCs w:val="24"/>
          <w:lang w:val="en-GB" w:eastAsia="en-AU"/>
        </w:rPr>
        <w:t xml:space="preserve"> billion and supported:</w:t>
      </w:r>
    </w:p>
    <w:p w14:paraId="20E78F72" w14:textId="3625C1A1" w:rsidR="00EB3D04" w:rsidRDefault="00EB3D04" w:rsidP="00EB3D04">
      <w:pPr>
        <w:pStyle w:val="Bullet"/>
        <w:rPr>
          <w:lang w:val="en-GB" w:eastAsia="en-AU"/>
        </w:rPr>
      </w:pPr>
      <w:r w:rsidRPr="00EB3D04">
        <w:rPr>
          <w:lang w:val="en-GB" w:eastAsia="en-AU"/>
        </w:rPr>
        <w:t>4</w:t>
      </w:r>
      <w:r w:rsidR="009E7304">
        <w:rPr>
          <w:lang w:val="en-GB" w:eastAsia="en-AU"/>
        </w:rPr>
        <w:t>36</w:t>
      </w:r>
      <w:r>
        <w:rPr>
          <w:lang w:val="en-GB" w:eastAsia="en-AU"/>
        </w:rPr>
        <w:t xml:space="preserve"> </w:t>
      </w:r>
      <w:r w:rsidRPr="00EB3D04">
        <w:rPr>
          <w:lang w:val="en-GB" w:eastAsia="en-AU"/>
        </w:rPr>
        <w:t>MPSG Projects</w:t>
      </w:r>
    </w:p>
    <w:p w14:paraId="1C78EB05" w14:textId="4E3CE0C3" w:rsidR="00EB3D04" w:rsidRPr="00F43CBE" w:rsidRDefault="009E7304" w:rsidP="00EB3D04">
      <w:pPr>
        <w:pStyle w:val="Bullet2"/>
        <w:rPr>
          <w:lang w:val="en-GB" w:eastAsia="en-AU"/>
        </w:rPr>
      </w:pPr>
      <w:r>
        <w:rPr>
          <w:lang w:val="en-GB" w:eastAsia="en-AU"/>
        </w:rPr>
        <w:t>7</w:t>
      </w:r>
      <w:r w:rsidR="00EB3D04" w:rsidRPr="00EB3D04">
        <w:rPr>
          <w:lang w:val="en-GB" w:eastAsia="en-AU"/>
        </w:rPr>
        <w:t>,</w:t>
      </w:r>
      <w:r>
        <w:rPr>
          <w:lang w:val="en-GB" w:eastAsia="en-AU"/>
        </w:rPr>
        <w:t>624</w:t>
      </w:r>
      <w:r w:rsidR="00EB3D04" w:rsidRPr="00EB3D04">
        <w:rPr>
          <w:lang w:val="en-GB" w:eastAsia="en-AU"/>
        </w:rPr>
        <w:t xml:space="preserve"> </w:t>
      </w:r>
      <w:r w:rsidR="00F43CBE" w:rsidRPr="00F43CBE">
        <w:t>Apprentices</w:t>
      </w:r>
    </w:p>
    <w:p w14:paraId="3A5D499A" w14:textId="40A0097B" w:rsidR="00F43CBE" w:rsidRDefault="00F43CBE" w:rsidP="00F43CBE">
      <w:pPr>
        <w:pStyle w:val="Bullet2"/>
        <w:rPr>
          <w:lang w:val="en-GB" w:eastAsia="en-AU"/>
        </w:rPr>
      </w:pPr>
      <w:r w:rsidRPr="00F43CBE">
        <w:rPr>
          <w:lang w:val="en-GB" w:eastAsia="en-AU"/>
        </w:rPr>
        <w:t>2,</w:t>
      </w:r>
      <w:r w:rsidR="009E7304">
        <w:rPr>
          <w:lang w:val="en-GB" w:eastAsia="en-AU"/>
        </w:rPr>
        <w:t>811</w:t>
      </w:r>
      <w:r w:rsidRPr="00F43CBE">
        <w:rPr>
          <w:lang w:val="en-GB" w:eastAsia="en-AU"/>
        </w:rPr>
        <w:t xml:space="preserve"> Trainees</w:t>
      </w:r>
    </w:p>
    <w:p w14:paraId="42E379C9" w14:textId="656062A2" w:rsidR="00F43CBE" w:rsidRDefault="00F43CBE" w:rsidP="00F43CBE">
      <w:pPr>
        <w:pStyle w:val="Bullet2"/>
        <w:rPr>
          <w:lang w:val="en-GB" w:eastAsia="en-AU"/>
        </w:rPr>
      </w:pPr>
      <w:r w:rsidRPr="00F43CBE">
        <w:rPr>
          <w:lang w:val="en-GB" w:eastAsia="en-AU"/>
        </w:rPr>
        <w:t>2,</w:t>
      </w:r>
      <w:r w:rsidR="009E7304">
        <w:rPr>
          <w:lang w:val="en-GB" w:eastAsia="en-AU"/>
        </w:rPr>
        <w:t>957</w:t>
      </w:r>
      <w:r w:rsidRPr="00F43CBE">
        <w:rPr>
          <w:lang w:val="en-GB" w:eastAsia="en-AU"/>
        </w:rPr>
        <w:t xml:space="preserve"> Cadets</w:t>
      </w:r>
    </w:p>
    <w:p w14:paraId="6E03BB7B" w14:textId="6A079AFA" w:rsidR="00F43CBE" w:rsidRDefault="00F43CBE" w:rsidP="00F43CBE">
      <w:pPr>
        <w:pStyle w:val="Bullet"/>
        <w:rPr>
          <w:lang w:val="en-GB" w:eastAsia="en-AU"/>
        </w:rPr>
      </w:pPr>
      <w:r w:rsidRPr="00F43CBE">
        <w:rPr>
          <w:lang w:val="en-GB" w:eastAsia="en-AU"/>
        </w:rPr>
        <w:t>1</w:t>
      </w:r>
      <w:r w:rsidR="009E7304">
        <w:rPr>
          <w:lang w:val="en-GB" w:eastAsia="en-AU"/>
        </w:rPr>
        <w:t>3</w:t>
      </w:r>
      <w:r w:rsidRPr="00F43CBE">
        <w:rPr>
          <w:lang w:val="en-GB" w:eastAsia="en-AU"/>
        </w:rPr>
        <w:t>,</w:t>
      </w:r>
      <w:r w:rsidR="009E7304">
        <w:rPr>
          <w:lang w:val="en-GB" w:eastAsia="en-AU"/>
        </w:rPr>
        <w:t>392</w:t>
      </w:r>
      <w:r>
        <w:rPr>
          <w:lang w:val="en-GB" w:eastAsia="en-AU"/>
        </w:rPr>
        <w:t xml:space="preserve"> </w:t>
      </w:r>
      <w:r w:rsidRPr="00F43CBE">
        <w:rPr>
          <w:lang w:val="en-GB" w:eastAsia="en-AU"/>
        </w:rPr>
        <w:t xml:space="preserve">total apprentices, trainees </w:t>
      </w:r>
      <w:r>
        <w:rPr>
          <w:lang w:val="en-GB" w:eastAsia="en-AU"/>
        </w:rPr>
        <w:t>and</w:t>
      </w:r>
      <w:r w:rsidRPr="00F43CBE">
        <w:rPr>
          <w:lang w:val="en-GB" w:eastAsia="en-AU"/>
        </w:rPr>
        <w:t xml:space="preserve"> cadets (ATCs)</w:t>
      </w:r>
    </w:p>
    <w:p w14:paraId="4405BEAA" w14:textId="2BC0BF63" w:rsidR="00F43CBE" w:rsidRDefault="009E7304" w:rsidP="00F43CBE">
      <w:pPr>
        <w:pStyle w:val="Bullet"/>
        <w:rPr>
          <w:lang w:val="en-GB" w:eastAsia="en-AU"/>
        </w:rPr>
      </w:pPr>
      <w:r>
        <w:rPr>
          <w:lang w:val="en-GB" w:eastAsia="en-AU"/>
        </w:rPr>
        <w:t>19.3</w:t>
      </w:r>
      <w:r w:rsidR="00F43CBE" w:rsidRPr="00F43CBE">
        <w:rPr>
          <w:lang w:val="en-GB" w:eastAsia="en-AU"/>
        </w:rPr>
        <w:t xml:space="preserve"> million</w:t>
      </w:r>
      <w:r w:rsidR="00F43CBE">
        <w:rPr>
          <w:lang w:val="en-GB" w:eastAsia="en-AU"/>
        </w:rPr>
        <w:t xml:space="preserve"> </w:t>
      </w:r>
      <w:r w:rsidR="00F43CBE" w:rsidRPr="00F43CBE">
        <w:rPr>
          <w:lang w:val="en-GB" w:eastAsia="en-AU"/>
        </w:rPr>
        <w:t>hours</w:t>
      </w:r>
    </w:p>
    <w:p w14:paraId="0E16C268" w14:textId="033DA582" w:rsidR="00F43CBE" w:rsidRDefault="00F43CBE" w:rsidP="00F43CBE">
      <w:pPr>
        <w:pStyle w:val="Bullet"/>
        <w:rPr>
          <w:lang w:val="en-GB" w:eastAsia="en-AU"/>
        </w:rPr>
      </w:pPr>
      <w:r w:rsidRPr="00F43CBE">
        <w:rPr>
          <w:lang w:val="en-GB" w:eastAsia="en-AU"/>
        </w:rPr>
        <w:t>Metro MPSG projects have supported</w:t>
      </w:r>
      <w:r>
        <w:rPr>
          <w:lang w:val="en-GB" w:eastAsia="en-AU"/>
        </w:rPr>
        <w:t>:</w:t>
      </w:r>
    </w:p>
    <w:p w14:paraId="07762BD5" w14:textId="16BAC5BF" w:rsidR="00F43CBE" w:rsidRDefault="009E7304" w:rsidP="00F43CBE">
      <w:pPr>
        <w:pStyle w:val="Bullet2"/>
        <w:rPr>
          <w:lang w:val="en-GB" w:eastAsia="en-AU"/>
        </w:rPr>
      </w:pPr>
      <w:r>
        <w:rPr>
          <w:lang w:val="en-GB" w:eastAsia="en-AU"/>
        </w:rPr>
        <w:t>9</w:t>
      </w:r>
      <w:r w:rsidR="00F43CBE" w:rsidRPr="00F43CBE">
        <w:rPr>
          <w:lang w:val="en-GB" w:eastAsia="en-AU"/>
        </w:rPr>
        <w:t>,</w:t>
      </w:r>
      <w:r>
        <w:rPr>
          <w:lang w:val="en-GB" w:eastAsia="en-AU"/>
        </w:rPr>
        <w:t>293</w:t>
      </w:r>
      <w:r w:rsidR="00F43CBE">
        <w:rPr>
          <w:lang w:val="en-GB" w:eastAsia="en-AU"/>
        </w:rPr>
        <w:t xml:space="preserve"> </w:t>
      </w:r>
      <w:r w:rsidR="00F43CBE" w:rsidRPr="00F43CBE">
        <w:rPr>
          <w:lang w:val="en-GB" w:eastAsia="en-AU"/>
        </w:rPr>
        <w:t>ATCs</w:t>
      </w:r>
    </w:p>
    <w:p w14:paraId="0D95C008" w14:textId="32F24BF4" w:rsidR="00F43CBE" w:rsidRDefault="009E7304" w:rsidP="00F43CBE">
      <w:pPr>
        <w:pStyle w:val="Bullet2"/>
        <w:rPr>
          <w:lang w:val="en-GB" w:eastAsia="en-AU"/>
        </w:rPr>
      </w:pPr>
      <w:r>
        <w:rPr>
          <w:lang w:val="en-GB" w:eastAsia="en-AU"/>
        </w:rPr>
        <w:t xml:space="preserve">16.3 </w:t>
      </w:r>
      <w:r w:rsidR="00F43CBE" w:rsidRPr="00F43CBE">
        <w:rPr>
          <w:lang w:val="en-GB" w:eastAsia="en-AU"/>
        </w:rPr>
        <w:t>million</w:t>
      </w:r>
      <w:r w:rsidR="00F43CBE">
        <w:rPr>
          <w:lang w:val="en-GB" w:eastAsia="en-AU"/>
        </w:rPr>
        <w:t xml:space="preserve"> </w:t>
      </w:r>
      <w:r w:rsidR="00F43CBE" w:rsidRPr="00F43CBE">
        <w:rPr>
          <w:lang w:val="en-GB" w:eastAsia="en-AU"/>
        </w:rPr>
        <w:t>hours</w:t>
      </w:r>
    </w:p>
    <w:p w14:paraId="32CAB5E8" w14:textId="6798FA68" w:rsidR="00F43CBE" w:rsidRDefault="00F43CBE" w:rsidP="00F43CBE">
      <w:pPr>
        <w:pStyle w:val="Bullet"/>
        <w:rPr>
          <w:lang w:val="en-GB" w:eastAsia="en-AU"/>
        </w:rPr>
      </w:pPr>
      <w:r w:rsidRPr="00F43CBE">
        <w:rPr>
          <w:lang w:val="en-GB" w:eastAsia="en-AU"/>
        </w:rPr>
        <w:t>Regional MPSG projects have supported</w:t>
      </w:r>
      <w:r>
        <w:rPr>
          <w:lang w:val="en-GB" w:eastAsia="en-AU"/>
        </w:rPr>
        <w:t>:</w:t>
      </w:r>
    </w:p>
    <w:p w14:paraId="72CB4BA8" w14:textId="558930F2" w:rsidR="00F43CBE" w:rsidRDefault="00F43CBE" w:rsidP="00F43CBE">
      <w:pPr>
        <w:pStyle w:val="Bullet2"/>
        <w:rPr>
          <w:lang w:val="en-GB" w:eastAsia="en-AU"/>
        </w:rPr>
      </w:pPr>
      <w:r w:rsidRPr="00F43CBE">
        <w:rPr>
          <w:lang w:val="en-GB" w:eastAsia="en-AU"/>
        </w:rPr>
        <w:t>2,3</w:t>
      </w:r>
      <w:r w:rsidR="009E7304">
        <w:rPr>
          <w:lang w:val="en-GB" w:eastAsia="en-AU"/>
        </w:rPr>
        <w:t>86</w:t>
      </w:r>
      <w:r>
        <w:rPr>
          <w:lang w:val="en-GB" w:eastAsia="en-AU"/>
        </w:rPr>
        <w:t xml:space="preserve"> </w:t>
      </w:r>
      <w:r w:rsidRPr="00F43CBE">
        <w:rPr>
          <w:lang w:val="en-GB" w:eastAsia="en-AU"/>
        </w:rPr>
        <w:t>ATCs</w:t>
      </w:r>
    </w:p>
    <w:p w14:paraId="5921D326" w14:textId="09AC3D50" w:rsidR="00F43CBE" w:rsidRDefault="009E7304" w:rsidP="00F43CBE">
      <w:pPr>
        <w:pStyle w:val="Bullet2"/>
        <w:rPr>
          <w:lang w:val="en-GB" w:eastAsia="en-AU"/>
        </w:rPr>
      </w:pPr>
      <w:r>
        <w:rPr>
          <w:lang w:val="en-GB" w:eastAsia="en-AU"/>
        </w:rPr>
        <w:t>2</w:t>
      </w:r>
      <w:r w:rsidR="00F43CBE" w:rsidRPr="00F43CBE">
        <w:rPr>
          <w:lang w:val="en-GB" w:eastAsia="en-AU"/>
        </w:rPr>
        <w:t xml:space="preserve"> million</w:t>
      </w:r>
      <w:r w:rsidR="00F43CBE">
        <w:rPr>
          <w:lang w:val="en-GB" w:eastAsia="en-AU"/>
        </w:rPr>
        <w:t xml:space="preserve"> </w:t>
      </w:r>
      <w:r w:rsidR="00F43CBE" w:rsidRPr="00F43CBE">
        <w:rPr>
          <w:lang w:val="en-GB" w:eastAsia="en-AU"/>
        </w:rPr>
        <w:t>hours</w:t>
      </w:r>
    </w:p>
    <w:p w14:paraId="6C854879" w14:textId="5F4DDDE3" w:rsidR="00F43CBE" w:rsidRDefault="00F43CBE" w:rsidP="00F43CBE">
      <w:pPr>
        <w:pStyle w:val="Bullet"/>
        <w:rPr>
          <w:lang w:val="en-GB" w:eastAsia="en-AU"/>
        </w:rPr>
      </w:pPr>
      <w:r w:rsidRPr="00F43CBE">
        <w:rPr>
          <w:lang w:val="en-GB" w:eastAsia="en-AU"/>
        </w:rPr>
        <w:t>Statewide MPSG projects have supported</w:t>
      </w:r>
      <w:r>
        <w:rPr>
          <w:lang w:val="en-GB" w:eastAsia="en-AU"/>
        </w:rPr>
        <w:t>:</w:t>
      </w:r>
    </w:p>
    <w:p w14:paraId="49464905" w14:textId="05804EF7" w:rsidR="00F43CBE" w:rsidRDefault="00F43CBE" w:rsidP="00F43CBE">
      <w:pPr>
        <w:pStyle w:val="Bullet2"/>
        <w:rPr>
          <w:lang w:val="en-GB" w:eastAsia="en-AU"/>
        </w:rPr>
      </w:pPr>
      <w:r w:rsidRPr="00F43CBE">
        <w:rPr>
          <w:lang w:val="en-GB" w:eastAsia="en-AU"/>
        </w:rPr>
        <w:t>1,</w:t>
      </w:r>
      <w:r w:rsidR="009E7304">
        <w:rPr>
          <w:lang w:val="en-GB" w:eastAsia="en-AU"/>
        </w:rPr>
        <w:t>636</w:t>
      </w:r>
      <w:r>
        <w:rPr>
          <w:lang w:val="en-GB" w:eastAsia="en-AU"/>
        </w:rPr>
        <w:t xml:space="preserve"> </w:t>
      </w:r>
      <w:r w:rsidRPr="00F43CBE">
        <w:rPr>
          <w:lang w:val="en-GB" w:eastAsia="en-AU"/>
        </w:rPr>
        <w:t>ATCs</w:t>
      </w:r>
    </w:p>
    <w:p w14:paraId="328A0354" w14:textId="462E09BA" w:rsidR="00F43CBE" w:rsidRDefault="009E7304" w:rsidP="00F43CBE">
      <w:pPr>
        <w:pStyle w:val="Bullet2"/>
        <w:rPr>
          <w:lang w:val="en-GB" w:eastAsia="en-AU"/>
        </w:rPr>
      </w:pPr>
      <w:r w:rsidRPr="009E7304">
        <w:rPr>
          <w:lang w:val="en-GB" w:eastAsia="en-AU"/>
        </w:rPr>
        <w:t>906,494</w:t>
      </w:r>
      <w:r>
        <w:rPr>
          <w:lang w:val="en-GB" w:eastAsia="en-AU"/>
        </w:rPr>
        <w:t xml:space="preserve"> </w:t>
      </w:r>
      <w:r w:rsidR="00F43CBE" w:rsidRPr="00F43CBE">
        <w:rPr>
          <w:lang w:val="en-GB" w:eastAsia="en-AU"/>
        </w:rPr>
        <w:t>hours</w:t>
      </w:r>
    </w:p>
    <w:p w14:paraId="041A32D9" w14:textId="13062DEE" w:rsidR="000F7AD5" w:rsidRDefault="00BA59A6" w:rsidP="00E37E60">
      <w:pPr>
        <w:pStyle w:val="Heading1-numbered"/>
      </w:pPr>
      <w:bookmarkStart w:id="4" w:name="_Toc183430716"/>
      <w:r>
        <w:lastRenderedPageBreak/>
        <w:t>About</w:t>
      </w:r>
      <w:r w:rsidR="00CF7EE1">
        <w:t xml:space="preserve"> </w:t>
      </w:r>
      <w:r>
        <w:t>Local</w:t>
      </w:r>
      <w:r w:rsidR="00CF7EE1">
        <w:t xml:space="preserve"> </w:t>
      </w:r>
      <w:r>
        <w:t>Jobs</w:t>
      </w:r>
      <w:r w:rsidR="00CF7EE1">
        <w:t xml:space="preserve"> </w:t>
      </w:r>
      <w:r>
        <w:t>First</w:t>
      </w:r>
      <w:bookmarkEnd w:id="4"/>
    </w:p>
    <w:p w14:paraId="7C1D70B1" w14:textId="09E1C4CF" w:rsidR="000F7AD5" w:rsidRDefault="00BA59A6" w:rsidP="00841EDC">
      <w:pPr>
        <w:pStyle w:val="Normalbeforebullets"/>
      </w:pPr>
      <w:r>
        <w:t>Local</w:t>
      </w:r>
      <w:r w:rsidR="00CF7EE1">
        <w:t xml:space="preserve"> </w:t>
      </w:r>
      <w:r>
        <w:t>Jobs</w:t>
      </w:r>
      <w:r w:rsidR="00CF7EE1">
        <w:t xml:space="preserve"> </w:t>
      </w:r>
      <w:r>
        <w:t>First</w:t>
      </w:r>
      <w:r w:rsidR="00CF7EE1">
        <w:t xml:space="preserve"> </w:t>
      </w:r>
      <w:r>
        <w:t>is</w:t>
      </w:r>
      <w:r w:rsidR="00CF7EE1">
        <w:t xml:space="preserve"> </w:t>
      </w:r>
      <w:r>
        <w:t>designed</w:t>
      </w:r>
      <w:r w:rsidR="00CF7EE1">
        <w:t xml:space="preserve"> </w:t>
      </w:r>
      <w:r>
        <w:t>to:</w:t>
      </w:r>
    </w:p>
    <w:p w14:paraId="773C0362" w14:textId="77777777" w:rsidR="00184CBA" w:rsidRDefault="00184CBA" w:rsidP="00184CBA">
      <w:pPr>
        <w:pStyle w:val="Bullet"/>
      </w:pPr>
      <w:r>
        <w:t>promote employment and business growth by expanding market opportunities for local industry</w:t>
      </w:r>
    </w:p>
    <w:p w14:paraId="545ABCD6" w14:textId="77777777" w:rsidR="00184CBA" w:rsidRDefault="00184CBA" w:rsidP="00184CBA">
      <w:pPr>
        <w:pStyle w:val="Bullet"/>
      </w:pPr>
      <w:r>
        <w:t>provide contractors with increased access to, and raised awareness of, local industry capability</w:t>
      </w:r>
    </w:p>
    <w:p w14:paraId="6BECC5D0" w14:textId="380B4FDC" w:rsidR="000F7AD5" w:rsidRDefault="00184CBA" w:rsidP="00184CBA">
      <w:pPr>
        <w:pStyle w:val="Bullet"/>
      </w:pPr>
      <w:r>
        <w:t>expose local industry to world’s best practice in workplace innovation, e-commerce and use of new technologies and materials</w:t>
      </w:r>
    </w:p>
    <w:p w14:paraId="756DB4D2" w14:textId="0FA85F07" w:rsidR="000F7AD5" w:rsidRDefault="00BA59A6" w:rsidP="003E1A85">
      <w:pPr>
        <w:pStyle w:val="Bulletlast"/>
      </w:pPr>
      <w:r>
        <w:t>develop</w:t>
      </w:r>
      <w:r w:rsidR="00CF7EE1">
        <w:t xml:space="preserve"> </w:t>
      </w:r>
      <w:r>
        <w:t>the</w:t>
      </w:r>
      <w:r w:rsidR="00CF7EE1">
        <w:t xml:space="preserve"> </w:t>
      </w:r>
      <w:r>
        <w:t>international</w:t>
      </w:r>
      <w:r w:rsidR="00CF7EE1">
        <w:t xml:space="preserve"> </w:t>
      </w:r>
      <w:r>
        <w:t>competitiveness</w:t>
      </w:r>
      <w:r w:rsidR="00CF7EE1">
        <w:t xml:space="preserve"> </w:t>
      </w:r>
      <w:r>
        <w:t>and</w:t>
      </w:r>
      <w:r w:rsidR="00CF7EE1">
        <w:t xml:space="preserve"> </w:t>
      </w:r>
      <w:r>
        <w:t>flexibility</w:t>
      </w:r>
      <w:r w:rsidR="00CF7EE1">
        <w:t xml:space="preserve"> </w:t>
      </w:r>
      <w:r>
        <w:t>of</w:t>
      </w:r>
      <w:r w:rsidR="00CF7EE1">
        <w:t xml:space="preserve"> </w:t>
      </w:r>
      <w:r>
        <w:t>local</w:t>
      </w:r>
      <w:r w:rsidR="00CF7EE1">
        <w:t xml:space="preserve"> </w:t>
      </w:r>
      <w:r>
        <w:t>industry</w:t>
      </w:r>
      <w:r w:rsidR="00CF7EE1">
        <w:t xml:space="preserve"> </w:t>
      </w:r>
      <w:r>
        <w:t>to</w:t>
      </w:r>
      <w:r w:rsidR="00CF7EE1">
        <w:t xml:space="preserve"> </w:t>
      </w:r>
      <w:r>
        <w:t>respond</w:t>
      </w:r>
      <w:r w:rsidR="00CF7EE1">
        <w:t xml:space="preserve"> </w:t>
      </w:r>
      <w:r>
        <w:t>to</w:t>
      </w:r>
      <w:r w:rsidR="00CF7EE1">
        <w:t xml:space="preserve"> </w:t>
      </w:r>
      <w:r>
        <w:t>changing</w:t>
      </w:r>
      <w:r w:rsidR="00CF7EE1">
        <w:t xml:space="preserve"> </w:t>
      </w:r>
      <w:r>
        <w:t>global</w:t>
      </w:r>
      <w:r w:rsidR="00CF7EE1">
        <w:t xml:space="preserve"> </w:t>
      </w:r>
      <w:r>
        <w:t>markets</w:t>
      </w:r>
      <w:r w:rsidR="00CF7EE1">
        <w:t xml:space="preserve"> </w:t>
      </w:r>
      <w:r>
        <w:t>by</w:t>
      </w:r>
      <w:r w:rsidR="00CF7EE1">
        <w:t xml:space="preserve"> </w:t>
      </w:r>
      <w:r>
        <w:t>providing</w:t>
      </w:r>
      <w:r w:rsidR="00CF7EE1">
        <w:t xml:space="preserve"> </w:t>
      </w:r>
      <w:r>
        <w:t>it</w:t>
      </w:r>
      <w:r w:rsidR="00CF7EE1">
        <w:rPr>
          <w:rFonts w:ascii="Calibri" w:hAnsi="Calibri" w:cs="Calibri"/>
        </w:rPr>
        <w:t xml:space="preserve"> </w:t>
      </w:r>
      <w:r>
        <w:t>with</w:t>
      </w:r>
      <w:r w:rsidR="00CF7EE1">
        <w:t xml:space="preserve"> </w:t>
      </w:r>
      <w:r>
        <w:t>a</w:t>
      </w:r>
      <w:r w:rsidR="00CF7EE1">
        <w:t xml:space="preserve"> </w:t>
      </w:r>
      <w:r>
        <w:t>fair</w:t>
      </w:r>
      <w:r w:rsidR="00CF7EE1">
        <w:t xml:space="preserve"> </w:t>
      </w:r>
      <w:r>
        <w:t>opportunity</w:t>
      </w:r>
      <w:r w:rsidR="00CF7EE1">
        <w:t xml:space="preserve"> </w:t>
      </w:r>
      <w:r>
        <w:t>to</w:t>
      </w:r>
      <w:r w:rsidR="00CF7EE1">
        <w:t xml:space="preserve"> </w:t>
      </w:r>
      <w:r>
        <w:t>compete</w:t>
      </w:r>
      <w:r w:rsidR="00CF7EE1">
        <w:t xml:space="preserve"> </w:t>
      </w:r>
      <w:r>
        <w:t>against</w:t>
      </w:r>
      <w:r w:rsidR="00CF7EE1">
        <w:t xml:space="preserve"> </w:t>
      </w:r>
      <w:r>
        <w:t>foreign</w:t>
      </w:r>
      <w:r w:rsidR="00CF7EE1">
        <w:t xml:space="preserve"> </w:t>
      </w:r>
      <w:r>
        <w:t>suppliers.</w:t>
      </w:r>
    </w:p>
    <w:p w14:paraId="0CBECAA9" w14:textId="3AFBD178" w:rsidR="000F7AD5" w:rsidRDefault="00184CBA" w:rsidP="00AF2917">
      <w:r w:rsidRPr="00184CBA">
        <w:t>Local Jobs First supports Victorian businesses and workers by ensuring that small to medium enterprises (SMEs) are given a full and fair opportunity to compete for both large and small government contracts, helping to create job opportunities, including for apprentices, trainees and cadets (ATCs).</w:t>
      </w:r>
    </w:p>
    <w:p w14:paraId="041B6F8C" w14:textId="77777777" w:rsidR="00184CBA" w:rsidRDefault="00BA59A6" w:rsidP="00184CBA">
      <w:r>
        <w:t>The</w:t>
      </w:r>
      <w:r w:rsidR="00CF7EE1">
        <w:t xml:space="preserve"> </w:t>
      </w:r>
      <w:r w:rsidRPr="00AF2917">
        <w:rPr>
          <w:i/>
          <w:iCs/>
        </w:rPr>
        <w:t>Local</w:t>
      </w:r>
      <w:r w:rsidR="00CF7EE1" w:rsidRPr="00AF2917">
        <w:rPr>
          <w:i/>
          <w:iCs/>
        </w:rPr>
        <w:t xml:space="preserve"> </w:t>
      </w:r>
      <w:r w:rsidRPr="00AF2917">
        <w:rPr>
          <w:i/>
          <w:iCs/>
        </w:rPr>
        <w:t>Jobs</w:t>
      </w:r>
      <w:r w:rsidR="00CF7EE1" w:rsidRPr="00AF2917">
        <w:rPr>
          <w:i/>
          <w:iCs/>
        </w:rPr>
        <w:t xml:space="preserve"> </w:t>
      </w:r>
      <w:r w:rsidRPr="00AF2917">
        <w:rPr>
          <w:i/>
          <w:iCs/>
        </w:rPr>
        <w:t>First</w:t>
      </w:r>
      <w:r w:rsidR="00CF7EE1" w:rsidRPr="00AF2917">
        <w:rPr>
          <w:i/>
          <w:iCs/>
        </w:rPr>
        <w:t xml:space="preserve"> </w:t>
      </w:r>
      <w:r w:rsidRPr="00AF2917">
        <w:rPr>
          <w:i/>
          <w:iCs/>
        </w:rPr>
        <w:t>Act</w:t>
      </w:r>
      <w:r w:rsidR="00CF7EE1" w:rsidRPr="00AF2917">
        <w:rPr>
          <w:i/>
          <w:iCs/>
        </w:rPr>
        <w:t xml:space="preserve"> </w:t>
      </w:r>
      <w:r w:rsidRPr="00AF2917">
        <w:rPr>
          <w:i/>
          <w:iCs/>
        </w:rPr>
        <w:t>2003</w:t>
      </w:r>
      <w:r w:rsidR="00CF7EE1" w:rsidRPr="008036E6">
        <w:t xml:space="preserve"> </w:t>
      </w:r>
      <w:r>
        <w:t>(</w:t>
      </w:r>
      <w:r w:rsidR="00184CBA">
        <w:t xml:space="preserve">(the Act) together with the Local Jobs First Policy and associated guidelines provide the regulatory framework, procedures and guidance for implementation of Local Jobs First. </w:t>
      </w:r>
    </w:p>
    <w:p w14:paraId="31D29F91" w14:textId="77777777" w:rsidR="00184CBA" w:rsidRDefault="00184CBA" w:rsidP="00184CBA">
      <w:r>
        <w:t>Local Jobs First comprises both the Victorian Industry Participation Policy (VIPP) and Major Projects Skills Guarantee (MPSG).</w:t>
      </w:r>
    </w:p>
    <w:p w14:paraId="3595DAF1" w14:textId="77777777" w:rsidR="00184CBA" w:rsidRDefault="00184CBA" w:rsidP="00184CBA">
      <w:pPr>
        <w:pStyle w:val="Bullet"/>
      </w:pPr>
      <w:r>
        <w:t xml:space="preserve">VIPP focuses on creating opportunities for local suppliers to compete for work on all types of government contracts, helping to create and sustain opportunities for local businesses and workers. </w:t>
      </w:r>
    </w:p>
    <w:p w14:paraId="4B6119F2" w14:textId="50FD1E4D" w:rsidR="000F7AD5" w:rsidRDefault="00184CBA" w:rsidP="00184CBA">
      <w:pPr>
        <w:pStyle w:val="Bulletlast"/>
      </w:pPr>
      <w:r>
        <w:t xml:space="preserve">MPSG focuses on providing opportunities to Victorian apprentices, trainees and cadets to work on high value government construction projects. </w:t>
      </w:r>
    </w:p>
    <w:p w14:paraId="04F2BEA5" w14:textId="77777777" w:rsidR="00184CBA" w:rsidRDefault="00184CBA" w:rsidP="00184CBA">
      <w:pPr>
        <w:pStyle w:val="Normalbeforebullets"/>
      </w:pPr>
      <w:r>
        <w:t xml:space="preserve">Local Jobs First must be applied to regional projects worth more than $1 million, and </w:t>
      </w:r>
      <w:proofErr w:type="gramStart"/>
      <w:r>
        <w:t>state wide</w:t>
      </w:r>
      <w:proofErr w:type="gramEnd"/>
      <w:r>
        <w:t xml:space="preserve"> or metro Melbourne projects worth at least $3 million. Local content requirements are set by the Minister for Jobs and Industry for all government projects worth $50 million or more. </w:t>
      </w:r>
    </w:p>
    <w:p w14:paraId="6F887357" w14:textId="77777777" w:rsidR="00184CBA" w:rsidRDefault="00184CBA" w:rsidP="00184CBA">
      <w:pPr>
        <w:pStyle w:val="Normalbeforebullets"/>
      </w:pPr>
      <w:r>
        <w:t xml:space="preserve">The MPSG automatically applies to construction projects at or over $20 million in value. From design and planning to steel fabrication, welding, and plumbing, MPSG requires the contractor to invest in our future workforce by ensuring that Victorian ATCs are engaged for a minimum of 10% of the total number of estimated labour hours on the project. </w:t>
      </w:r>
    </w:p>
    <w:p w14:paraId="3FEAA45C" w14:textId="77777777" w:rsidR="00184CBA" w:rsidRDefault="00184CBA" w:rsidP="00184CBA">
      <w:pPr>
        <w:pStyle w:val="Normalbeforebullets"/>
      </w:pPr>
      <w:r>
        <w:t xml:space="preserve">The Local Jobs First Commissioner is established under the Act and is responsible for advocating for the Local Jobs First Policy and facilitating greater involvement from local businesses, workers and ATCs. The Commissioner’s compliance and enforcement powers </w:t>
      </w:r>
      <w:r>
        <w:lastRenderedPageBreak/>
        <w:t>also help to ensure that agencies and contractors involved in government procurement understand and deliver on their obligations under the Act.</w:t>
      </w:r>
    </w:p>
    <w:p w14:paraId="62299AFF" w14:textId="623CAC05" w:rsidR="000F7AD5" w:rsidRDefault="00184CBA" w:rsidP="00184CBA">
      <w:pPr>
        <w:pStyle w:val="Normalbeforebullets"/>
      </w:pPr>
      <w:r w:rsidRPr="00184CBA">
        <w:t xml:space="preserve">The Local Jobs First legislation requires that all departments and agencies subject to the </w:t>
      </w:r>
      <w:r w:rsidRPr="00184CBA">
        <w:rPr>
          <w:i/>
          <w:iCs/>
        </w:rPr>
        <w:t>Financial Management Act 1994</w:t>
      </w:r>
      <w:r w:rsidRPr="00184CBA">
        <w:t xml:space="preserve"> report on their implementation of Local Jobs First by providing:</w:t>
      </w:r>
    </w:p>
    <w:p w14:paraId="0CF252A0" w14:textId="77777777" w:rsidR="00184CBA" w:rsidRDefault="00184CBA" w:rsidP="00184CBA">
      <w:pPr>
        <w:pStyle w:val="Bullet"/>
      </w:pPr>
      <w:r>
        <w:t xml:space="preserve">a detailed report on Local Jobs First implementation as part of their required annual reporting </w:t>
      </w:r>
      <w:r w:rsidRPr="00184CBA">
        <w:t>arrangements</w:t>
      </w:r>
    </w:p>
    <w:p w14:paraId="45053ED7" w14:textId="47588A68" w:rsidR="000F7AD5" w:rsidRDefault="00184CBA" w:rsidP="00184CBA">
      <w:pPr>
        <w:pStyle w:val="Bulletlast"/>
      </w:pPr>
      <w:r>
        <w:t>a consolidated report to the responsible Ministers to enable the Ministers to report annually to Parliament.</w:t>
      </w:r>
    </w:p>
    <w:p w14:paraId="754891CC" w14:textId="4C6CC7D1" w:rsidR="000F7AD5" w:rsidRDefault="00184CBA" w:rsidP="00AF2917">
      <w:r w:rsidRPr="00184CBA">
        <w:t xml:space="preserve">Using the data provided by departments and agencies, this Annual Report presents the outcomes as they relate to Local Jobs First activities across government for the 2023-24 financial year. </w:t>
      </w:r>
    </w:p>
    <w:p w14:paraId="490198D9" w14:textId="7F6433FC" w:rsidR="000F7AD5" w:rsidRDefault="00BA59A6" w:rsidP="00CC493F">
      <w:pPr>
        <w:pStyle w:val="Heading3"/>
      </w:pPr>
      <w:r>
        <w:t>Case</w:t>
      </w:r>
      <w:r w:rsidR="00CF7EE1">
        <w:t xml:space="preserve"> </w:t>
      </w:r>
      <w:r>
        <w:t>study</w:t>
      </w:r>
      <w:r w:rsidR="00CF7EE1">
        <w:t xml:space="preserve"> </w:t>
      </w:r>
      <w:r>
        <w:t>1:</w:t>
      </w:r>
    </w:p>
    <w:p w14:paraId="5D5192C6" w14:textId="2805433E" w:rsidR="000F7AD5" w:rsidRPr="00CC493F" w:rsidRDefault="00CE3236" w:rsidP="00CC493F">
      <w:pPr>
        <w:pStyle w:val="Normalbeforebullets"/>
        <w:rPr>
          <w:b/>
          <w:bCs/>
        </w:rPr>
      </w:pPr>
      <w:r w:rsidRPr="00CE3236">
        <w:rPr>
          <w:b/>
          <w:bCs/>
        </w:rPr>
        <w:t>CoMade</w:t>
      </w:r>
    </w:p>
    <w:p w14:paraId="599FDD55" w14:textId="77777777" w:rsidR="00CE3236" w:rsidRDefault="00CE3236" w:rsidP="00CE3236">
      <w:r>
        <w:t xml:space="preserve">CoMade, a medium-sized design and construction services firm, based in South Melbourne, was one of the subcontractors engaged by Southern Program Alliance (SPA) to undertake work in conjunction with other electrical and fire systems and mechanical subcontractors as part of the Parkdale Level Crossing Removal project and the Melbourne Underground Rail Loop (MURL). </w:t>
      </w:r>
    </w:p>
    <w:p w14:paraId="64FADD18" w14:textId="77777777" w:rsidR="00CE3236" w:rsidRDefault="00CE3236" w:rsidP="00CE3236">
      <w:r>
        <w:t xml:space="preserve">Since its commencement with SPA, CoMade has consistently exceeded the 10% Major Projects Skills Guarantee (MPSG) threshold. </w:t>
      </w:r>
    </w:p>
    <w:p w14:paraId="0700CC0C" w14:textId="77777777" w:rsidR="00CE3236" w:rsidRDefault="00CE3236" w:rsidP="00CE3236">
      <w:r>
        <w:t>The MURL was a truly city-shaping infrastructure project. As a significant contributor to the SPA’s MURL upgrades, CoMade displayed a profound commitment to fostering new talent in the engineering and construction sectors, exceeding the MPSG targets consistently.</w:t>
      </w:r>
    </w:p>
    <w:p w14:paraId="44A0922B" w14:textId="77777777" w:rsidR="00CE3236" w:rsidRDefault="00CE3236" w:rsidP="00CE3236">
      <w:r>
        <w:t xml:space="preserve">A leading national mechanical and electrical specialist with design, construction and commissioning services, CoMade is ensuring safety and efficiency for the MURL. </w:t>
      </w:r>
    </w:p>
    <w:p w14:paraId="5F146318" w14:textId="77777777" w:rsidR="00CE3236" w:rsidRDefault="00CE3236" w:rsidP="00CE3236">
      <w:r>
        <w:t xml:space="preserve">During 2023, across SPA projects CoMade recorded 47,288 work hours. CoMade upheld three MPSG-designated roles, comprising of two Apprentice Electricians and one Business Systems Trainee. The initiative formed part of a broader strategy to facilitate career opportunities for various community segments, including Aboriginal and Torres Strait Islander peoples, ex-offenders, and other priority job seekers in Victoria. </w:t>
      </w:r>
    </w:p>
    <w:p w14:paraId="2C2A8A01" w14:textId="77777777" w:rsidR="00CE3236" w:rsidRDefault="00CE3236" w:rsidP="00CE3236">
      <w:r>
        <w:t>Remarkably, priority job seekers constitute nearly 20% of CoMade’s workforce.</w:t>
      </w:r>
    </w:p>
    <w:p w14:paraId="76FD0C9F" w14:textId="77777777" w:rsidR="00CE3236" w:rsidRDefault="00CE3236" w:rsidP="00CE3236">
      <w:r>
        <w:t>Through the MPSG, the Local Jobs First Policy helps to create opportunities for apprentices, trainees and cadets on some of Victoria’s major projects ensuring that the next generation have access to valuable work experience and secure jobs.</w:t>
      </w:r>
    </w:p>
    <w:p w14:paraId="7ABF426A" w14:textId="64DA1BCE" w:rsidR="000F7AD5" w:rsidRPr="00CF7A6F" w:rsidRDefault="00CE3236" w:rsidP="00CE3236">
      <w:r>
        <w:lastRenderedPageBreak/>
        <w:t>This highlights the practical steps taken by CoMade to exceed MPSG requirements but also underscores the company’s commitment to social responsibility and inclusive employment practices within the construction industry.</w:t>
      </w:r>
    </w:p>
    <w:p w14:paraId="0CAD2B2F" w14:textId="3B034066" w:rsidR="000F7AD5" w:rsidRDefault="00BA59A6" w:rsidP="005A405F">
      <w:pPr>
        <w:pStyle w:val="Heading1-numbered"/>
      </w:pPr>
      <w:bookmarkStart w:id="5" w:name="_Toc183430717"/>
      <w:r>
        <w:t>Implementation</w:t>
      </w:r>
      <w:r w:rsidR="00CF7EE1">
        <w:t xml:space="preserve"> </w:t>
      </w:r>
      <w:r>
        <w:t>of</w:t>
      </w:r>
      <w:r w:rsidR="00CF7EE1">
        <w:t xml:space="preserve"> </w:t>
      </w:r>
      <w:r>
        <w:t>Local</w:t>
      </w:r>
      <w:r w:rsidR="00CF7EE1">
        <w:t xml:space="preserve"> </w:t>
      </w:r>
      <w:r>
        <w:t>Jobs</w:t>
      </w:r>
      <w:r w:rsidR="00CF7EE1">
        <w:rPr>
          <w:rFonts w:ascii="Calibri" w:hAnsi="Calibri" w:cs="Calibri"/>
        </w:rPr>
        <w:t xml:space="preserve"> </w:t>
      </w:r>
      <w:r>
        <w:t>First</w:t>
      </w:r>
      <w:bookmarkEnd w:id="5"/>
    </w:p>
    <w:p w14:paraId="6A5E56E1" w14:textId="2A903B74" w:rsidR="000F7AD5" w:rsidRDefault="00BA59A6" w:rsidP="000F5B64">
      <w:pPr>
        <w:pStyle w:val="Heading2-numbered"/>
      </w:pPr>
      <w:bookmarkStart w:id="6" w:name="_Toc183430718"/>
      <w:r>
        <w:t>Local</w:t>
      </w:r>
      <w:r w:rsidR="00CF7EE1">
        <w:t xml:space="preserve"> </w:t>
      </w:r>
      <w:r>
        <w:t>Jobs</w:t>
      </w:r>
      <w:r w:rsidR="00CF7EE1">
        <w:t xml:space="preserve"> </w:t>
      </w:r>
      <w:r>
        <w:t>First</w:t>
      </w:r>
      <w:r w:rsidR="00CF7EE1">
        <w:t xml:space="preserve"> </w:t>
      </w:r>
      <w:r>
        <w:t>Commissioner</w:t>
      </w:r>
      <w:bookmarkEnd w:id="6"/>
    </w:p>
    <w:p w14:paraId="32CCA710" w14:textId="77777777" w:rsidR="00CE3236" w:rsidRDefault="00CE3236" w:rsidP="00CE3236">
      <w:r>
        <w:t>The Local Jobs First Commissioner advocates for local businesses, workers and ATCs, ensuring that they continue to benefit from Victorian Government procurement. By connecting with local industry, contractors, and government agencies applying the Local Jobs First Policy, the Commissioner educates stakeholders about the Local Jobs First Policy and assists with maximising outcomes for Victorian businesses and workers on government projects.</w:t>
      </w:r>
    </w:p>
    <w:p w14:paraId="7031D213" w14:textId="77777777" w:rsidR="00CE3236" w:rsidRDefault="00CE3236" w:rsidP="00CE3236">
      <w:r>
        <w:t xml:space="preserve">As part of the role, the Commissioner advocates to ensure that local businesses are provided with a full and fair opportunity to participate in Local Jobs First </w:t>
      </w:r>
      <w:proofErr w:type="gramStart"/>
      <w:r>
        <w:t>projects, and</w:t>
      </w:r>
      <w:proofErr w:type="gramEnd"/>
      <w:r>
        <w:t xml:space="preserve"> undertakes compliance activities to ensure that agencies and suppliers are delivering on their stated local content and jobs commitments.</w:t>
      </w:r>
    </w:p>
    <w:p w14:paraId="34CA554F" w14:textId="425504C2" w:rsidR="000F7AD5" w:rsidRDefault="00CE3236" w:rsidP="00CE3236">
      <w:r>
        <w:t>Ms Moana Weir was appointed to the role of Local Jobs First Commissioner on 27 January 2022. In her time in the role, Ms Weir has led the Office of the Local Jobs First Commissioner (OLJFC) with a clear purpose to strengthen the participation of local industry and workers through Victorian government procurement to deliver economic and social benefits for Victorians.</w:t>
      </w:r>
    </w:p>
    <w:p w14:paraId="513789F8" w14:textId="1F04AF88" w:rsidR="000F7AD5" w:rsidRDefault="00BA59A6" w:rsidP="00831A4C">
      <w:pPr>
        <w:pStyle w:val="Heading2-numbered"/>
      </w:pPr>
      <w:bookmarkStart w:id="7" w:name="_Toc183430719"/>
      <w:r>
        <w:t>Message</w:t>
      </w:r>
      <w:r w:rsidR="00CF7EE1">
        <w:t xml:space="preserve"> </w:t>
      </w:r>
      <w:r>
        <w:t>from</w:t>
      </w:r>
      <w:r w:rsidR="00CF7EE1">
        <w:t xml:space="preserve"> </w:t>
      </w:r>
      <w:r>
        <w:t>the</w:t>
      </w:r>
      <w:r w:rsidR="00CF7EE1">
        <w:t xml:space="preserve"> </w:t>
      </w:r>
      <w:r>
        <w:t>Local</w:t>
      </w:r>
      <w:r w:rsidR="00CF7EE1">
        <w:t xml:space="preserve"> </w:t>
      </w:r>
      <w:r>
        <w:t>Jobs</w:t>
      </w:r>
      <w:r w:rsidR="00CF7EE1">
        <w:t xml:space="preserve"> </w:t>
      </w:r>
      <w:r>
        <w:t>First</w:t>
      </w:r>
      <w:r w:rsidR="00CF7EE1">
        <w:t xml:space="preserve"> </w:t>
      </w:r>
      <w:r>
        <w:t>Commissioner</w:t>
      </w:r>
      <w:r w:rsidR="00CF7EE1">
        <w:t xml:space="preserve"> </w:t>
      </w:r>
      <w:r>
        <w:t>–</w:t>
      </w:r>
      <w:r w:rsidR="00CF7EE1">
        <w:t xml:space="preserve"> </w:t>
      </w:r>
      <w:r>
        <w:t>Ms</w:t>
      </w:r>
      <w:r w:rsidR="00831A4C">
        <w:t> </w:t>
      </w:r>
      <w:r>
        <w:t>Moana</w:t>
      </w:r>
      <w:r w:rsidR="00CF7EE1">
        <w:t xml:space="preserve"> </w:t>
      </w:r>
      <w:r>
        <w:t>Weir</w:t>
      </w:r>
      <w:bookmarkEnd w:id="7"/>
    </w:p>
    <w:p w14:paraId="2E938254" w14:textId="77777777" w:rsidR="00CE3236" w:rsidRDefault="00CE3236" w:rsidP="00CE3236">
      <w:r>
        <w:t xml:space="preserve">The 2023-24 financial year has been a successful year for the OLJFC during which there has been both consolidation, and expansion and growth in our strategic focus areas of Local Jobs First engagement, education, and enforcement. </w:t>
      </w:r>
    </w:p>
    <w:p w14:paraId="6BFB97B2" w14:textId="77777777" w:rsidR="00CE3236" w:rsidRDefault="00CE3236" w:rsidP="00CE3236">
      <w:r>
        <w:t xml:space="preserve">The OLJFC has continued its extensive project engagement across all 118 Local Jobs First Strategic Projects in execution at the end of the financial year. The OLJFC has met with over 95% of these Strategic Projects covering the construction of road, rail, level crossings, schools, hospitals, housing and sport, community, and utilities facilities across Victoria. </w:t>
      </w:r>
    </w:p>
    <w:p w14:paraId="2DF776EF" w14:textId="77777777" w:rsidR="00CE3236" w:rsidRDefault="00CE3236" w:rsidP="00CE3236">
      <w:r>
        <w:lastRenderedPageBreak/>
        <w:t xml:space="preserve">The level of project engagement completed by the OLJFC during the year represents just over 200 project meetings held with 36 government agencies, and in some cases where required by the agencies, their head contractors. </w:t>
      </w:r>
    </w:p>
    <w:p w14:paraId="099A7EA0" w14:textId="77777777" w:rsidR="00CE3236" w:rsidRDefault="00CE3236" w:rsidP="00CE3236">
      <w:r>
        <w:t>There have been 2 key areas during the financial year where the OLJFC has provided targeted education and guidance across a broad range of agencies and Local Jobs First Strategic Projects: in the areas of the MPSG and the retention of strong evidence of Local Jobs First outcomes.</w:t>
      </w:r>
    </w:p>
    <w:p w14:paraId="06F884C3" w14:textId="77777777" w:rsidR="00CE3236" w:rsidRDefault="00CE3236" w:rsidP="00CE3236">
      <w:r>
        <w:t xml:space="preserve">During the financial year, the OLJFC expanded its industry and broader government engagement both within and outside Local Jobs First Strategic Projects. The OLJFC met with 110 industry stakeholders to promote Local Jobs First Policy, within strategic project meetings, or at industry forums such as Industry Capability Network (ICN) Victoria events, or in meetings with industry associations including chambers of commerce, manufacturing associations, and industry institutes. In addition, the OLJFC conducted </w:t>
      </w:r>
      <w:proofErr w:type="gramStart"/>
      <w:r>
        <w:t>a number of</w:t>
      </w:r>
      <w:proofErr w:type="gramEnd"/>
      <w:r>
        <w:t xml:space="preserve"> site visits to major Local Jobs First Projects. </w:t>
      </w:r>
    </w:p>
    <w:p w14:paraId="0709EF01" w14:textId="77777777" w:rsidR="00CE3236" w:rsidRDefault="00CE3236" w:rsidP="00CE3236">
      <w:r>
        <w:t xml:space="preserve">The OLJFC engages broadly with SMEs to support the removal of systemic blockers for small business to full and fair competition for Victorian government procurement work. </w:t>
      </w:r>
    </w:p>
    <w:p w14:paraId="2322BBC0" w14:textId="77777777" w:rsidR="00CE3236" w:rsidRDefault="00CE3236" w:rsidP="00CE3236">
      <w:r>
        <w:t xml:space="preserve">Through its focus on project performance and government agency and contractor accountability, the OLJFC requested that 7 Local Jobs First audits be conducted by agencies delivering Local Jobs First Strategic Projects during the financial year. In addition, there were a small number of compliance engagements with agencies and contractors in 2023-24. In response to this, agencies and contractors demonstrated constructive engagement, resulting in effective outcomes. </w:t>
      </w:r>
    </w:p>
    <w:p w14:paraId="47C64E46" w14:textId="06898C0C" w:rsidR="000F7AD5" w:rsidRDefault="00CE3236" w:rsidP="00CE3236">
      <w:r>
        <w:t>For financial year 2024-25, the OLJFC looks forward to continuing to support agencies, local businesses, and contractors in the delivery of economic and social benefits of enduring value for Victorians.</w:t>
      </w:r>
    </w:p>
    <w:p w14:paraId="3BDE4E71" w14:textId="57CBADD9" w:rsidR="000F7AD5" w:rsidRDefault="00831A4C" w:rsidP="00831A4C">
      <w:r w:rsidRPr="00831A4C">
        <w:rPr>
          <w:b/>
          <w:bCs/>
        </w:rPr>
        <w:t>Moana Weir</w:t>
      </w:r>
      <w:r w:rsidRPr="00831A4C">
        <w:rPr>
          <w:b/>
          <w:bCs/>
        </w:rPr>
        <w:br/>
      </w:r>
      <w:r>
        <w:t>Local Jobs First Commissioner</w:t>
      </w:r>
    </w:p>
    <w:p w14:paraId="5A7429AE" w14:textId="1E269083" w:rsidR="000F7AD5" w:rsidRDefault="00BA59A6" w:rsidP="00126805">
      <w:pPr>
        <w:pStyle w:val="Heading2-numbered"/>
      </w:pPr>
      <w:bookmarkStart w:id="8" w:name="_Toc183430720"/>
      <w:r>
        <w:t>Industry</w:t>
      </w:r>
      <w:r w:rsidR="00CF7EE1">
        <w:t xml:space="preserve"> </w:t>
      </w:r>
      <w:r>
        <w:t>Capability</w:t>
      </w:r>
      <w:r w:rsidR="00CF7EE1">
        <w:t xml:space="preserve"> </w:t>
      </w:r>
      <w:r>
        <w:t>Network</w:t>
      </w:r>
      <w:r w:rsidR="00CF7EE1">
        <w:rPr>
          <w:rFonts w:ascii="Calibri" w:hAnsi="Calibri" w:cs="Calibri"/>
        </w:rPr>
        <w:t xml:space="preserve"> </w:t>
      </w:r>
      <w:r>
        <w:t>Victoria</w:t>
      </w:r>
      <w:bookmarkEnd w:id="8"/>
    </w:p>
    <w:p w14:paraId="00B95BF3" w14:textId="77777777" w:rsidR="00CE3236" w:rsidRDefault="00CE3236" w:rsidP="00CE3236">
      <w:r>
        <w:t xml:space="preserve">The ICN Victoria is a </w:t>
      </w:r>
      <w:proofErr w:type="gramStart"/>
      <w:r>
        <w:t>not for profit</w:t>
      </w:r>
      <w:proofErr w:type="gramEnd"/>
      <w:r>
        <w:t xml:space="preserve"> organisation that supports the Department of Jobs, Skills, Industry and Regions (DJSIR) with the implementation of the Local Jobs First Policy. It also assists Victorian Government departments, agencies, and businesses to comply with the requirements of the policy.</w:t>
      </w:r>
    </w:p>
    <w:p w14:paraId="620927A8" w14:textId="77777777" w:rsidR="00CE3236" w:rsidRDefault="00CE3236" w:rsidP="00CE3236">
      <w:r>
        <w:t xml:space="preserve">ICN Victoria assists agencies to understand their obligations under the Local Jobs First policy, this includes prescribing local content targets, assisting with Local Industry Development Plans (LIDPs) templates and evaluating bidder submissions, and supporting </w:t>
      </w:r>
      <w:r>
        <w:lastRenderedPageBreak/>
        <w:t>reporting requirements. This is managed through ICN Victoria’s Victorian Management Centre (VMC).</w:t>
      </w:r>
    </w:p>
    <w:p w14:paraId="14434295" w14:textId="77777777" w:rsidR="00CE3236" w:rsidRDefault="00CE3236" w:rsidP="00CE3236">
      <w:r>
        <w:t xml:space="preserve">ICN Victoria also provides localisation assistance for bidders as they are preparing their LIDPs, or as contractors are implementing their LIDPs. This support is provided through sector directories, Gateway pages, events and direct introductions between principal contractors and local SMEs through their experienced Industry Advisors. </w:t>
      </w:r>
    </w:p>
    <w:p w14:paraId="735E184E" w14:textId="77777777" w:rsidR="00CE3236" w:rsidRDefault="00CE3236" w:rsidP="00CE3236">
      <w:r>
        <w:t xml:space="preserve">SMEs can connect to Victorian government projects through Gateway by ICN Victoria, an online portal for suppliers to register their interest in supplying into Local Jobs First projects, this also builds an understanding of local industry capabilities. </w:t>
      </w:r>
    </w:p>
    <w:p w14:paraId="1A8867FA" w14:textId="7BD761CB" w:rsidR="000F7AD5" w:rsidRDefault="00CE3236" w:rsidP="00CE3236">
      <w:r>
        <w:t xml:space="preserve">In 2023-24, ICN Victoria reported a continuation of strong engagement activities with local SMEs, bidders/contractors, and agencies </w:t>
      </w:r>
      <w:proofErr w:type="gramStart"/>
      <w:r>
        <w:t>in order to</w:t>
      </w:r>
      <w:proofErr w:type="gramEnd"/>
      <w:r>
        <w:t xml:space="preserve"> apply the Local Jobs First policy and maximise local content in Victorian government funded projects. ICN Victoria directly influenced the localisation of over $221 million of local procurement activation in the 2023-24 financial year, connecting more Victorian businesses to government project opportunities. Events were held in metro Melbourne, Ballarat, Geelong, Bendigo, Gippsland and Shepparton and included both virtual and in-person formats.</w:t>
      </w:r>
    </w:p>
    <w:p w14:paraId="7E09A09B" w14:textId="4E1B844A" w:rsidR="000F7AD5" w:rsidRDefault="00BA59A6" w:rsidP="00126805">
      <w:pPr>
        <w:pStyle w:val="Heading2-numbered"/>
      </w:pPr>
      <w:bookmarkStart w:id="9" w:name="_Toc183430721"/>
      <w:r>
        <w:t>Department</w:t>
      </w:r>
      <w:r w:rsidR="00CF7EE1">
        <w:t xml:space="preserve"> </w:t>
      </w:r>
      <w:r>
        <w:t>of</w:t>
      </w:r>
      <w:r w:rsidR="00CF7EE1">
        <w:t xml:space="preserve"> </w:t>
      </w:r>
      <w:r>
        <w:t>Jobs,</w:t>
      </w:r>
      <w:r w:rsidR="00CF7EE1">
        <w:t xml:space="preserve"> </w:t>
      </w:r>
      <w:r>
        <w:t>Skills,</w:t>
      </w:r>
      <w:r w:rsidR="00CF7EE1">
        <w:t xml:space="preserve"> </w:t>
      </w:r>
      <w:r>
        <w:t>Industry</w:t>
      </w:r>
      <w:r w:rsidR="00CF7EE1">
        <w:t xml:space="preserve"> </w:t>
      </w:r>
      <w:r>
        <w:t>and</w:t>
      </w:r>
      <w:r w:rsidR="00CF7EE1">
        <w:t xml:space="preserve"> </w:t>
      </w:r>
      <w:r>
        <w:t>Regions</w:t>
      </w:r>
      <w:bookmarkEnd w:id="9"/>
    </w:p>
    <w:p w14:paraId="4EC7150C" w14:textId="77777777" w:rsidR="00CE3236" w:rsidRDefault="00CE3236" w:rsidP="00CE3236">
      <w:r>
        <w:t xml:space="preserve">DJSIR’s role in administering the Act includes developing the Local Jobs First Policy, guidelines and model clauses, as well as establishing structures to support delivery of the policy across Victorian Government departments and agencies. As part of this, DJSIR monitors and reports on implementation of the Local Jobs First Policy and provides regular advice and reporting to the responsible Minister and the Victorian Government </w:t>
      </w:r>
      <w:proofErr w:type="gramStart"/>
      <w:r>
        <w:t>as a whole regarding</w:t>
      </w:r>
      <w:proofErr w:type="gramEnd"/>
      <w:r>
        <w:t xml:space="preserve"> operation of the Local Jobs First Policy.</w:t>
      </w:r>
    </w:p>
    <w:p w14:paraId="49D0571C" w14:textId="70DDF7CA" w:rsidR="000F7AD5" w:rsidRDefault="00BA59A6" w:rsidP="00126805">
      <w:pPr>
        <w:pStyle w:val="Normalbeforebullets"/>
      </w:pPr>
      <w:r>
        <w:t>In</w:t>
      </w:r>
      <w:r w:rsidR="00CF7EE1">
        <w:t xml:space="preserve"> </w:t>
      </w:r>
      <w:r>
        <w:t>addition,</w:t>
      </w:r>
      <w:r w:rsidR="00CF7EE1">
        <w:t xml:space="preserve"> </w:t>
      </w:r>
      <w:r>
        <w:t>DJSIR</w:t>
      </w:r>
      <w:r w:rsidR="00CF7EE1">
        <w:t xml:space="preserve"> </w:t>
      </w:r>
      <w:r>
        <w:t>is</w:t>
      </w:r>
      <w:r w:rsidR="00CF7EE1">
        <w:t xml:space="preserve"> </w:t>
      </w:r>
      <w:r>
        <w:t>responsible</w:t>
      </w:r>
      <w:r w:rsidR="00CF7EE1">
        <w:t xml:space="preserve"> </w:t>
      </w:r>
      <w:r>
        <w:t>for:</w:t>
      </w:r>
    </w:p>
    <w:p w14:paraId="02E10213" w14:textId="77777777" w:rsidR="00CE3236" w:rsidRDefault="00CE3236" w:rsidP="00CE3236">
      <w:pPr>
        <w:pStyle w:val="Bullet"/>
      </w:pPr>
      <w:r>
        <w:t>working with agencies and the ICN Victoria to set Local Jobs First requirements on Strategic Projects</w:t>
      </w:r>
    </w:p>
    <w:p w14:paraId="0D193A8B" w14:textId="77777777" w:rsidR="00CE3236" w:rsidRDefault="00CE3236" w:rsidP="00CE3236">
      <w:pPr>
        <w:pStyle w:val="Bullet"/>
      </w:pPr>
      <w:r>
        <w:t>managing the services delivered by the ICN Victoria under the Local Jobs First Policy</w:t>
      </w:r>
    </w:p>
    <w:p w14:paraId="1324C371" w14:textId="1BE79D59" w:rsidR="000F7AD5" w:rsidRDefault="00CE3236" w:rsidP="00CE3236">
      <w:pPr>
        <w:pStyle w:val="Bullet"/>
      </w:pPr>
      <w:r>
        <w:t>leading engagement with the Commonwealth Government, other states and territories, and internationally, on the Local Jobs First Policy</w:t>
      </w:r>
    </w:p>
    <w:p w14:paraId="046A8B5D" w14:textId="09DF82D2" w:rsidR="000F7AD5" w:rsidRDefault="00CE3236" w:rsidP="00CE3236">
      <w:pPr>
        <w:pStyle w:val="Bulletlast"/>
      </w:pPr>
      <w:r w:rsidRPr="00CE3236">
        <w:t>preparing whole of government reporting on the application of the Local Jobs First Policy.</w:t>
      </w:r>
    </w:p>
    <w:p w14:paraId="067122F0" w14:textId="0C4BFE32" w:rsidR="000F7AD5" w:rsidRPr="00D24BDA" w:rsidRDefault="00CE3236" w:rsidP="00CE3236">
      <w:pPr>
        <w:pStyle w:val="Bulletlast"/>
      </w:pPr>
      <w:r w:rsidRPr="00CE3236">
        <w:t>For further details, please refer to the Local Jobs First website at</w:t>
      </w:r>
      <w:r>
        <w:t xml:space="preserve"> </w:t>
      </w:r>
      <w:hyperlink r:id="rId16" w:tooltip="Link to Local Jobs First website" w:history="1">
        <w:r w:rsidR="00BA59A6" w:rsidRPr="00D24BDA">
          <w:rPr>
            <w:rStyle w:val="Hyperlink"/>
          </w:rPr>
          <w:t>Local</w:t>
        </w:r>
        <w:r w:rsidR="00CF7EE1" w:rsidRPr="00D24BDA">
          <w:rPr>
            <w:rStyle w:val="Hyperlink"/>
          </w:rPr>
          <w:t xml:space="preserve"> </w:t>
        </w:r>
        <w:r w:rsidR="00BA59A6" w:rsidRPr="00D24BDA">
          <w:rPr>
            <w:rStyle w:val="Hyperlink"/>
          </w:rPr>
          <w:t>Jobs</w:t>
        </w:r>
        <w:r w:rsidR="00CF7EE1" w:rsidRPr="00D24BDA">
          <w:rPr>
            <w:rStyle w:val="Hyperlink"/>
          </w:rPr>
          <w:t xml:space="preserve"> </w:t>
        </w:r>
        <w:r w:rsidR="00BA59A6" w:rsidRPr="00D24BDA">
          <w:rPr>
            <w:rStyle w:val="Hyperlink"/>
          </w:rPr>
          <w:t>First</w:t>
        </w:r>
        <w:r w:rsidR="00CF7EE1" w:rsidRPr="00D24BDA">
          <w:rPr>
            <w:rStyle w:val="Hyperlink"/>
          </w:rPr>
          <w:t xml:space="preserve"> </w:t>
        </w:r>
        <w:r w:rsidR="00BA59A6" w:rsidRPr="00D24BDA">
          <w:rPr>
            <w:rStyle w:val="Hyperlink"/>
          </w:rPr>
          <w:t>website</w:t>
        </w:r>
      </w:hyperlink>
      <w:r w:rsidR="00BA59A6" w:rsidRPr="00D24BDA">
        <w:t>.</w:t>
      </w:r>
    </w:p>
    <w:p w14:paraId="2A6AA37F" w14:textId="7E666C11" w:rsidR="000F7AD5" w:rsidRDefault="00BA59A6" w:rsidP="00D24BDA">
      <w:pPr>
        <w:pStyle w:val="Heading3"/>
      </w:pPr>
      <w:r>
        <w:lastRenderedPageBreak/>
        <w:t>Case</w:t>
      </w:r>
      <w:r w:rsidR="00CF7EE1">
        <w:t xml:space="preserve"> </w:t>
      </w:r>
      <w:r>
        <w:t>study</w:t>
      </w:r>
      <w:r w:rsidR="00CF7EE1">
        <w:t xml:space="preserve"> </w:t>
      </w:r>
      <w:r>
        <w:t>2:</w:t>
      </w:r>
    </w:p>
    <w:p w14:paraId="580F10BC" w14:textId="5991091A" w:rsidR="000F7AD5" w:rsidRPr="00D24BDA" w:rsidRDefault="00CE3236" w:rsidP="00D24BDA">
      <w:pPr>
        <w:pStyle w:val="Normalbeforebullets"/>
        <w:rPr>
          <w:b/>
          <w:bCs/>
        </w:rPr>
      </w:pPr>
      <w:r w:rsidRPr="00CE3236">
        <w:rPr>
          <w:b/>
          <w:bCs/>
        </w:rPr>
        <w:t xml:space="preserve">The Aikenhead Centre for Medical Discovery (ACMD) </w:t>
      </w:r>
    </w:p>
    <w:p w14:paraId="4FE12C92" w14:textId="77777777" w:rsidR="00CE3236" w:rsidRDefault="00CE3236" w:rsidP="00CE3236">
      <w:r>
        <w:t xml:space="preserve">This Local Jobs First Strategic Project is a $206 million biomedical engineering research translation centre currently under construction at St Vincent’s Hospital Melbourne. </w:t>
      </w:r>
    </w:p>
    <w:p w14:paraId="0C77BA2E" w14:textId="77777777" w:rsidR="00CE3236" w:rsidRDefault="00CE3236" w:rsidP="00CE3236">
      <w:r>
        <w:t xml:space="preserve">The new state of the art, 11-storey building has been designed by local architecture firm Denton Corker Marshall and is being built by Kane Constructions. </w:t>
      </w:r>
    </w:p>
    <w:p w14:paraId="682E21B8" w14:textId="77777777" w:rsidR="00CE3236" w:rsidRDefault="00CE3236" w:rsidP="00CE3236">
      <w:r>
        <w:t xml:space="preserve">Kane Constructions is targeting the engagement of over 500 SMEs as part of the ACMD project, ensuring the contract delivers wide-reaching economic benefits to local businesses. </w:t>
      </w:r>
    </w:p>
    <w:p w14:paraId="4CD073B9" w14:textId="77777777" w:rsidR="00CE3236" w:rsidRDefault="00CE3236" w:rsidP="00CE3236">
      <w:r>
        <w:t xml:space="preserve">The project is committed to using locally sourced construction materials and interior finishes, with locally sourced cement and aggregate used to make the concrete for the whole structure. Approximately 420m3 was poured for the Level 11 slab and 1,600 tonnes of steel reinforcing has been used in the construction of the building’s structure. Victorian manufactured plasterboard is also currently being installed to the project for all </w:t>
      </w:r>
      <w:proofErr w:type="gramStart"/>
      <w:r>
        <w:t>interior</w:t>
      </w:r>
      <w:proofErr w:type="gramEnd"/>
      <w:r>
        <w:t xml:space="preserve"> fit out partitions and ceilings.</w:t>
      </w:r>
    </w:p>
    <w:p w14:paraId="73F45EEA" w14:textId="77777777" w:rsidR="00CE3236" w:rsidRDefault="00CE3236" w:rsidP="00CE3236">
      <w:r>
        <w:t>Scheduled for completion in late 2024, over 2,000 local workers will be inducted on the site including 13 apprentices, trainees and cadets.</w:t>
      </w:r>
    </w:p>
    <w:p w14:paraId="4AD7BE36" w14:textId="00EA27A1" w:rsidR="000F7AD5" w:rsidRPr="00CF7A6F" w:rsidRDefault="00CE3236" w:rsidP="00CE3236">
      <w:r>
        <w:t xml:space="preserve">The new 16,500sqm building will include 3D printing laboratories, a human kinetics lab and insulated rooms for development of sensitive hearing and vision technologies, engineering workshops to produce medical device prototypes and robotics. </w:t>
      </w:r>
    </w:p>
    <w:p w14:paraId="51A8ECBE" w14:textId="13F926F3" w:rsidR="000F7AD5" w:rsidRDefault="00BA59A6" w:rsidP="00C378A1">
      <w:pPr>
        <w:pStyle w:val="Heading1-numbered"/>
      </w:pPr>
      <w:bookmarkStart w:id="10" w:name="_Toc183430722"/>
      <w:r>
        <w:t>Local</w:t>
      </w:r>
      <w:r w:rsidR="00CF7EE1">
        <w:t xml:space="preserve"> </w:t>
      </w:r>
      <w:r>
        <w:t>Jobs</w:t>
      </w:r>
      <w:r w:rsidR="00CF7EE1">
        <w:t xml:space="preserve"> </w:t>
      </w:r>
      <w:r>
        <w:t>First</w:t>
      </w:r>
      <w:r w:rsidR="00CF7EE1">
        <w:t xml:space="preserve"> </w:t>
      </w:r>
      <w:r>
        <w:t>Outcomes</w:t>
      </w:r>
      <w:r w:rsidR="00CF7EE1">
        <w:t xml:space="preserve"> </w:t>
      </w:r>
      <w:r w:rsidR="00610226" w:rsidRPr="00610226">
        <w:t>in 2023-24</w:t>
      </w:r>
      <w:bookmarkEnd w:id="10"/>
    </w:p>
    <w:p w14:paraId="58003EA4" w14:textId="77777777" w:rsidR="00610226" w:rsidRDefault="00610226" w:rsidP="00610226">
      <w:r>
        <w:t xml:space="preserve">Under the Local Jobs First Policy, each project is designated as either a Standard Project or a Strategic Project based on the project value and/or Ministerial determination. </w:t>
      </w:r>
    </w:p>
    <w:p w14:paraId="02261260" w14:textId="1C6FFEA9" w:rsidR="000F7AD5" w:rsidRDefault="00610226" w:rsidP="00610226">
      <w:r>
        <w:t>As Victoria’s infrastructure spending has increased in recent years, the number and value of Local Jobs First Standard and Strategic Projects has reached record levels. The strong pipeline of current and future projects will continue to generate opportunities for local industry over the next decade and beyond.</w:t>
      </w:r>
    </w:p>
    <w:p w14:paraId="099BABE5" w14:textId="4FFF63BC" w:rsidR="000F7AD5" w:rsidRDefault="00BA59A6" w:rsidP="00E66B29">
      <w:pPr>
        <w:pStyle w:val="Heading2-numbered"/>
      </w:pPr>
      <w:bookmarkStart w:id="11" w:name="_Toc183430723"/>
      <w:r>
        <w:t>Strategic</w:t>
      </w:r>
      <w:r w:rsidR="00CF7EE1">
        <w:t xml:space="preserve"> </w:t>
      </w:r>
      <w:r>
        <w:t>Projects</w:t>
      </w:r>
      <w:bookmarkEnd w:id="11"/>
    </w:p>
    <w:p w14:paraId="21C75E5D" w14:textId="77777777" w:rsidR="00610226" w:rsidRDefault="00610226" w:rsidP="00610226">
      <w:r>
        <w:t xml:space="preserve">Since November 2014 to 30 June 2024, minimum local content requirements have been set on a total of 349 Local Jobs First Strategic Projects, with a combined value of $175.1 billion. These projects are expected to deliver an average of 88% local content, provide </w:t>
      </w:r>
      <w:r>
        <w:lastRenderedPageBreak/>
        <w:t>more than 60,000 jobs, and provide tens of thousands of opportunities for local SMEs to get involved in large Victorian Government projects.</w:t>
      </w:r>
    </w:p>
    <w:p w14:paraId="787BD4DF" w14:textId="77777777" w:rsidR="00610226" w:rsidRDefault="00610226" w:rsidP="00610226">
      <w:r>
        <w:t>In 2023-24 alone, the Victorian Government set local content requirements for 49 Strategic Projects. The 49 Strategic Projects are worth just over $30.5 billion collectively – representing a record high in terms of government investment in a financial year. These projects received an average minimum local content requirement of 86.5%.</w:t>
      </w:r>
    </w:p>
    <w:p w14:paraId="7D0608E7" w14:textId="41A26CF7" w:rsidR="000F7AD5" w:rsidRDefault="00610226" w:rsidP="00610226">
      <w:r>
        <w:t xml:space="preserve">Projects with Ministerial requirements continue to be set across a diverse range of industries in 2023-24. Of the 49 Strategic Projects that had minimum requirements set, 13 (27% of all projects) were services projects, and 31 (63% of all projects) were in construction. The overall local content requirement is lower than average due to the high percentage of services projects. The lower number of construction projects in 2023-24 can also be attributed to the number of construction projects announced in 2022-23 commencing their implementation phase of work. Construction projects that had Ministerial requirements set in 2023-24 received a minimum local content of 92.7%, which is consistent with previous years. </w:t>
      </w:r>
    </w:p>
    <w:p w14:paraId="6B90882E" w14:textId="7B7CA87E" w:rsidR="000F7AD5" w:rsidRDefault="00E620EE" w:rsidP="00D979D8">
      <w:r>
        <w:rPr>
          <w:noProof/>
        </w:rPr>
        <w:drawing>
          <wp:inline distT="0" distB="0" distL="0" distR="0" wp14:anchorId="7858E0D5" wp14:editId="1DD988ED">
            <wp:extent cx="5396603" cy="3022098"/>
            <wp:effectExtent l="0" t="0" r="1270" b="635"/>
            <wp:docPr id="4" name="Picture 4" descr="Projects with requirements by financial year and type of project graph. Data in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jects with requirements by financial year and type of project graph. Data in table below."/>
                    <pic:cNvPicPr/>
                  </pic:nvPicPr>
                  <pic:blipFill>
                    <a:blip r:embed="rId17"/>
                    <a:stretch>
                      <a:fillRect/>
                    </a:stretch>
                  </pic:blipFill>
                  <pic:spPr>
                    <a:xfrm>
                      <a:off x="0" y="0"/>
                      <a:ext cx="5396603" cy="3022098"/>
                    </a:xfrm>
                    <a:prstGeom prst="rect">
                      <a:avLst/>
                    </a:prstGeom>
                  </pic:spPr>
                </pic:pic>
              </a:graphicData>
            </a:graphic>
          </wp:inline>
        </w:drawing>
      </w:r>
    </w:p>
    <w:p w14:paraId="1D9D84E7" w14:textId="502C21C5" w:rsidR="00610226" w:rsidRDefault="00610226" w:rsidP="00D979D8"/>
    <w:tbl>
      <w:tblPr>
        <w:tblStyle w:val="TableGrid"/>
        <w:tblW w:w="0" w:type="auto"/>
        <w:tblLook w:val="04A0" w:firstRow="1" w:lastRow="0" w:firstColumn="1" w:lastColumn="0" w:noHBand="0" w:noVBand="1"/>
      </w:tblPr>
      <w:tblGrid>
        <w:gridCol w:w="1060"/>
        <w:gridCol w:w="1608"/>
        <w:gridCol w:w="1863"/>
        <w:gridCol w:w="987"/>
        <w:gridCol w:w="1568"/>
        <w:gridCol w:w="1381"/>
        <w:gridCol w:w="1161"/>
      </w:tblGrid>
      <w:tr w:rsidR="000E25BC" w14:paraId="4EAED6EC" w14:textId="49592F4D" w:rsidTr="001C7CA5">
        <w:tc>
          <w:tcPr>
            <w:tcW w:w="1060" w:type="dxa"/>
          </w:tcPr>
          <w:p w14:paraId="65B87B36" w14:textId="77777777" w:rsidR="000E25BC" w:rsidRDefault="000E25BC" w:rsidP="004576C5">
            <w:pPr>
              <w:pStyle w:val="TableColumnHeading"/>
            </w:pPr>
            <w:bookmarkStart w:id="12" w:name="ColumnTitles_3"/>
            <w:bookmarkEnd w:id="12"/>
          </w:p>
        </w:tc>
        <w:tc>
          <w:tcPr>
            <w:tcW w:w="1608" w:type="dxa"/>
          </w:tcPr>
          <w:p w14:paraId="715BB68F" w14:textId="590DF177" w:rsidR="000E25BC" w:rsidRDefault="000E25BC" w:rsidP="001C7CA5">
            <w:pPr>
              <w:pStyle w:val="TableColumnHeading"/>
              <w:jc w:val="right"/>
            </w:pPr>
            <w:r>
              <w:t>Construction</w:t>
            </w:r>
          </w:p>
        </w:tc>
        <w:tc>
          <w:tcPr>
            <w:tcW w:w="1863" w:type="dxa"/>
          </w:tcPr>
          <w:p w14:paraId="66777406" w14:textId="78E77B71" w:rsidR="000E25BC" w:rsidRDefault="000E25BC" w:rsidP="001C7CA5">
            <w:pPr>
              <w:pStyle w:val="TableColumnHeading"/>
              <w:jc w:val="right"/>
            </w:pPr>
            <w:r>
              <w:t>Construction &amp; Maintenance</w:t>
            </w:r>
          </w:p>
        </w:tc>
        <w:tc>
          <w:tcPr>
            <w:tcW w:w="987" w:type="dxa"/>
          </w:tcPr>
          <w:p w14:paraId="0FAAEF90" w14:textId="6414A71A" w:rsidR="000E25BC" w:rsidRDefault="000E25BC" w:rsidP="001C7CA5">
            <w:pPr>
              <w:pStyle w:val="TableColumnHeading"/>
              <w:jc w:val="right"/>
            </w:pPr>
            <w:r>
              <w:t>Goods</w:t>
            </w:r>
          </w:p>
        </w:tc>
        <w:tc>
          <w:tcPr>
            <w:tcW w:w="1568" w:type="dxa"/>
          </w:tcPr>
          <w:p w14:paraId="2BB51193" w14:textId="455BF99C" w:rsidR="000E25BC" w:rsidRDefault="000E25BC" w:rsidP="001C7CA5">
            <w:pPr>
              <w:pStyle w:val="TableColumnHeading"/>
              <w:jc w:val="right"/>
            </w:pPr>
            <w:r>
              <w:t>Maintenance</w:t>
            </w:r>
          </w:p>
        </w:tc>
        <w:tc>
          <w:tcPr>
            <w:tcW w:w="1381" w:type="dxa"/>
          </w:tcPr>
          <w:p w14:paraId="5C6FF8F6" w14:textId="6B21BEF1" w:rsidR="000E25BC" w:rsidRDefault="000E25BC" w:rsidP="001C7CA5">
            <w:pPr>
              <w:pStyle w:val="TableColumnHeading"/>
              <w:jc w:val="right"/>
            </w:pPr>
            <w:r>
              <w:t>Operations</w:t>
            </w:r>
          </w:p>
        </w:tc>
        <w:tc>
          <w:tcPr>
            <w:tcW w:w="1161" w:type="dxa"/>
          </w:tcPr>
          <w:p w14:paraId="7D787FA6" w14:textId="064DCDDB" w:rsidR="000E25BC" w:rsidRDefault="000E25BC" w:rsidP="001C7CA5">
            <w:pPr>
              <w:pStyle w:val="TableColumnHeading"/>
              <w:jc w:val="right"/>
            </w:pPr>
            <w:r>
              <w:t>Services</w:t>
            </w:r>
          </w:p>
        </w:tc>
      </w:tr>
      <w:tr w:rsidR="000E25BC" w14:paraId="0B071AD6" w14:textId="18F70597" w:rsidTr="001C7CA5">
        <w:tc>
          <w:tcPr>
            <w:tcW w:w="1060" w:type="dxa"/>
          </w:tcPr>
          <w:p w14:paraId="2478089B" w14:textId="72E56A13" w:rsidR="000E25BC" w:rsidRDefault="000E25BC" w:rsidP="004576C5">
            <w:pPr>
              <w:pStyle w:val="TableCopy"/>
            </w:pPr>
            <w:r>
              <w:t>2014-15</w:t>
            </w:r>
          </w:p>
        </w:tc>
        <w:tc>
          <w:tcPr>
            <w:tcW w:w="1608" w:type="dxa"/>
          </w:tcPr>
          <w:p w14:paraId="2BEEF93A" w14:textId="266EDF06" w:rsidR="000E25BC" w:rsidRDefault="00D85080" w:rsidP="001C7CA5">
            <w:pPr>
              <w:pStyle w:val="TableCopy"/>
              <w:jc w:val="right"/>
            </w:pPr>
            <w:r>
              <w:t>100%</w:t>
            </w:r>
          </w:p>
        </w:tc>
        <w:tc>
          <w:tcPr>
            <w:tcW w:w="1863" w:type="dxa"/>
          </w:tcPr>
          <w:p w14:paraId="09DBF486" w14:textId="066EA7AC" w:rsidR="000E25BC" w:rsidRDefault="00D85080" w:rsidP="001C7CA5">
            <w:pPr>
              <w:pStyle w:val="TableCopy"/>
              <w:jc w:val="right"/>
            </w:pPr>
            <w:r>
              <w:t>–</w:t>
            </w:r>
          </w:p>
        </w:tc>
        <w:tc>
          <w:tcPr>
            <w:tcW w:w="987" w:type="dxa"/>
          </w:tcPr>
          <w:p w14:paraId="564072F9" w14:textId="5E2337B1" w:rsidR="000E25BC" w:rsidRDefault="00D85080" w:rsidP="001C7CA5">
            <w:pPr>
              <w:pStyle w:val="TableCopy"/>
              <w:jc w:val="right"/>
            </w:pPr>
            <w:r>
              <w:t>–</w:t>
            </w:r>
          </w:p>
        </w:tc>
        <w:tc>
          <w:tcPr>
            <w:tcW w:w="1568" w:type="dxa"/>
          </w:tcPr>
          <w:p w14:paraId="0187A070" w14:textId="081C62B6" w:rsidR="000E25BC" w:rsidRDefault="00D85080" w:rsidP="001C7CA5">
            <w:pPr>
              <w:pStyle w:val="TableCopy"/>
              <w:jc w:val="right"/>
            </w:pPr>
            <w:r>
              <w:t>–</w:t>
            </w:r>
          </w:p>
        </w:tc>
        <w:tc>
          <w:tcPr>
            <w:tcW w:w="1381" w:type="dxa"/>
          </w:tcPr>
          <w:p w14:paraId="4B22A454" w14:textId="440398B0" w:rsidR="000E25BC" w:rsidRDefault="00D85080" w:rsidP="001C7CA5">
            <w:pPr>
              <w:pStyle w:val="TableCopy"/>
              <w:jc w:val="right"/>
            </w:pPr>
            <w:r>
              <w:t>–</w:t>
            </w:r>
          </w:p>
        </w:tc>
        <w:tc>
          <w:tcPr>
            <w:tcW w:w="1161" w:type="dxa"/>
          </w:tcPr>
          <w:p w14:paraId="579E440D" w14:textId="59057718" w:rsidR="000E25BC" w:rsidRDefault="00D85080" w:rsidP="001C7CA5">
            <w:pPr>
              <w:pStyle w:val="TableCopy"/>
              <w:jc w:val="right"/>
            </w:pPr>
            <w:r>
              <w:t>–</w:t>
            </w:r>
          </w:p>
        </w:tc>
      </w:tr>
      <w:tr w:rsidR="000E25BC" w14:paraId="356D6AA3" w14:textId="22B5D179" w:rsidTr="001C7CA5">
        <w:tc>
          <w:tcPr>
            <w:tcW w:w="1060" w:type="dxa"/>
          </w:tcPr>
          <w:p w14:paraId="2A9D4D66" w14:textId="1DCE678A" w:rsidR="000E25BC" w:rsidRDefault="005A19A7" w:rsidP="004576C5">
            <w:pPr>
              <w:pStyle w:val="TableCopy"/>
            </w:pPr>
            <w:r>
              <w:t>2015-16</w:t>
            </w:r>
          </w:p>
        </w:tc>
        <w:tc>
          <w:tcPr>
            <w:tcW w:w="1608" w:type="dxa"/>
          </w:tcPr>
          <w:p w14:paraId="6FAF0ABC" w14:textId="06D1BC94" w:rsidR="000E25BC" w:rsidRDefault="003C3569" w:rsidP="001C7CA5">
            <w:pPr>
              <w:pStyle w:val="TableCopy"/>
              <w:jc w:val="right"/>
            </w:pPr>
            <w:r>
              <w:t>90%</w:t>
            </w:r>
          </w:p>
        </w:tc>
        <w:tc>
          <w:tcPr>
            <w:tcW w:w="1863" w:type="dxa"/>
          </w:tcPr>
          <w:p w14:paraId="293BAF7B" w14:textId="373C2C58" w:rsidR="000E25BC" w:rsidRDefault="003C3569" w:rsidP="001C7CA5">
            <w:pPr>
              <w:pStyle w:val="TableCopy"/>
              <w:jc w:val="right"/>
            </w:pPr>
            <w:r>
              <w:t>–</w:t>
            </w:r>
          </w:p>
        </w:tc>
        <w:tc>
          <w:tcPr>
            <w:tcW w:w="987" w:type="dxa"/>
          </w:tcPr>
          <w:p w14:paraId="71C7CBC9" w14:textId="1A7DF6C0" w:rsidR="000E25BC" w:rsidRDefault="003C3569" w:rsidP="001C7CA5">
            <w:pPr>
              <w:pStyle w:val="TableCopy"/>
              <w:jc w:val="right"/>
            </w:pPr>
            <w:r>
              <w:t>–</w:t>
            </w:r>
          </w:p>
        </w:tc>
        <w:tc>
          <w:tcPr>
            <w:tcW w:w="1568" w:type="dxa"/>
          </w:tcPr>
          <w:p w14:paraId="18E1D083" w14:textId="7838CB60" w:rsidR="000E25BC" w:rsidRDefault="003C3569" w:rsidP="001C7CA5">
            <w:pPr>
              <w:pStyle w:val="TableCopy"/>
              <w:jc w:val="right"/>
            </w:pPr>
            <w:r>
              <w:t>5%</w:t>
            </w:r>
          </w:p>
        </w:tc>
        <w:tc>
          <w:tcPr>
            <w:tcW w:w="1381" w:type="dxa"/>
          </w:tcPr>
          <w:p w14:paraId="2A08FA0C" w14:textId="35DF17E3" w:rsidR="000E25BC" w:rsidRDefault="003C3569" w:rsidP="001C7CA5">
            <w:pPr>
              <w:pStyle w:val="TableCopy"/>
              <w:jc w:val="right"/>
            </w:pPr>
            <w:r>
              <w:t>–</w:t>
            </w:r>
          </w:p>
        </w:tc>
        <w:tc>
          <w:tcPr>
            <w:tcW w:w="1161" w:type="dxa"/>
          </w:tcPr>
          <w:p w14:paraId="3431C941" w14:textId="19B5B152" w:rsidR="000E25BC" w:rsidRDefault="003C3569" w:rsidP="001C7CA5">
            <w:pPr>
              <w:pStyle w:val="TableCopy"/>
              <w:jc w:val="right"/>
            </w:pPr>
            <w:r>
              <w:t>5%</w:t>
            </w:r>
          </w:p>
        </w:tc>
      </w:tr>
      <w:tr w:rsidR="000E25BC" w14:paraId="366D9A83" w14:textId="1B1B3EBB" w:rsidTr="001C7CA5">
        <w:tc>
          <w:tcPr>
            <w:tcW w:w="1060" w:type="dxa"/>
          </w:tcPr>
          <w:p w14:paraId="41A0C59B" w14:textId="35413AEE" w:rsidR="000E25BC" w:rsidRDefault="005A19A7" w:rsidP="004576C5">
            <w:pPr>
              <w:pStyle w:val="TableCopy"/>
            </w:pPr>
            <w:r>
              <w:t>2016-17</w:t>
            </w:r>
          </w:p>
        </w:tc>
        <w:tc>
          <w:tcPr>
            <w:tcW w:w="1608" w:type="dxa"/>
          </w:tcPr>
          <w:p w14:paraId="4FC9B5B5" w14:textId="67DA7D9C" w:rsidR="000E25BC" w:rsidRDefault="003C3569" w:rsidP="001C7CA5">
            <w:pPr>
              <w:pStyle w:val="TableCopy"/>
              <w:jc w:val="right"/>
            </w:pPr>
            <w:r>
              <w:t>97%</w:t>
            </w:r>
          </w:p>
        </w:tc>
        <w:tc>
          <w:tcPr>
            <w:tcW w:w="1863" w:type="dxa"/>
          </w:tcPr>
          <w:p w14:paraId="084CB7E6" w14:textId="2448D64F" w:rsidR="000E25BC" w:rsidRDefault="00C47F5B" w:rsidP="001C7CA5">
            <w:pPr>
              <w:pStyle w:val="TableCopy"/>
              <w:jc w:val="right"/>
            </w:pPr>
            <w:r>
              <w:t>–</w:t>
            </w:r>
          </w:p>
        </w:tc>
        <w:tc>
          <w:tcPr>
            <w:tcW w:w="987" w:type="dxa"/>
          </w:tcPr>
          <w:p w14:paraId="0237AF8D" w14:textId="195253DE" w:rsidR="000E25BC" w:rsidRDefault="00C47F5B" w:rsidP="001C7CA5">
            <w:pPr>
              <w:pStyle w:val="TableCopy"/>
              <w:jc w:val="right"/>
            </w:pPr>
            <w:r>
              <w:t>–</w:t>
            </w:r>
          </w:p>
        </w:tc>
        <w:tc>
          <w:tcPr>
            <w:tcW w:w="1568" w:type="dxa"/>
          </w:tcPr>
          <w:p w14:paraId="2D566228" w14:textId="066823D9" w:rsidR="000E25BC" w:rsidRDefault="00C47F5B" w:rsidP="001C7CA5">
            <w:pPr>
              <w:pStyle w:val="TableCopy"/>
              <w:jc w:val="right"/>
            </w:pPr>
            <w:r>
              <w:t>–</w:t>
            </w:r>
          </w:p>
        </w:tc>
        <w:tc>
          <w:tcPr>
            <w:tcW w:w="1381" w:type="dxa"/>
          </w:tcPr>
          <w:p w14:paraId="66005945" w14:textId="38C3AC1D" w:rsidR="000E25BC" w:rsidRDefault="00C47F5B" w:rsidP="001C7CA5">
            <w:pPr>
              <w:pStyle w:val="TableCopy"/>
              <w:jc w:val="right"/>
            </w:pPr>
            <w:r>
              <w:t>3%</w:t>
            </w:r>
          </w:p>
        </w:tc>
        <w:tc>
          <w:tcPr>
            <w:tcW w:w="1161" w:type="dxa"/>
          </w:tcPr>
          <w:p w14:paraId="7F425117" w14:textId="45AE9400" w:rsidR="000E25BC" w:rsidRDefault="00C47F5B" w:rsidP="001C7CA5">
            <w:pPr>
              <w:pStyle w:val="TableCopy"/>
              <w:jc w:val="right"/>
            </w:pPr>
            <w:r>
              <w:t>–</w:t>
            </w:r>
          </w:p>
        </w:tc>
      </w:tr>
      <w:tr w:rsidR="000E25BC" w14:paraId="5B15834A" w14:textId="4DED303F" w:rsidTr="001C7CA5">
        <w:tc>
          <w:tcPr>
            <w:tcW w:w="1060" w:type="dxa"/>
          </w:tcPr>
          <w:p w14:paraId="25CD6364" w14:textId="6F75E686" w:rsidR="000E25BC" w:rsidRDefault="005A19A7" w:rsidP="004576C5">
            <w:pPr>
              <w:pStyle w:val="TableCopy"/>
            </w:pPr>
            <w:r>
              <w:t>2017-18</w:t>
            </w:r>
          </w:p>
        </w:tc>
        <w:tc>
          <w:tcPr>
            <w:tcW w:w="1608" w:type="dxa"/>
          </w:tcPr>
          <w:p w14:paraId="536AB7F6" w14:textId="5B035C1A" w:rsidR="000E25BC" w:rsidRDefault="00C47F5B" w:rsidP="001C7CA5">
            <w:pPr>
              <w:pStyle w:val="TableCopy"/>
              <w:jc w:val="right"/>
            </w:pPr>
            <w:r>
              <w:t>65%</w:t>
            </w:r>
          </w:p>
        </w:tc>
        <w:tc>
          <w:tcPr>
            <w:tcW w:w="1863" w:type="dxa"/>
          </w:tcPr>
          <w:p w14:paraId="402040E4" w14:textId="00C5E4D1" w:rsidR="000E25BC" w:rsidRDefault="00C47F5B" w:rsidP="001C7CA5">
            <w:pPr>
              <w:pStyle w:val="TableCopy"/>
              <w:jc w:val="right"/>
            </w:pPr>
            <w:r>
              <w:t>3%</w:t>
            </w:r>
          </w:p>
        </w:tc>
        <w:tc>
          <w:tcPr>
            <w:tcW w:w="987" w:type="dxa"/>
          </w:tcPr>
          <w:p w14:paraId="30665394" w14:textId="53865659" w:rsidR="000E25BC" w:rsidRDefault="00C47F5B" w:rsidP="001C7CA5">
            <w:pPr>
              <w:pStyle w:val="TableCopy"/>
              <w:jc w:val="right"/>
            </w:pPr>
            <w:r>
              <w:t>8%</w:t>
            </w:r>
          </w:p>
        </w:tc>
        <w:tc>
          <w:tcPr>
            <w:tcW w:w="1568" w:type="dxa"/>
          </w:tcPr>
          <w:p w14:paraId="60A12C0E" w14:textId="45911E6B" w:rsidR="000E25BC" w:rsidRDefault="00C47F5B" w:rsidP="001C7CA5">
            <w:pPr>
              <w:pStyle w:val="TableCopy"/>
              <w:jc w:val="right"/>
            </w:pPr>
            <w:r>
              <w:t>5%</w:t>
            </w:r>
          </w:p>
        </w:tc>
        <w:tc>
          <w:tcPr>
            <w:tcW w:w="1381" w:type="dxa"/>
          </w:tcPr>
          <w:p w14:paraId="22240661" w14:textId="64794692" w:rsidR="000E25BC" w:rsidRDefault="00C47F5B" w:rsidP="001C7CA5">
            <w:pPr>
              <w:pStyle w:val="TableCopy"/>
              <w:jc w:val="right"/>
            </w:pPr>
            <w:r>
              <w:t>8%</w:t>
            </w:r>
          </w:p>
        </w:tc>
        <w:tc>
          <w:tcPr>
            <w:tcW w:w="1161" w:type="dxa"/>
          </w:tcPr>
          <w:p w14:paraId="1F60B149" w14:textId="7C0BDC20" w:rsidR="000E25BC" w:rsidRDefault="00C47F5B" w:rsidP="001C7CA5">
            <w:pPr>
              <w:pStyle w:val="TableCopy"/>
              <w:jc w:val="right"/>
            </w:pPr>
            <w:r>
              <w:t>11%</w:t>
            </w:r>
          </w:p>
        </w:tc>
      </w:tr>
      <w:tr w:rsidR="005A19A7" w14:paraId="67161D8C" w14:textId="77777777" w:rsidTr="001C7CA5">
        <w:tc>
          <w:tcPr>
            <w:tcW w:w="1060" w:type="dxa"/>
          </w:tcPr>
          <w:p w14:paraId="5F4650E9" w14:textId="651C49A9" w:rsidR="005A19A7" w:rsidRDefault="005A19A7" w:rsidP="004576C5">
            <w:pPr>
              <w:pStyle w:val="TableCopy"/>
            </w:pPr>
            <w:r>
              <w:lastRenderedPageBreak/>
              <w:t>2018-19</w:t>
            </w:r>
          </w:p>
        </w:tc>
        <w:tc>
          <w:tcPr>
            <w:tcW w:w="1608" w:type="dxa"/>
          </w:tcPr>
          <w:p w14:paraId="279AD708" w14:textId="13358911" w:rsidR="005A19A7" w:rsidRDefault="00C47F5B" w:rsidP="001C7CA5">
            <w:pPr>
              <w:pStyle w:val="TableCopy"/>
              <w:jc w:val="right"/>
            </w:pPr>
            <w:r>
              <w:t>85%</w:t>
            </w:r>
          </w:p>
        </w:tc>
        <w:tc>
          <w:tcPr>
            <w:tcW w:w="1863" w:type="dxa"/>
          </w:tcPr>
          <w:p w14:paraId="7A382652" w14:textId="530F05D3" w:rsidR="005A19A7" w:rsidRDefault="00C26740" w:rsidP="001C7CA5">
            <w:pPr>
              <w:pStyle w:val="TableCopy"/>
              <w:jc w:val="right"/>
            </w:pPr>
            <w:r>
              <w:t>–</w:t>
            </w:r>
          </w:p>
        </w:tc>
        <w:tc>
          <w:tcPr>
            <w:tcW w:w="987" w:type="dxa"/>
          </w:tcPr>
          <w:p w14:paraId="5722FE84" w14:textId="025F4D18" w:rsidR="005A19A7" w:rsidRDefault="00C26740" w:rsidP="001C7CA5">
            <w:pPr>
              <w:pStyle w:val="TableCopy"/>
              <w:jc w:val="right"/>
            </w:pPr>
            <w:r>
              <w:t>–</w:t>
            </w:r>
          </w:p>
        </w:tc>
        <w:tc>
          <w:tcPr>
            <w:tcW w:w="1568" w:type="dxa"/>
          </w:tcPr>
          <w:p w14:paraId="748AE8FD" w14:textId="041D2190" w:rsidR="005A19A7" w:rsidRDefault="00C26740" w:rsidP="001C7CA5">
            <w:pPr>
              <w:pStyle w:val="TableCopy"/>
              <w:jc w:val="right"/>
            </w:pPr>
            <w:r>
              <w:t>6%</w:t>
            </w:r>
          </w:p>
        </w:tc>
        <w:tc>
          <w:tcPr>
            <w:tcW w:w="1381" w:type="dxa"/>
          </w:tcPr>
          <w:p w14:paraId="1019265A" w14:textId="6C9D3BCB" w:rsidR="005A19A7" w:rsidRDefault="00C26740" w:rsidP="001C7CA5">
            <w:pPr>
              <w:pStyle w:val="TableCopy"/>
              <w:jc w:val="right"/>
            </w:pPr>
            <w:r>
              <w:t>–</w:t>
            </w:r>
          </w:p>
        </w:tc>
        <w:tc>
          <w:tcPr>
            <w:tcW w:w="1161" w:type="dxa"/>
          </w:tcPr>
          <w:p w14:paraId="2FE108AA" w14:textId="4CCD0EBF" w:rsidR="005A19A7" w:rsidRDefault="00C26740" w:rsidP="001C7CA5">
            <w:pPr>
              <w:pStyle w:val="TableCopy"/>
              <w:jc w:val="right"/>
            </w:pPr>
            <w:r>
              <w:t>9%</w:t>
            </w:r>
          </w:p>
        </w:tc>
      </w:tr>
      <w:tr w:rsidR="005A19A7" w14:paraId="38984860" w14:textId="77777777" w:rsidTr="001C7CA5">
        <w:tc>
          <w:tcPr>
            <w:tcW w:w="1060" w:type="dxa"/>
          </w:tcPr>
          <w:p w14:paraId="20F71543" w14:textId="5DF4B82A" w:rsidR="005A19A7" w:rsidRDefault="005A19A7" w:rsidP="004576C5">
            <w:pPr>
              <w:pStyle w:val="TableCopy"/>
            </w:pPr>
            <w:r>
              <w:t>2019-20</w:t>
            </w:r>
          </w:p>
        </w:tc>
        <w:tc>
          <w:tcPr>
            <w:tcW w:w="1608" w:type="dxa"/>
          </w:tcPr>
          <w:p w14:paraId="41F774FF" w14:textId="1D982593" w:rsidR="005A19A7" w:rsidRDefault="009C5933" w:rsidP="001C7CA5">
            <w:pPr>
              <w:pStyle w:val="TableCopy"/>
              <w:jc w:val="right"/>
            </w:pPr>
            <w:r>
              <w:t>73%</w:t>
            </w:r>
          </w:p>
        </w:tc>
        <w:tc>
          <w:tcPr>
            <w:tcW w:w="1863" w:type="dxa"/>
          </w:tcPr>
          <w:p w14:paraId="4D502351" w14:textId="70E644FA" w:rsidR="005A19A7" w:rsidRDefault="009C5933" w:rsidP="001C7CA5">
            <w:pPr>
              <w:pStyle w:val="TableCopy"/>
              <w:jc w:val="right"/>
            </w:pPr>
            <w:r>
              <w:t>–</w:t>
            </w:r>
          </w:p>
        </w:tc>
        <w:tc>
          <w:tcPr>
            <w:tcW w:w="987" w:type="dxa"/>
          </w:tcPr>
          <w:p w14:paraId="1667BB9C" w14:textId="58F5AEFB" w:rsidR="005A19A7" w:rsidRDefault="009C5933" w:rsidP="001C7CA5">
            <w:pPr>
              <w:pStyle w:val="TableCopy"/>
              <w:jc w:val="right"/>
            </w:pPr>
            <w:r>
              <w:t>6%</w:t>
            </w:r>
          </w:p>
        </w:tc>
        <w:tc>
          <w:tcPr>
            <w:tcW w:w="1568" w:type="dxa"/>
          </w:tcPr>
          <w:p w14:paraId="249519B4" w14:textId="364EEBDC" w:rsidR="005A19A7" w:rsidRDefault="007F229B" w:rsidP="001C7CA5">
            <w:pPr>
              <w:pStyle w:val="TableCopy"/>
              <w:jc w:val="right"/>
            </w:pPr>
            <w:r>
              <w:t>3%</w:t>
            </w:r>
          </w:p>
        </w:tc>
        <w:tc>
          <w:tcPr>
            <w:tcW w:w="1381" w:type="dxa"/>
          </w:tcPr>
          <w:p w14:paraId="0707D38E" w14:textId="0CBB1A49" w:rsidR="005A19A7" w:rsidRDefault="007F229B" w:rsidP="001C7CA5">
            <w:pPr>
              <w:pStyle w:val="TableCopy"/>
              <w:jc w:val="right"/>
            </w:pPr>
            <w:r>
              <w:t>–</w:t>
            </w:r>
          </w:p>
        </w:tc>
        <w:tc>
          <w:tcPr>
            <w:tcW w:w="1161" w:type="dxa"/>
          </w:tcPr>
          <w:p w14:paraId="524B94CC" w14:textId="4B388A94" w:rsidR="005A19A7" w:rsidRDefault="007F229B" w:rsidP="001C7CA5">
            <w:pPr>
              <w:pStyle w:val="TableCopy"/>
              <w:jc w:val="right"/>
            </w:pPr>
            <w:r>
              <w:t>18%</w:t>
            </w:r>
          </w:p>
        </w:tc>
      </w:tr>
      <w:tr w:rsidR="005A19A7" w14:paraId="72ABBB3B" w14:textId="77777777" w:rsidTr="001C7CA5">
        <w:tc>
          <w:tcPr>
            <w:tcW w:w="1060" w:type="dxa"/>
          </w:tcPr>
          <w:p w14:paraId="46600111" w14:textId="7819F4F3" w:rsidR="005A19A7" w:rsidRDefault="007A63AB" w:rsidP="004576C5">
            <w:pPr>
              <w:pStyle w:val="TableCopy"/>
            </w:pPr>
            <w:r>
              <w:t>2020-21</w:t>
            </w:r>
          </w:p>
        </w:tc>
        <w:tc>
          <w:tcPr>
            <w:tcW w:w="1608" w:type="dxa"/>
          </w:tcPr>
          <w:p w14:paraId="6C15B72C" w14:textId="5512C01D" w:rsidR="005A19A7" w:rsidRDefault="007F229B" w:rsidP="001C7CA5">
            <w:pPr>
              <w:pStyle w:val="TableCopy"/>
              <w:jc w:val="right"/>
            </w:pPr>
            <w:r>
              <w:t>80%</w:t>
            </w:r>
          </w:p>
        </w:tc>
        <w:tc>
          <w:tcPr>
            <w:tcW w:w="1863" w:type="dxa"/>
          </w:tcPr>
          <w:p w14:paraId="18211690" w14:textId="4B60F4C6" w:rsidR="005A19A7" w:rsidRDefault="007F229B" w:rsidP="001C7CA5">
            <w:pPr>
              <w:pStyle w:val="TableCopy"/>
              <w:jc w:val="right"/>
            </w:pPr>
            <w:r>
              <w:t>–</w:t>
            </w:r>
          </w:p>
        </w:tc>
        <w:tc>
          <w:tcPr>
            <w:tcW w:w="987" w:type="dxa"/>
          </w:tcPr>
          <w:p w14:paraId="486B444A" w14:textId="1650F6C1" w:rsidR="005A19A7" w:rsidRDefault="007F229B" w:rsidP="001C7CA5">
            <w:pPr>
              <w:pStyle w:val="TableCopy"/>
              <w:jc w:val="right"/>
            </w:pPr>
            <w:r>
              <w:t>5%</w:t>
            </w:r>
          </w:p>
        </w:tc>
        <w:tc>
          <w:tcPr>
            <w:tcW w:w="1568" w:type="dxa"/>
          </w:tcPr>
          <w:p w14:paraId="5627AAA4" w14:textId="53078369" w:rsidR="005A19A7" w:rsidRDefault="0053646C" w:rsidP="001C7CA5">
            <w:pPr>
              <w:pStyle w:val="TableCopy"/>
              <w:jc w:val="right"/>
            </w:pPr>
            <w:r>
              <w:t>–</w:t>
            </w:r>
          </w:p>
        </w:tc>
        <w:tc>
          <w:tcPr>
            <w:tcW w:w="1381" w:type="dxa"/>
          </w:tcPr>
          <w:p w14:paraId="4ACA34A9" w14:textId="62493693" w:rsidR="005A19A7" w:rsidRDefault="0053646C" w:rsidP="001C7CA5">
            <w:pPr>
              <w:pStyle w:val="TableCopy"/>
              <w:jc w:val="right"/>
            </w:pPr>
            <w:r>
              <w:t>–</w:t>
            </w:r>
          </w:p>
        </w:tc>
        <w:tc>
          <w:tcPr>
            <w:tcW w:w="1161" w:type="dxa"/>
          </w:tcPr>
          <w:p w14:paraId="4A53247D" w14:textId="769C1679" w:rsidR="005A19A7" w:rsidRDefault="0053646C" w:rsidP="001C7CA5">
            <w:pPr>
              <w:pStyle w:val="TableCopy"/>
              <w:jc w:val="right"/>
            </w:pPr>
            <w:r>
              <w:t>15%</w:t>
            </w:r>
          </w:p>
        </w:tc>
      </w:tr>
      <w:tr w:rsidR="007A63AB" w14:paraId="21A608DC" w14:textId="77777777" w:rsidTr="001C7CA5">
        <w:tc>
          <w:tcPr>
            <w:tcW w:w="1060" w:type="dxa"/>
          </w:tcPr>
          <w:p w14:paraId="33B073E1" w14:textId="3BDCF487" w:rsidR="007A63AB" w:rsidRDefault="007A63AB" w:rsidP="004576C5">
            <w:pPr>
              <w:pStyle w:val="TableCopy"/>
            </w:pPr>
            <w:r>
              <w:t>2021-22</w:t>
            </w:r>
          </w:p>
        </w:tc>
        <w:tc>
          <w:tcPr>
            <w:tcW w:w="1608" w:type="dxa"/>
          </w:tcPr>
          <w:p w14:paraId="135A4639" w14:textId="72D4207E" w:rsidR="007A63AB" w:rsidRDefault="0053646C" w:rsidP="001C7CA5">
            <w:pPr>
              <w:pStyle w:val="TableCopy"/>
              <w:jc w:val="right"/>
            </w:pPr>
            <w:r>
              <w:t>65%</w:t>
            </w:r>
          </w:p>
        </w:tc>
        <w:tc>
          <w:tcPr>
            <w:tcW w:w="1863" w:type="dxa"/>
          </w:tcPr>
          <w:p w14:paraId="0944B720" w14:textId="555FE54F" w:rsidR="007A63AB" w:rsidRDefault="0053646C" w:rsidP="001C7CA5">
            <w:pPr>
              <w:pStyle w:val="TableCopy"/>
              <w:jc w:val="right"/>
            </w:pPr>
            <w:r>
              <w:t>2%</w:t>
            </w:r>
          </w:p>
        </w:tc>
        <w:tc>
          <w:tcPr>
            <w:tcW w:w="987" w:type="dxa"/>
          </w:tcPr>
          <w:p w14:paraId="2C3205DE" w14:textId="4C531FC7" w:rsidR="007A63AB" w:rsidRDefault="0053646C" w:rsidP="001C7CA5">
            <w:pPr>
              <w:pStyle w:val="TableCopy"/>
              <w:jc w:val="right"/>
            </w:pPr>
            <w:r>
              <w:t>7%</w:t>
            </w:r>
          </w:p>
        </w:tc>
        <w:tc>
          <w:tcPr>
            <w:tcW w:w="1568" w:type="dxa"/>
          </w:tcPr>
          <w:p w14:paraId="1617D4D1" w14:textId="3DE43EA2" w:rsidR="007A63AB" w:rsidRDefault="0053646C" w:rsidP="001C7CA5">
            <w:pPr>
              <w:pStyle w:val="TableCopy"/>
              <w:jc w:val="right"/>
            </w:pPr>
            <w:r>
              <w:t>9%</w:t>
            </w:r>
          </w:p>
        </w:tc>
        <w:tc>
          <w:tcPr>
            <w:tcW w:w="1381" w:type="dxa"/>
          </w:tcPr>
          <w:p w14:paraId="2B4C0E20" w14:textId="27C7A0F1" w:rsidR="007A63AB" w:rsidRDefault="001D71CA" w:rsidP="001C7CA5">
            <w:pPr>
              <w:pStyle w:val="TableCopy"/>
              <w:jc w:val="right"/>
            </w:pPr>
            <w:r>
              <w:t>–</w:t>
            </w:r>
          </w:p>
        </w:tc>
        <w:tc>
          <w:tcPr>
            <w:tcW w:w="1161" w:type="dxa"/>
          </w:tcPr>
          <w:p w14:paraId="1FC69DF2" w14:textId="65EC6152" w:rsidR="007A63AB" w:rsidRDefault="001D71CA" w:rsidP="001C7CA5">
            <w:pPr>
              <w:pStyle w:val="TableCopy"/>
              <w:jc w:val="right"/>
            </w:pPr>
            <w:r>
              <w:t>16%</w:t>
            </w:r>
          </w:p>
        </w:tc>
      </w:tr>
      <w:tr w:rsidR="007A63AB" w14:paraId="257883CC" w14:textId="77777777" w:rsidTr="001C7CA5">
        <w:tc>
          <w:tcPr>
            <w:tcW w:w="1060" w:type="dxa"/>
          </w:tcPr>
          <w:p w14:paraId="2F85D869" w14:textId="10E3DE3E" w:rsidR="007A63AB" w:rsidRDefault="007A63AB" w:rsidP="004576C5">
            <w:pPr>
              <w:pStyle w:val="TableCopy"/>
            </w:pPr>
            <w:r>
              <w:t>2022-23</w:t>
            </w:r>
          </w:p>
        </w:tc>
        <w:tc>
          <w:tcPr>
            <w:tcW w:w="1608" w:type="dxa"/>
          </w:tcPr>
          <w:p w14:paraId="3CCC097D" w14:textId="75E2E9F0" w:rsidR="007A63AB" w:rsidRDefault="001D71CA" w:rsidP="001C7CA5">
            <w:pPr>
              <w:pStyle w:val="TableCopy"/>
              <w:jc w:val="right"/>
            </w:pPr>
            <w:r>
              <w:t>52%</w:t>
            </w:r>
          </w:p>
        </w:tc>
        <w:tc>
          <w:tcPr>
            <w:tcW w:w="1863" w:type="dxa"/>
          </w:tcPr>
          <w:p w14:paraId="7A94D5FA" w14:textId="28B86860" w:rsidR="007A63AB" w:rsidRDefault="001D71CA" w:rsidP="001C7CA5">
            <w:pPr>
              <w:pStyle w:val="TableCopy"/>
              <w:jc w:val="right"/>
            </w:pPr>
            <w:r>
              <w:t>6%</w:t>
            </w:r>
          </w:p>
        </w:tc>
        <w:tc>
          <w:tcPr>
            <w:tcW w:w="987" w:type="dxa"/>
          </w:tcPr>
          <w:p w14:paraId="3AE1C24B" w14:textId="25B7EFAE" w:rsidR="007A63AB" w:rsidRDefault="001C7CA5" w:rsidP="001C7CA5">
            <w:pPr>
              <w:pStyle w:val="TableCopy"/>
              <w:jc w:val="right"/>
            </w:pPr>
            <w:r>
              <w:t>5%</w:t>
            </w:r>
          </w:p>
        </w:tc>
        <w:tc>
          <w:tcPr>
            <w:tcW w:w="1568" w:type="dxa"/>
          </w:tcPr>
          <w:p w14:paraId="01E7956F" w14:textId="78FC675E" w:rsidR="007A63AB" w:rsidRDefault="001C7CA5" w:rsidP="001C7CA5">
            <w:pPr>
              <w:pStyle w:val="TableCopy"/>
              <w:jc w:val="right"/>
            </w:pPr>
            <w:r>
              <w:t>2%</w:t>
            </w:r>
          </w:p>
        </w:tc>
        <w:tc>
          <w:tcPr>
            <w:tcW w:w="1381" w:type="dxa"/>
          </w:tcPr>
          <w:p w14:paraId="2C5C832A" w14:textId="2550EF58" w:rsidR="007A63AB" w:rsidRDefault="001C7CA5" w:rsidP="001C7CA5">
            <w:pPr>
              <w:pStyle w:val="TableCopy"/>
              <w:jc w:val="right"/>
            </w:pPr>
            <w:r>
              <w:t>2%</w:t>
            </w:r>
          </w:p>
        </w:tc>
        <w:tc>
          <w:tcPr>
            <w:tcW w:w="1161" w:type="dxa"/>
          </w:tcPr>
          <w:p w14:paraId="7420B2CE" w14:textId="498EB65E" w:rsidR="007A63AB" w:rsidRDefault="001C7CA5" w:rsidP="001C7CA5">
            <w:pPr>
              <w:pStyle w:val="TableCopy"/>
              <w:jc w:val="right"/>
            </w:pPr>
            <w:r>
              <w:t>33%</w:t>
            </w:r>
          </w:p>
        </w:tc>
      </w:tr>
      <w:tr w:rsidR="00610226" w14:paraId="4DA647F0" w14:textId="77777777" w:rsidTr="001C7CA5">
        <w:tc>
          <w:tcPr>
            <w:tcW w:w="1060" w:type="dxa"/>
          </w:tcPr>
          <w:p w14:paraId="377819D2" w14:textId="0140F30F" w:rsidR="00610226" w:rsidRDefault="00610226" w:rsidP="00610226">
            <w:pPr>
              <w:pStyle w:val="TableCopy"/>
            </w:pPr>
            <w:r>
              <w:t>2023-24</w:t>
            </w:r>
          </w:p>
        </w:tc>
        <w:tc>
          <w:tcPr>
            <w:tcW w:w="1608" w:type="dxa"/>
          </w:tcPr>
          <w:p w14:paraId="158365B5" w14:textId="5DC54ED0" w:rsidR="00610226" w:rsidRDefault="00610226" w:rsidP="00610226">
            <w:pPr>
              <w:pStyle w:val="TableCopy"/>
              <w:jc w:val="right"/>
            </w:pPr>
            <w:r>
              <w:t>63%</w:t>
            </w:r>
          </w:p>
        </w:tc>
        <w:tc>
          <w:tcPr>
            <w:tcW w:w="1863" w:type="dxa"/>
          </w:tcPr>
          <w:p w14:paraId="6CE1911D" w14:textId="7F32F1C4" w:rsidR="00610226" w:rsidRDefault="00610226" w:rsidP="00610226">
            <w:pPr>
              <w:pStyle w:val="TableCopy"/>
              <w:jc w:val="right"/>
            </w:pPr>
            <w:r>
              <w:t>–</w:t>
            </w:r>
          </w:p>
        </w:tc>
        <w:tc>
          <w:tcPr>
            <w:tcW w:w="987" w:type="dxa"/>
          </w:tcPr>
          <w:p w14:paraId="248906DD" w14:textId="6CD8C847" w:rsidR="00610226" w:rsidRDefault="00610226" w:rsidP="00610226">
            <w:pPr>
              <w:pStyle w:val="TableCopy"/>
              <w:jc w:val="right"/>
            </w:pPr>
            <w:r>
              <w:t>–</w:t>
            </w:r>
          </w:p>
        </w:tc>
        <w:tc>
          <w:tcPr>
            <w:tcW w:w="1568" w:type="dxa"/>
          </w:tcPr>
          <w:p w14:paraId="37D9138B" w14:textId="2CFDFCCC" w:rsidR="00610226" w:rsidRDefault="00610226" w:rsidP="00610226">
            <w:pPr>
              <w:pStyle w:val="TableCopy"/>
              <w:jc w:val="right"/>
            </w:pPr>
            <w:r>
              <w:t>8%</w:t>
            </w:r>
          </w:p>
        </w:tc>
        <w:tc>
          <w:tcPr>
            <w:tcW w:w="1381" w:type="dxa"/>
          </w:tcPr>
          <w:p w14:paraId="1DCF8B5F" w14:textId="46C011E8" w:rsidR="00610226" w:rsidRDefault="00610226" w:rsidP="00610226">
            <w:pPr>
              <w:pStyle w:val="TableCopy"/>
              <w:jc w:val="right"/>
            </w:pPr>
            <w:r>
              <w:t>2%</w:t>
            </w:r>
          </w:p>
        </w:tc>
        <w:tc>
          <w:tcPr>
            <w:tcW w:w="1161" w:type="dxa"/>
          </w:tcPr>
          <w:p w14:paraId="3E22871D" w14:textId="7DC95079" w:rsidR="00610226" w:rsidRDefault="00610226" w:rsidP="00610226">
            <w:pPr>
              <w:pStyle w:val="TableCopy"/>
              <w:jc w:val="right"/>
            </w:pPr>
            <w:r>
              <w:t>27%</w:t>
            </w:r>
          </w:p>
        </w:tc>
      </w:tr>
    </w:tbl>
    <w:p w14:paraId="22C5486B" w14:textId="5411CCB8" w:rsidR="000F7AD5" w:rsidRDefault="00610226" w:rsidP="001C7CA5">
      <w:pPr>
        <w:pStyle w:val="FootnoteText"/>
        <w:spacing w:before="120" w:after="280"/>
      </w:pPr>
      <w:r w:rsidRPr="00610226">
        <w:t>Please refer to the Local Jobs First website for full project details at</w:t>
      </w:r>
      <w:r w:rsidR="00BA59A6">
        <w:t>:</w:t>
      </w:r>
      <w:r w:rsidR="00CF7EE1">
        <w:t xml:space="preserve"> </w:t>
      </w:r>
      <w:hyperlink r:id="rId18" w:tooltip="Link to Local Jobs First/Strategic Projects webpage" w:history="1">
        <w:r w:rsidR="00B94EED">
          <w:rPr>
            <w:rStyle w:val="Hyperlink"/>
          </w:rPr>
          <w:t>Local Jobs First/Strategic Projects</w:t>
        </w:r>
      </w:hyperlink>
      <w:r w:rsidR="00BA59A6">
        <w:t>.</w:t>
      </w:r>
    </w:p>
    <w:p w14:paraId="47556341" w14:textId="77777777" w:rsidR="00610226" w:rsidRDefault="00610226" w:rsidP="00610226">
      <w:r>
        <w:rPr>
          <w:noProof/>
        </w:rPr>
        <w:drawing>
          <wp:inline distT="0" distB="0" distL="0" distR="0" wp14:anchorId="17149E70" wp14:editId="2D00F803">
            <wp:extent cx="6130800" cy="1620000"/>
            <wp:effectExtent l="0" t="0" r="3810" b="5715"/>
            <wp:docPr id="382633174" name="Picture 382633174" descr="Strategic projects and value graph. Data in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33174" name="Picture 382633174" descr="Strategic projects and value graph. Data in table below."/>
                    <pic:cNvPicPr/>
                  </pic:nvPicPr>
                  <pic:blipFill>
                    <a:blip r:embed="rId19"/>
                    <a:stretch>
                      <a:fillRect/>
                    </a:stretch>
                  </pic:blipFill>
                  <pic:spPr>
                    <a:xfrm>
                      <a:off x="0" y="0"/>
                      <a:ext cx="6130800" cy="1620000"/>
                    </a:xfrm>
                    <a:prstGeom prst="rect">
                      <a:avLst/>
                    </a:prstGeom>
                  </pic:spPr>
                </pic:pic>
              </a:graphicData>
            </a:graphic>
          </wp:inline>
        </w:drawing>
      </w:r>
    </w:p>
    <w:tbl>
      <w:tblPr>
        <w:tblStyle w:val="TableGrid"/>
        <w:tblW w:w="0" w:type="auto"/>
        <w:tblLook w:val="04A0" w:firstRow="1" w:lastRow="0" w:firstColumn="1" w:lastColumn="0" w:noHBand="0" w:noVBand="1"/>
      </w:tblPr>
      <w:tblGrid>
        <w:gridCol w:w="3209"/>
        <w:gridCol w:w="3209"/>
        <w:gridCol w:w="3210"/>
      </w:tblGrid>
      <w:tr w:rsidR="006B33F1" w14:paraId="300F5CE2" w14:textId="77777777" w:rsidTr="00EF1645">
        <w:trPr>
          <w:cantSplit/>
        </w:trPr>
        <w:tc>
          <w:tcPr>
            <w:tcW w:w="3209" w:type="dxa"/>
          </w:tcPr>
          <w:p w14:paraId="06987870" w14:textId="77777777" w:rsidR="006B33F1" w:rsidRDefault="006B33F1" w:rsidP="00EF1645">
            <w:pPr>
              <w:pStyle w:val="TableColumnHeading"/>
            </w:pPr>
          </w:p>
        </w:tc>
        <w:tc>
          <w:tcPr>
            <w:tcW w:w="3209" w:type="dxa"/>
          </w:tcPr>
          <w:p w14:paraId="225110B8" w14:textId="78D8FC68" w:rsidR="006B33F1" w:rsidRDefault="006B33F1" w:rsidP="00EF1645">
            <w:pPr>
              <w:pStyle w:val="TableColumnHeading"/>
              <w:jc w:val="right"/>
            </w:pPr>
            <w:r>
              <w:t>Projects Set</w:t>
            </w:r>
          </w:p>
        </w:tc>
        <w:tc>
          <w:tcPr>
            <w:tcW w:w="3210" w:type="dxa"/>
          </w:tcPr>
          <w:p w14:paraId="1AFB26E2" w14:textId="4BB1F3AC" w:rsidR="006B33F1" w:rsidRDefault="006B33F1" w:rsidP="00EF1645">
            <w:pPr>
              <w:pStyle w:val="TableColumnHeading"/>
              <w:jc w:val="right"/>
            </w:pPr>
            <w:r>
              <w:t>Project Value ex GST ($bn)</w:t>
            </w:r>
          </w:p>
        </w:tc>
      </w:tr>
      <w:tr w:rsidR="006B33F1" w14:paraId="1F8557CB" w14:textId="77777777" w:rsidTr="00EF1645">
        <w:trPr>
          <w:cantSplit/>
        </w:trPr>
        <w:tc>
          <w:tcPr>
            <w:tcW w:w="3209" w:type="dxa"/>
          </w:tcPr>
          <w:p w14:paraId="7ED8AF34" w14:textId="2AC8A7B0" w:rsidR="006B33F1" w:rsidRPr="00E62210" w:rsidRDefault="006B33F1" w:rsidP="006B33F1">
            <w:pPr>
              <w:pStyle w:val="TableCopy"/>
              <w:rPr>
                <w:lang w:eastAsia="en-AU"/>
              </w:rPr>
            </w:pPr>
            <w:r w:rsidRPr="00E62210">
              <w:rPr>
                <w:lang w:eastAsia="en-AU"/>
              </w:rPr>
              <w:t>201</w:t>
            </w:r>
            <w:r>
              <w:rPr>
                <w:lang w:eastAsia="en-AU"/>
              </w:rPr>
              <w:t>4</w:t>
            </w:r>
            <w:r w:rsidRPr="00E62210">
              <w:rPr>
                <w:lang w:eastAsia="en-AU"/>
              </w:rPr>
              <w:t>-1</w:t>
            </w:r>
            <w:r>
              <w:rPr>
                <w:lang w:eastAsia="en-AU"/>
              </w:rPr>
              <w:t>5</w:t>
            </w:r>
            <w:r w:rsidRPr="00E62210">
              <w:rPr>
                <w:lang w:eastAsia="en-AU"/>
              </w:rPr>
              <w:t xml:space="preserve"> FY</w:t>
            </w:r>
          </w:p>
        </w:tc>
        <w:tc>
          <w:tcPr>
            <w:tcW w:w="3209" w:type="dxa"/>
          </w:tcPr>
          <w:p w14:paraId="59C65314" w14:textId="2512F0F1" w:rsidR="006B33F1" w:rsidRPr="00746FA5" w:rsidRDefault="000E5FD9" w:rsidP="006B33F1">
            <w:pPr>
              <w:pStyle w:val="TableCopy"/>
              <w:jc w:val="right"/>
            </w:pPr>
            <w:r>
              <w:t>5</w:t>
            </w:r>
          </w:p>
        </w:tc>
        <w:tc>
          <w:tcPr>
            <w:tcW w:w="3210" w:type="dxa"/>
          </w:tcPr>
          <w:p w14:paraId="286E0367" w14:textId="71303715" w:rsidR="006B33F1" w:rsidRPr="000513E3" w:rsidRDefault="000E5FD9" w:rsidP="006B33F1">
            <w:pPr>
              <w:pStyle w:val="TableCopy"/>
              <w:jc w:val="right"/>
            </w:pPr>
            <w:r>
              <w:t>7</w:t>
            </w:r>
          </w:p>
        </w:tc>
      </w:tr>
      <w:tr w:rsidR="006B33F1" w14:paraId="3A37993E" w14:textId="77777777" w:rsidTr="00EF1645">
        <w:trPr>
          <w:cantSplit/>
        </w:trPr>
        <w:tc>
          <w:tcPr>
            <w:tcW w:w="3209" w:type="dxa"/>
          </w:tcPr>
          <w:p w14:paraId="586B0718" w14:textId="77777777" w:rsidR="006B33F1" w:rsidRDefault="006B33F1" w:rsidP="006B33F1">
            <w:pPr>
              <w:pStyle w:val="TableCopy"/>
            </w:pPr>
            <w:r w:rsidRPr="00E62210">
              <w:rPr>
                <w:lang w:eastAsia="en-AU"/>
              </w:rPr>
              <w:t>2015-16 FY</w:t>
            </w:r>
          </w:p>
        </w:tc>
        <w:tc>
          <w:tcPr>
            <w:tcW w:w="3209" w:type="dxa"/>
          </w:tcPr>
          <w:p w14:paraId="1CFBF804" w14:textId="64597EA2" w:rsidR="006B33F1" w:rsidRDefault="000E5FD9" w:rsidP="006B33F1">
            <w:pPr>
              <w:pStyle w:val="TableCopy"/>
              <w:jc w:val="right"/>
            </w:pPr>
            <w:r>
              <w:t>19</w:t>
            </w:r>
          </w:p>
        </w:tc>
        <w:tc>
          <w:tcPr>
            <w:tcW w:w="3210" w:type="dxa"/>
          </w:tcPr>
          <w:p w14:paraId="09667232" w14:textId="5388D95F" w:rsidR="006B33F1" w:rsidRDefault="000E5FD9" w:rsidP="006B33F1">
            <w:pPr>
              <w:pStyle w:val="TableCopy"/>
              <w:jc w:val="right"/>
            </w:pPr>
            <w:r>
              <w:t>24</w:t>
            </w:r>
          </w:p>
        </w:tc>
      </w:tr>
      <w:tr w:rsidR="006B33F1" w14:paraId="59BE86C8" w14:textId="77777777" w:rsidTr="00EF1645">
        <w:trPr>
          <w:cantSplit/>
        </w:trPr>
        <w:tc>
          <w:tcPr>
            <w:tcW w:w="3209" w:type="dxa"/>
          </w:tcPr>
          <w:p w14:paraId="01FEB864" w14:textId="77777777" w:rsidR="006B33F1" w:rsidRDefault="006B33F1" w:rsidP="006B33F1">
            <w:pPr>
              <w:pStyle w:val="TableCopy"/>
            </w:pPr>
            <w:r w:rsidRPr="00E62210">
              <w:rPr>
                <w:lang w:eastAsia="en-AU"/>
              </w:rPr>
              <w:t>2016-17 FY</w:t>
            </w:r>
          </w:p>
        </w:tc>
        <w:tc>
          <w:tcPr>
            <w:tcW w:w="3209" w:type="dxa"/>
          </w:tcPr>
          <w:p w14:paraId="23F49824" w14:textId="5A1AF58C" w:rsidR="006B33F1" w:rsidRDefault="000E5FD9" w:rsidP="006B33F1">
            <w:pPr>
              <w:pStyle w:val="TableCopy"/>
              <w:jc w:val="right"/>
            </w:pPr>
            <w:r>
              <w:t>31</w:t>
            </w:r>
          </w:p>
        </w:tc>
        <w:tc>
          <w:tcPr>
            <w:tcW w:w="3210" w:type="dxa"/>
          </w:tcPr>
          <w:p w14:paraId="797D5F50" w14:textId="4407FF0F" w:rsidR="006B33F1" w:rsidRDefault="000E5FD9" w:rsidP="006B33F1">
            <w:pPr>
              <w:pStyle w:val="TableCopy"/>
              <w:jc w:val="right"/>
            </w:pPr>
            <w:r>
              <w:t>6</w:t>
            </w:r>
          </w:p>
        </w:tc>
      </w:tr>
      <w:tr w:rsidR="006B33F1" w14:paraId="5C3DF389" w14:textId="77777777" w:rsidTr="00EF1645">
        <w:trPr>
          <w:cantSplit/>
        </w:trPr>
        <w:tc>
          <w:tcPr>
            <w:tcW w:w="3209" w:type="dxa"/>
          </w:tcPr>
          <w:p w14:paraId="7D459745" w14:textId="77777777" w:rsidR="006B33F1" w:rsidRDefault="006B33F1" w:rsidP="006B33F1">
            <w:pPr>
              <w:pStyle w:val="TableCopy"/>
            </w:pPr>
            <w:r w:rsidRPr="00E62210">
              <w:rPr>
                <w:lang w:eastAsia="en-AU"/>
              </w:rPr>
              <w:t>2017-18 FY</w:t>
            </w:r>
          </w:p>
        </w:tc>
        <w:tc>
          <w:tcPr>
            <w:tcW w:w="3209" w:type="dxa"/>
          </w:tcPr>
          <w:p w14:paraId="71C9327E" w14:textId="6EF1CECE" w:rsidR="006B33F1" w:rsidRDefault="000E5FD9" w:rsidP="006B33F1">
            <w:pPr>
              <w:pStyle w:val="TableCopy"/>
              <w:jc w:val="right"/>
            </w:pPr>
            <w:r>
              <w:t>37</w:t>
            </w:r>
          </w:p>
        </w:tc>
        <w:tc>
          <w:tcPr>
            <w:tcW w:w="3210" w:type="dxa"/>
          </w:tcPr>
          <w:p w14:paraId="4EA2F280" w14:textId="3D4A91C8" w:rsidR="006B33F1" w:rsidRDefault="000E5FD9" w:rsidP="006B33F1">
            <w:pPr>
              <w:pStyle w:val="TableCopy"/>
              <w:jc w:val="right"/>
            </w:pPr>
            <w:r>
              <w:t>19</w:t>
            </w:r>
          </w:p>
        </w:tc>
      </w:tr>
      <w:tr w:rsidR="006B33F1" w14:paraId="63D59EA1" w14:textId="77777777" w:rsidTr="00EF1645">
        <w:trPr>
          <w:cantSplit/>
        </w:trPr>
        <w:tc>
          <w:tcPr>
            <w:tcW w:w="3209" w:type="dxa"/>
          </w:tcPr>
          <w:p w14:paraId="4FB4C335" w14:textId="77777777" w:rsidR="006B33F1" w:rsidRDefault="006B33F1" w:rsidP="006B33F1">
            <w:pPr>
              <w:pStyle w:val="TableCopy"/>
            </w:pPr>
            <w:r w:rsidRPr="00E62210">
              <w:rPr>
                <w:lang w:eastAsia="en-AU"/>
              </w:rPr>
              <w:t>2018-19 FY</w:t>
            </w:r>
          </w:p>
        </w:tc>
        <w:tc>
          <w:tcPr>
            <w:tcW w:w="3209" w:type="dxa"/>
          </w:tcPr>
          <w:p w14:paraId="64B1AC6E" w14:textId="4FE3B423" w:rsidR="006B33F1" w:rsidRDefault="000E5FD9" w:rsidP="006B33F1">
            <w:pPr>
              <w:pStyle w:val="TableCopy"/>
              <w:jc w:val="right"/>
            </w:pPr>
            <w:r>
              <w:t>32</w:t>
            </w:r>
          </w:p>
        </w:tc>
        <w:tc>
          <w:tcPr>
            <w:tcW w:w="3210" w:type="dxa"/>
          </w:tcPr>
          <w:p w14:paraId="0F30F28C" w14:textId="70C789AF" w:rsidR="006B33F1" w:rsidRDefault="000E5FD9" w:rsidP="006B33F1">
            <w:pPr>
              <w:pStyle w:val="TableCopy"/>
              <w:jc w:val="right"/>
            </w:pPr>
            <w:r>
              <w:t>6</w:t>
            </w:r>
          </w:p>
        </w:tc>
      </w:tr>
      <w:tr w:rsidR="006B33F1" w14:paraId="0486F1E9" w14:textId="77777777" w:rsidTr="00EF1645">
        <w:trPr>
          <w:cantSplit/>
        </w:trPr>
        <w:tc>
          <w:tcPr>
            <w:tcW w:w="3209" w:type="dxa"/>
          </w:tcPr>
          <w:p w14:paraId="1533620E" w14:textId="77777777" w:rsidR="006B33F1" w:rsidRDefault="006B33F1" w:rsidP="006B33F1">
            <w:pPr>
              <w:pStyle w:val="TableCopy"/>
            </w:pPr>
            <w:r w:rsidRPr="00E62210">
              <w:rPr>
                <w:lang w:eastAsia="en-AU"/>
              </w:rPr>
              <w:t>2019-20 FY</w:t>
            </w:r>
          </w:p>
        </w:tc>
        <w:tc>
          <w:tcPr>
            <w:tcW w:w="3209" w:type="dxa"/>
          </w:tcPr>
          <w:p w14:paraId="6F456536" w14:textId="407E55F1" w:rsidR="006B33F1" w:rsidRDefault="000E5FD9" w:rsidP="006B33F1">
            <w:pPr>
              <w:pStyle w:val="TableCopy"/>
              <w:jc w:val="right"/>
            </w:pPr>
            <w:r>
              <w:t>33</w:t>
            </w:r>
          </w:p>
        </w:tc>
        <w:tc>
          <w:tcPr>
            <w:tcW w:w="3210" w:type="dxa"/>
          </w:tcPr>
          <w:p w14:paraId="5448B650" w14:textId="5F342417" w:rsidR="006B33F1" w:rsidRDefault="000E5FD9" w:rsidP="006B33F1">
            <w:pPr>
              <w:pStyle w:val="TableCopy"/>
              <w:jc w:val="right"/>
            </w:pPr>
            <w:r>
              <w:t>22</w:t>
            </w:r>
          </w:p>
        </w:tc>
      </w:tr>
      <w:tr w:rsidR="006B33F1" w14:paraId="4E498987" w14:textId="77777777" w:rsidTr="00EF1645">
        <w:trPr>
          <w:cantSplit/>
        </w:trPr>
        <w:tc>
          <w:tcPr>
            <w:tcW w:w="3209" w:type="dxa"/>
          </w:tcPr>
          <w:p w14:paraId="47FB18C3" w14:textId="77777777" w:rsidR="006B33F1" w:rsidRDefault="006B33F1" w:rsidP="006B33F1">
            <w:pPr>
              <w:pStyle w:val="TableCopy"/>
            </w:pPr>
            <w:r w:rsidRPr="00E62210">
              <w:rPr>
                <w:lang w:eastAsia="en-AU"/>
              </w:rPr>
              <w:t>2020-21 FY</w:t>
            </w:r>
          </w:p>
        </w:tc>
        <w:tc>
          <w:tcPr>
            <w:tcW w:w="3209" w:type="dxa"/>
          </w:tcPr>
          <w:p w14:paraId="06F1D59F" w14:textId="12A11017" w:rsidR="006B33F1" w:rsidRDefault="000E5FD9" w:rsidP="006B33F1">
            <w:pPr>
              <w:pStyle w:val="TableCopy"/>
              <w:jc w:val="right"/>
            </w:pPr>
            <w:r>
              <w:t>40</w:t>
            </w:r>
          </w:p>
        </w:tc>
        <w:tc>
          <w:tcPr>
            <w:tcW w:w="3210" w:type="dxa"/>
          </w:tcPr>
          <w:p w14:paraId="069CF401" w14:textId="771C80B4" w:rsidR="006B33F1" w:rsidRDefault="000E5FD9" w:rsidP="006B33F1">
            <w:pPr>
              <w:pStyle w:val="TableCopy"/>
              <w:jc w:val="right"/>
            </w:pPr>
            <w:r>
              <w:t>12</w:t>
            </w:r>
          </w:p>
        </w:tc>
      </w:tr>
      <w:tr w:rsidR="006B33F1" w14:paraId="745BA9A8" w14:textId="77777777" w:rsidTr="00EF1645">
        <w:trPr>
          <w:cantSplit/>
        </w:trPr>
        <w:tc>
          <w:tcPr>
            <w:tcW w:w="3209" w:type="dxa"/>
          </w:tcPr>
          <w:p w14:paraId="762DDE99" w14:textId="77777777" w:rsidR="006B33F1" w:rsidRPr="00E62210" w:rsidRDefault="006B33F1" w:rsidP="006B33F1">
            <w:pPr>
              <w:pStyle w:val="TableCopy"/>
              <w:rPr>
                <w:lang w:eastAsia="en-AU"/>
              </w:rPr>
            </w:pPr>
            <w:r w:rsidRPr="00E62210">
              <w:rPr>
                <w:lang w:eastAsia="en-AU"/>
              </w:rPr>
              <w:t>2021-22 FY</w:t>
            </w:r>
          </w:p>
        </w:tc>
        <w:tc>
          <w:tcPr>
            <w:tcW w:w="3209" w:type="dxa"/>
          </w:tcPr>
          <w:p w14:paraId="58C19CA0" w14:textId="50EA25BD" w:rsidR="006B33F1" w:rsidRDefault="000E5FD9" w:rsidP="006B33F1">
            <w:pPr>
              <w:pStyle w:val="TableCopy"/>
              <w:jc w:val="right"/>
            </w:pPr>
            <w:r>
              <w:t>55</w:t>
            </w:r>
          </w:p>
        </w:tc>
        <w:tc>
          <w:tcPr>
            <w:tcW w:w="3210" w:type="dxa"/>
          </w:tcPr>
          <w:p w14:paraId="16A28882" w14:textId="742CB43E" w:rsidR="006B33F1" w:rsidRDefault="000E5FD9" w:rsidP="006B33F1">
            <w:pPr>
              <w:pStyle w:val="TableCopy"/>
              <w:jc w:val="right"/>
            </w:pPr>
            <w:r>
              <w:t>21</w:t>
            </w:r>
          </w:p>
        </w:tc>
      </w:tr>
      <w:tr w:rsidR="006B33F1" w14:paraId="047AE5C6" w14:textId="77777777" w:rsidTr="00EF1645">
        <w:trPr>
          <w:cantSplit/>
        </w:trPr>
        <w:tc>
          <w:tcPr>
            <w:tcW w:w="3209" w:type="dxa"/>
          </w:tcPr>
          <w:p w14:paraId="7B888857" w14:textId="77777777" w:rsidR="006B33F1" w:rsidRPr="00E62210" w:rsidRDefault="006B33F1" w:rsidP="006B33F1">
            <w:pPr>
              <w:pStyle w:val="TableCopy"/>
              <w:rPr>
                <w:lang w:eastAsia="en-AU"/>
              </w:rPr>
            </w:pPr>
            <w:r w:rsidRPr="00E62210">
              <w:rPr>
                <w:lang w:eastAsia="en-AU"/>
              </w:rPr>
              <w:t>2022-23 FY</w:t>
            </w:r>
          </w:p>
        </w:tc>
        <w:tc>
          <w:tcPr>
            <w:tcW w:w="3209" w:type="dxa"/>
          </w:tcPr>
          <w:p w14:paraId="3FE36A9D" w14:textId="149456E2" w:rsidR="006B33F1" w:rsidRDefault="000E5FD9" w:rsidP="006B33F1">
            <w:pPr>
              <w:pStyle w:val="TableCopy"/>
              <w:jc w:val="right"/>
            </w:pPr>
            <w:r>
              <w:t>48</w:t>
            </w:r>
          </w:p>
        </w:tc>
        <w:tc>
          <w:tcPr>
            <w:tcW w:w="3210" w:type="dxa"/>
          </w:tcPr>
          <w:p w14:paraId="127DF05D" w14:textId="450A0997" w:rsidR="006B33F1" w:rsidRDefault="000E5FD9" w:rsidP="006B33F1">
            <w:pPr>
              <w:pStyle w:val="TableCopy"/>
              <w:jc w:val="right"/>
            </w:pPr>
            <w:r>
              <w:t>26</w:t>
            </w:r>
          </w:p>
        </w:tc>
      </w:tr>
      <w:tr w:rsidR="006B33F1" w14:paraId="6AAA8989" w14:textId="77777777" w:rsidTr="00EF1645">
        <w:trPr>
          <w:cantSplit/>
        </w:trPr>
        <w:tc>
          <w:tcPr>
            <w:tcW w:w="3209" w:type="dxa"/>
          </w:tcPr>
          <w:p w14:paraId="79CD8311" w14:textId="77777777" w:rsidR="006B33F1" w:rsidRPr="00E62210" w:rsidRDefault="006B33F1" w:rsidP="006B33F1">
            <w:pPr>
              <w:pStyle w:val="TableCopy"/>
              <w:rPr>
                <w:lang w:eastAsia="en-AU"/>
              </w:rPr>
            </w:pPr>
            <w:r w:rsidRPr="00E62210">
              <w:rPr>
                <w:lang w:eastAsia="en-AU"/>
              </w:rPr>
              <w:t>202</w:t>
            </w:r>
            <w:r>
              <w:rPr>
                <w:lang w:eastAsia="en-AU"/>
              </w:rPr>
              <w:t>3</w:t>
            </w:r>
            <w:r w:rsidRPr="00E62210">
              <w:rPr>
                <w:lang w:eastAsia="en-AU"/>
              </w:rPr>
              <w:t>-2</w:t>
            </w:r>
            <w:r>
              <w:rPr>
                <w:lang w:eastAsia="en-AU"/>
              </w:rPr>
              <w:t>4</w:t>
            </w:r>
            <w:r w:rsidRPr="00E62210">
              <w:rPr>
                <w:lang w:eastAsia="en-AU"/>
              </w:rPr>
              <w:t xml:space="preserve"> FY</w:t>
            </w:r>
          </w:p>
        </w:tc>
        <w:tc>
          <w:tcPr>
            <w:tcW w:w="3209" w:type="dxa"/>
          </w:tcPr>
          <w:p w14:paraId="5C2A0E79" w14:textId="3CB1199C" w:rsidR="006B33F1" w:rsidRPr="00746FA5" w:rsidRDefault="000E5FD9" w:rsidP="006B33F1">
            <w:pPr>
              <w:pStyle w:val="TableCopy"/>
              <w:jc w:val="right"/>
            </w:pPr>
            <w:r>
              <w:t>49</w:t>
            </w:r>
          </w:p>
        </w:tc>
        <w:tc>
          <w:tcPr>
            <w:tcW w:w="3210" w:type="dxa"/>
          </w:tcPr>
          <w:p w14:paraId="547A15FE" w14:textId="44ACDCBB" w:rsidR="006B33F1" w:rsidRPr="000513E3" w:rsidRDefault="000E5FD9" w:rsidP="006B33F1">
            <w:pPr>
              <w:pStyle w:val="TableCopy"/>
              <w:jc w:val="right"/>
            </w:pPr>
            <w:r>
              <w:t>30.5</w:t>
            </w:r>
          </w:p>
        </w:tc>
      </w:tr>
    </w:tbl>
    <w:p w14:paraId="0C2A218A" w14:textId="77777777" w:rsidR="00610226" w:rsidRPr="00610226" w:rsidRDefault="00610226" w:rsidP="00610226"/>
    <w:p w14:paraId="14C64967" w14:textId="5F3FF9EE" w:rsidR="00DE035F" w:rsidRDefault="00DE035F" w:rsidP="00DE035F">
      <w:pPr>
        <w:keepNext/>
        <w:keepLines/>
        <w:autoSpaceDE w:val="0"/>
        <w:autoSpaceDN w:val="0"/>
        <w:adjustRightInd w:val="0"/>
        <w:spacing w:before="227" w:after="113" w:line="288" w:lineRule="auto"/>
        <w:textAlignment w:val="center"/>
        <w:rPr>
          <w:rFonts w:asciiTheme="minorHAnsi" w:eastAsiaTheme="minorEastAsia" w:hAnsiTheme="minorHAnsi" w:cstheme="minorHAnsi"/>
          <w:b/>
          <w:bCs/>
          <w:color w:val="000000"/>
          <w:szCs w:val="24"/>
          <w:lang w:val="en-GB" w:eastAsia="en-AU"/>
        </w:rPr>
      </w:pPr>
      <w:r w:rsidRPr="00DE035F">
        <w:rPr>
          <w:rFonts w:asciiTheme="minorHAnsi" w:eastAsiaTheme="minorEastAsia" w:hAnsiTheme="minorHAnsi" w:cstheme="minorHAnsi"/>
          <w:b/>
          <w:bCs/>
          <w:color w:val="000000"/>
          <w:szCs w:val="24"/>
          <w:lang w:val="en-GB" w:eastAsia="en-AU"/>
        </w:rPr>
        <w:lastRenderedPageBreak/>
        <w:t>Breakdown of Metro, Regional and Statewide Projects over 202</w:t>
      </w:r>
      <w:r w:rsidR="000E5FD9">
        <w:rPr>
          <w:rFonts w:asciiTheme="minorHAnsi" w:eastAsiaTheme="minorEastAsia" w:hAnsiTheme="minorHAnsi" w:cstheme="minorHAnsi"/>
          <w:b/>
          <w:bCs/>
          <w:color w:val="000000"/>
          <w:szCs w:val="24"/>
          <w:lang w:val="en-GB" w:eastAsia="en-AU"/>
        </w:rPr>
        <w:t>3</w:t>
      </w:r>
      <w:r w:rsidRPr="00DE035F">
        <w:rPr>
          <w:rFonts w:ascii="Cambria Math" w:eastAsiaTheme="minorEastAsia" w:hAnsi="Cambria Math" w:cs="Cambria Math"/>
          <w:b/>
          <w:bCs/>
          <w:color w:val="000000"/>
          <w:szCs w:val="24"/>
          <w:lang w:val="en-GB" w:eastAsia="en-AU"/>
        </w:rPr>
        <w:t>‑</w:t>
      </w:r>
      <w:r w:rsidRPr="00DE035F">
        <w:rPr>
          <w:rFonts w:asciiTheme="minorHAnsi" w:eastAsiaTheme="minorEastAsia" w:hAnsiTheme="minorHAnsi" w:cstheme="minorHAnsi"/>
          <w:b/>
          <w:bCs/>
          <w:color w:val="000000"/>
          <w:szCs w:val="24"/>
          <w:lang w:val="en-GB" w:eastAsia="en-AU"/>
        </w:rPr>
        <w:t>2</w:t>
      </w:r>
      <w:r w:rsidR="000E5FD9">
        <w:rPr>
          <w:rFonts w:asciiTheme="minorHAnsi" w:eastAsiaTheme="minorEastAsia" w:hAnsiTheme="minorHAnsi" w:cstheme="minorHAnsi"/>
          <w:b/>
          <w:bCs/>
          <w:color w:val="000000"/>
          <w:szCs w:val="24"/>
          <w:lang w:val="en-GB" w:eastAsia="en-AU"/>
        </w:rPr>
        <w:t>4</w:t>
      </w:r>
    </w:p>
    <w:p w14:paraId="63C34491" w14:textId="542C1CB8" w:rsidR="00DE035F" w:rsidRPr="00DE035F" w:rsidRDefault="00DE035F" w:rsidP="00DE035F">
      <w:pPr>
        <w:pStyle w:val="Normalbeforebullets"/>
        <w:rPr>
          <w:b/>
          <w:bCs/>
          <w:lang w:val="en-GB" w:eastAsia="en-AU"/>
        </w:rPr>
      </w:pPr>
      <w:r w:rsidRPr="00DE035F">
        <w:rPr>
          <w:b/>
          <w:bCs/>
          <w:lang w:val="en-GB" w:eastAsia="en-AU"/>
        </w:rPr>
        <w:t>Metro Melbourne</w:t>
      </w:r>
    </w:p>
    <w:p w14:paraId="3B5691CA" w14:textId="3459DD69" w:rsidR="00DE035F" w:rsidRDefault="00DE035F" w:rsidP="00165EB2">
      <w:pPr>
        <w:pStyle w:val="Bullet"/>
        <w:rPr>
          <w:lang w:val="en-GB" w:eastAsia="en-AU"/>
        </w:rPr>
      </w:pPr>
      <w:r w:rsidRPr="00DE035F">
        <w:rPr>
          <w:lang w:val="en-GB" w:eastAsia="en-AU"/>
        </w:rPr>
        <w:t>1</w:t>
      </w:r>
      <w:r w:rsidR="000E5FD9">
        <w:rPr>
          <w:lang w:val="en-GB" w:eastAsia="en-AU"/>
        </w:rPr>
        <w:t>33</w:t>
      </w:r>
      <w:r>
        <w:rPr>
          <w:lang w:val="en-GB" w:eastAsia="en-AU"/>
        </w:rPr>
        <w:t xml:space="preserve"> </w:t>
      </w:r>
      <w:r w:rsidRPr="00DE035F">
        <w:rPr>
          <w:lang w:val="en-GB" w:eastAsia="en-AU"/>
        </w:rPr>
        <w:t>Commenced projects</w:t>
      </w:r>
    </w:p>
    <w:p w14:paraId="73C7B9E6" w14:textId="7E607BE2" w:rsidR="00DE035F" w:rsidRDefault="00DE035F" w:rsidP="00165EB2">
      <w:pPr>
        <w:pStyle w:val="Bullet2"/>
        <w:rPr>
          <w:lang w:val="en-GB" w:eastAsia="en-AU"/>
        </w:rPr>
      </w:pPr>
      <w:r w:rsidRPr="00DE035F">
        <w:rPr>
          <w:lang w:val="en-GB" w:eastAsia="en-AU"/>
        </w:rPr>
        <w:t>1</w:t>
      </w:r>
      <w:r w:rsidR="000E5FD9">
        <w:rPr>
          <w:lang w:val="en-GB" w:eastAsia="en-AU"/>
        </w:rPr>
        <w:t>15</w:t>
      </w:r>
      <w:r>
        <w:rPr>
          <w:lang w:val="en-GB" w:eastAsia="en-AU"/>
        </w:rPr>
        <w:t xml:space="preserve"> </w:t>
      </w:r>
      <w:r w:rsidRPr="00DE035F">
        <w:rPr>
          <w:lang w:val="en-GB" w:eastAsia="en-AU"/>
        </w:rPr>
        <w:t>Standard projects</w:t>
      </w:r>
    </w:p>
    <w:p w14:paraId="4BC2CF32" w14:textId="7ADD8B95" w:rsidR="00DE035F" w:rsidRDefault="000E5FD9" w:rsidP="00165EB2">
      <w:pPr>
        <w:pStyle w:val="Bullet2"/>
        <w:rPr>
          <w:lang w:val="en-GB" w:eastAsia="en-AU"/>
        </w:rPr>
      </w:pPr>
      <w:r>
        <w:rPr>
          <w:lang w:val="en-GB" w:eastAsia="en-AU"/>
        </w:rPr>
        <w:t>18</w:t>
      </w:r>
      <w:r w:rsidR="00DE035F">
        <w:rPr>
          <w:lang w:val="en-GB" w:eastAsia="en-AU"/>
        </w:rPr>
        <w:t xml:space="preserve"> </w:t>
      </w:r>
      <w:r w:rsidR="00DE035F" w:rsidRPr="00DE035F">
        <w:rPr>
          <w:lang w:val="en-GB" w:eastAsia="en-AU"/>
        </w:rPr>
        <w:t>Strategic projects</w:t>
      </w:r>
    </w:p>
    <w:p w14:paraId="23B81A83" w14:textId="22174CF0" w:rsidR="00DE035F" w:rsidRDefault="00DE035F" w:rsidP="00DE035F">
      <w:pPr>
        <w:pStyle w:val="Bullet"/>
        <w:rPr>
          <w:lang w:val="en-GB" w:eastAsia="en-AU"/>
        </w:rPr>
      </w:pPr>
      <w:r w:rsidRPr="00DE035F">
        <w:rPr>
          <w:lang w:val="en-GB" w:eastAsia="en-AU"/>
        </w:rPr>
        <w:t>Worth $</w:t>
      </w:r>
      <w:r w:rsidR="000E5FD9">
        <w:rPr>
          <w:lang w:val="en-GB" w:eastAsia="en-AU"/>
        </w:rPr>
        <w:t>9.1</w:t>
      </w:r>
      <w:r w:rsidRPr="00DE035F">
        <w:rPr>
          <w:lang w:val="en-GB" w:eastAsia="en-AU"/>
        </w:rPr>
        <w:t xml:space="preserve"> billion</w:t>
      </w:r>
    </w:p>
    <w:p w14:paraId="3BA55100" w14:textId="31296855" w:rsidR="00DE035F" w:rsidRPr="00DE035F" w:rsidRDefault="000E5FD9" w:rsidP="00DE035F">
      <w:pPr>
        <w:pStyle w:val="Bullet"/>
        <w:rPr>
          <w:lang w:val="en-GB" w:eastAsia="en-AU"/>
        </w:rPr>
      </w:pPr>
      <w:r>
        <w:rPr>
          <w:lang w:val="en-GB" w:eastAsia="en-AU"/>
        </w:rPr>
        <w:t>6,693</w:t>
      </w:r>
      <w:r w:rsidR="00DE035F">
        <w:rPr>
          <w:lang w:val="en-GB" w:eastAsia="en-AU"/>
        </w:rPr>
        <w:t xml:space="preserve"> </w:t>
      </w:r>
      <w:r w:rsidR="00DE035F" w:rsidRPr="00DE035F">
        <w:rPr>
          <w:lang w:val="en-GB" w:eastAsia="en-AU"/>
        </w:rPr>
        <w:t>Jobs committed</w:t>
      </w:r>
    </w:p>
    <w:p w14:paraId="50214929" w14:textId="1AC1037E" w:rsidR="00DE035F" w:rsidRPr="00DE035F" w:rsidRDefault="000E5FD9" w:rsidP="00DE035F">
      <w:pPr>
        <w:pStyle w:val="Bullet"/>
        <w:rPr>
          <w:lang w:val="en-GB" w:eastAsia="en-AU"/>
        </w:rPr>
      </w:pPr>
      <w:r>
        <w:rPr>
          <w:lang w:val="en-GB" w:eastAsia="en-AU"/>
        </w:rPr>
        <w:t>5,002</w:t>
      </w:r>
      <w:r w:rsidR="00DE035F">
        <w:rPr>
          <w:lang w:val="en-GB" w:eastAsia="en-AU"/>
        </w:rPr>
        <w:t xml:space="preserve"> </w:t>
      </w:r>
      <w:r w:rsidR="00DE035F" w:rsidRPr="00DE035F">
        <w:rPr>
          <w:lang w:val="en-GB" w:eastAsia="en-AU"/>
        </w:rPr>
        <w:t>opportunities for SMEs</w:t>
      </w:r>
    </w:p>
    <w:p w14:paraId="4F0D0F1B" w14:textId="052D387C" w:rsidR="00DE035F" w:rsidRDefault="000E5FD9" w:rsidP="00DE035F">
      <w:pPr>
        <w:pStyle w:val="Bullet"/>
        <w:rPr>
          <w:lang w:val="en-GB" w:eastAsia="en-AU"/>
        </w:rPr>
      </w:pPr>
      <w:r>
        <w:rPr>
          <w:lang w:val="en-GB" w:eastAsia="en-AU"/>
        </w:rPr>
        <w:t>61</w:t>
      </w:r>
      <w:r w:rsidR="00DE035F" w:rsidRPr="00DE035F">
        <w:rPr>
          <w:lang w:val="en-GB" w:eastAsia="en-AU"/>
        </w:rPr>
        <w:t>%</w:t>
      </w:r>
      <w:r w:rsidR="00DE035F">
        <w:rPr>
          <w:lang w:val="en-GB" w:eastAsia="en-AU"/>
        </w:rPr>
        <w:t xml:space="preserve"> </w:t>
      </w:r>
      <w:r w:rsidR="00DE035F" w:rsidRPr="00DE035F">
        <w:rPr>
          <w:lang w:val="en-GB" w:eastAsia="en-AU"/>
        </w:rPr>
        <w:t>average local content*</w:t>
      </w:r>
    </w:p>
    <w:p w14:paraId="44AD491E" w14:textId="544C2EC2" w:rsidR="00DE035F" w:rsidRDefault="00165EB2" w:rsidP="00DE035F">
      <w:pPr>
        <w:pStyle w:val="Bullet"/>
        <w:rPr>
          <w:lang w:val="en-GB" w:eastAsia="en-AU"/>
        </w:rPr>
      </w:pPr>
      <w:r w:rsidRPr="00165EB2">
        <w:rPr>
          <w:lang w:val="en-GB" w:eastAsia="en-AU"/>
        </w:rPr>
        <w:t>7</w:t>
      </w:r>
      <w:r w:rsidR="000E5FD9">
        <w:rPr>
          <w:lang w:val="en-GB" w:eastAsia="en-AU"/>
        </w:rPr>
        <w:t>1</w:t>
      </w:r>
      <w:r>
        <w:rPr>
          <w:lang w:val="en-GB" w:eastAsia="en-AU"/>
        </w:rPr>
        <w:t xml:space="preserve"> </w:t>
      </w:r>
      <w:r w:rsidRPr="00165EB2">
        <w:rPr>
          <w:lang w:val="en-GB" w:eastAsia="en-AU"/>
        </w:rPr>
        <w:t>Completed projects</w:t>
      </w:r>
    </w:p>
    <w:p w14:paraId="6F6F8BE2" w14:textId="71F6B109" w:rsidR="00165EB2" w:rsidRPr="00165EB2" w:rsidRDefault="00165EB2" w:rsidP="00165EB2">
      <w:pPr>
        <w:pStyle w:val="Bullet2"/>
        <w:rPr>
          <w:lang w:val="en-GB" w:eastAsia="en-AU"/>
        </w:rPr>
      </w:pPr>
      <w:r w:rsidRPr="00165EB2">
        <w:rPr>
          <w:lang w:val="en-GB" w:eastAsia="en-AU"/>
        </w:rPr>
        <w:t>6</w:t>
      </w:r>
      <w:r w:rsidR="000E5FD9">
        <w:rPr>
          <w:lang w:val="en-GB" w:eastAsia="en-AU"/>
        </w:rPr>
        <w:t>2</w:t>
      </w:r>
      <w:r>
        <w:rPr>
          <w:lang w:val="en-GB" w:eastAsia="en-AU"/>
        </w:rPr>
        <w:t xml:space="preserve"> </w:t>
      </w:r>
      <w:r w:rsidRPr="00165EB2">
        <w:rPr>
          <w:lang w:val="en-GB" w:eastAsia="en-AU"/>
        </w:rPr>
        <w:t>Standard projects</w:t>
      </w:r>
    </w:p>
    <w:p w14:paraId="2140A1D5" w14:textId="21DCD143" w:rsidR="00165EB2" w:rsidRDefault="00165EB2" w:rsidP="00165EB2">
      <w:pPr>
        <w:pStyle w:val="Bullet2"/>
        <w:rPr>
          <w:lang w:val="en-GB" w:eastAsia="en-AU"/>
        </w:rPr>
      </w:pPr>
      <w:r w:rsidRPr="00165EB2">
        <w:rPr>
          <w:lang w:val="en-GB" w:eastAsia="en-AU"/>
        </w:rPr>
        <w:t>9</w:t>
      </w:r>
      <w:r>
        <w:rPr>
          <w:lang w:val="en-GB" w:eastAsia="en-AU"/>
        </w:rPr>
        <w:t xml:space="preserve"> </w:t>
      </w:r>
      <w:r w:rsidRPr="00165EB2">
        <w:rPr>
          <w:lang w:val="en-GB" w:eastAsia="en-AU"/>
        </w:rPr>
        <w:t>Strategic projects</w:t>
      </w:r>
    </w:p>
    <w:p w14:paraId="3183FF74" w14:textId="52561346" w:rsidR="00165EB2" w:rsidRPr="00165EB2" w:rsidRDefault="00165EB2" w:rsidP="00165EB2">
      <w:pPr>
        <w:pStyle w:val="Bullet"/>
        <w:rPr>
          <w:lang w:val="en-GB" w:eastAsia="en-AU"/>
        </w:rPr>
      </w:pPr>
      <w:r w:rsidRPr="00165EB2">
        <w:rPr>
          <w:lang w:val="en-GB" w:eastAsia="en-AU"/>
        </w:rPr>
        <w:t>Worth $</w:t>
      </w:r>
      <w:r w:rsidR="000E5FD9">
        <w:rPr>
          <w:lang w:val="en-GB" w:eastAsia="en-AU"/>
        </w:rPr>
        <w:t>2.8</w:t>
      </w:r>
      <w:r w:rsidRPr="00165EB2">
        <w:rPr>
          <w:lang w:val="en-GB" w:eastAsia="en-AU"/>
        </w:rPr>
        <w:t xml:space="preserve"> billion</w:t>
      </w:r>
    </w:p>
    <w:p w14:paraId="2FEBD5FD" w14:textId="2501E4B8" w:rsidR="00165EB2" w:rsidRPr="00165EB2" w:rsidRDefault="00165EB2" w:rsidP="00165EB2">
      <w:pPr>
        <w:pStyle w:val="Bullet"/>
        <w:rPr>
          <w:lang w:val="en-GB" w:eastAsia="en-AU"/>
        </w:rPr>
      </w:pPr>
      <w:r w:rsidRPr="00165EB2">
        <w:rPr>
          <w:lang w:val="en-GB" w:eastAsia="en-AU"/>
        </w:rPr>
        <w:t>2,</w:t>
      </w:r>
      <w:r w:rsidR="000E5FD9">
        <w:rPr>
          <w:lang w:val="en-GB" w:eastAsia="en-AU"/>
        </w:rPr>
        <w:t>401</w:t>
      </w:r>
      <w:r>
        <w:rPr>
          <w:lang w:val="en-GB" w:eastAsia="en-AU"/>
        </w:rPr>
        <w:t xml:space="preserve"> </w:t>
      </w:r>
      <w:r w:rsidRPr="00165EB2">
        <w:rPr>
          <w:lang w:val="en-GB" w:eastAsia="en-AU"/>
        </w:rPr>
        <w:t>Jobs committed</w:t>
      </w:r>
    </w:p>
    <w:p w14:paraId="057D2461" w14:textId="7146FE0A" w:rsidR="00165EB2" w:rsidRPr="00165EB2" w:rsidRDefault="000E5FD9" w:rsidP="00165EB2">
      <w:pPr>
        <w:pStyle w:val="Bullet"/>
        <w:rPr>
          <w:lang w:val="en-GB" w:eastAsia="en-AU"/>
        </w:rPr>
      </w:pPr>
      <w:r>
        <w:rPr>
          <w:lang w:val="en-GB" w:eastAsia="en-AU"/>
        </w:rPr>
        <w:t>6</w:t>
      </w:r>
      <w:r w:rsidR="00165EB2" w:rsidRPr="00165EB2">
        <w:rPr>
          <w:lang w:val="en-GB" w:eastAsia="en-AU"/>
        </w:rPr>
        <w:t>,</w:t>
      </w:r>
      <w:r>
        <w:rPr>
          <w:lang w:val="en-GB" w:eastAsia="en-AU"/>
        </w:rPr>
        <w:t>435</w:t>
      </w:r>
      <w:r w:rsidR="00165EB2">
        <w:rPr>
          <w:lang w:val="en-GB" w:eastAsia="en-AU"/>
        </w:rPr>
        <w:t xml:space="preserve"> </w:t>
      </w:r>
      <w:r w:rsidR="00165EB2" w:rsidRPr="00165EB2">
        <w:rPr>
          <w:lang w:val="en-GB" w:eastAsia="en-AU"/>
        </w:rPr>
        <w:t>opportunities for SMEs</w:t>
      </w:r>
    </w:p>
    <w:p w14:paraId="2F54BEF9" w14:textId="1F0B31CD" w:rsidR="00165EB2" w:rsidRDefault="000E5FD9" w:rsidP="00165EB2">
      <w:pPr>
        <w:pStyle w:val="Bulletlast"/>
        <w:rPr>
          <w:lang w:val="en-GB" w:eastAsia="en-AU"/>
        </w:rPr>
      </w:pPr>
      <w:r>
        <w:rPr>
          <w:lang w:val="en-GB" w:eastAsia="en-AU"/>
        </w:rPr>
        <w:t>67</w:t>
      </w:r>
      <w:r w:rsidR="00165EB2" w:rsidRPr="00165EB2">
        <w:rPr>
          <w:lang w:val="en-GB" w:eastAsia="en-AU"/>
        </w:rPr>
        <w:t>%</w:t>
      </w:r>
      <w:r w:rsidR="00165EB2">
        <w:rPr>
          <w:lang w:val="en-GB" w:eastAsia="en-AU"/>
        </w:rPr>
        <w:t xml:space="preserve"> </w:t>
      </w:r>
      <w:r w:rsidR="00165EB2" w:rsidRPr="00165EB2">
        <w:rPr>
          <w:lang w:val="en-GB" w:eastAsia="en-AU"/>
        </w:rPr>
        <w:t>average local content</w:t>
      </w:r>
    </w:p>
    <w:p w14:paraId="43DC633F" w14:textId="4FC52A6D" w:rsidR="00165EB2" w:rsidRPr="00165EB2" w:rsidRDefault="00165EB2" w:rsidP="00165EB2">
      <w:pPr>
        <w:pStyle w:val="Normalbeforebullets"/>
        <w:rPr>
          <w:b/>
          <w:bCs/>
          <w:lang w:val="en-GB" w:eastAsia="en-AU"/>
        </w:rPr>
      </w:pPr>
      <w:r w:rsidRPr="00165EB2">
        <w:rPr>
          <w:b/>
          <w:bCs/>
          <w:lang w:val="en-GB" w:eastAsia="en-AU"/>
        </w:rPr>
        <w:t>Regional Victoria</w:t>
      </w:r>
    </w:p>
    <w:p w14:paraId="59F98956" w14:textId="21EF0666" w:rsidR="00165EB2" w:rsidRDefault="00165EB2" w:rsidP="00165EB2">
      <w:pPr>
        <w:pStyle w:val="Bullet"/>
        <w:rPr>
          <w:lang w:val="en-GB" w:eastAsia="en-AU"/>
        </w:rPr>
      </w:pPr>
      <w:r w:rsidRPr="00165EB2">
        <w:rPr>
          <w:lang w:val="en-GB" w:eastAsia="en-AU"/>
        </w:rPr>
        <w:t>13</w:t>
      </w:r>
      <w:r w:rsidR="00276789">
        <w:rPr>
          <w:lang w:val="en-GB" w:eastAsia="en-AU"/>
        </w:rPr>
        <w:t>8</w:t>
      </w:r>
      <w:r>
        <w:rPr>
          <w:lang w:val="en-GB" w:eastAsia="en-AU"/>
        </w:rPr>
        <w:t xml:space="preserve"> </w:t>
      </w:r>
      <w:r w:rsidRPr="00165EB2">
        <w:rPr>
          <w:lang w:val="en-GB" w:eastAsia="en-AU"/>
        </w:rPr>
        <w:t>Commenced projects</w:t>
      </w:r>
    </w:p>
    <w:p w14:paraId="0182BE00" w14:textId="1EF4E223" w:rsidR="00165EB2" w:rsidRPr="00165EB2" w:rsidRDefault="00165EB2" w:rsidP="00165EB2">
      <w:pPr>
        <w:pStyle w:val="Bullet2"/>
        <w:rPr>
          <w:lang w:val="en-GB" w:eastAsia="en-AU"/>
        </w:rPr>
      </w:pPr>
      <w:r w:rsidRPr="00165EB2">
        <w:rPr>
          <w:lang w:val="en-GB" w:eastAsia="en-AU"/>
        </w:rPr>
        <w:t>1</w:t>
      </w:r>
      <w:r w:rsidR="00276789">
        <w:rPr>
          <w:lang w:val="en-GB" w:eastAsia="en-AU"/>
        </w:rPr>
        <w:t>34</w:t>
      </w:r>
      <w:r>
        <w:rPr>
          <w:lang w:val="en-GB" w:eastAsia="en-AU"/>
        </w:rPr>
        <w:t xml:space="preserve"> </w:t>
      </w:r>
      <w:r w:rsidRPr="00165EB2">
        <w:rPr>
          <w:lang w:val="en-GB" w:eastAsia="en-AU"/>
        </w:rPr>
        <w:t>Standard projects</w:t>
      </w:r>
    </w:p>
    <w:p w14:paraId="75393D76" w14:textId="5405EA0E" w:rsidR="00165EB2" w:rsidRDefault="00276789" w:rsidP="00165EB2">
      <w:pPr>
        <w:pStyle w:val="Bullet2"/>
        <w:rPr>
          <w:lang w:val="en-GB" w:eastAsia="en-AU"/>
        </w:rPr>
      </w:pPr>
      <w:r>
        <w:rPr>
          <w:lang w:val="en-GB" w:eastAsia="en-AU"/>
        </w:rPr>
        <w:t>4</w:t>
      </w:r>
      <w:r w:rsidR="00165EB2">
        <w:rPr>
          <w:lang w:val="en-GB" w:eastAsia="en-AU"/>
        </w:rPr>
        <w:t xml:space="preserve"> </w:t>
      </w:r>
      <w:r w:rsidR="00165EB2" w:rsidRPr="00165EB2">
        <w:rPr>
          <w:lang w:val="en-GB" w:eastAsia="en-AU"/>
        </w:rPr>
        <w:t>Strategic projects</w:t>
      </w:r>
    </w:p>
    <w:p w14:paraId="381DBB52" w14:textId="055CB98A" w:rsidR="00165EB2" w:rsidRPr="00165EB2" w:rsidRDefault="00165EB2" w:rsidP="00165EB2">
      <w:pPr>
        <w:pStyle w:val="Bullet"/>
        <w:rPr>
          <w:lang w:val="en-GB" w:eastAsia="en-AU"/>
        </w:rPr>
      </w:pPr>
      <w:r w:rsidRPr="00165EB2">
        <w:rPr>
          <w:lang w:val="en-GB" w:eastAsia="en-AU"/>
        </w:rPr>
        <w:t>Worth $</w:t>
      </w:r>
      <w:r w:rsidR="00276789">
        <w:rPr>
          <w:lang w:val="en-GB" w:eastAsia="en-AU"/>
        </w:rPr>
        <w:t>1.2</w:t>
      </w:r>
      <w:r w:rsidRPr="00165EB2">
        <w:rPr>
          <w:lang w:val="en-GB" w:eastAsia="en-AU"/>
        </w:rPr>
        <w:t xml:space="preserve"> billion</w:t>
      </w:r>
    </w:p>
    <w:p w14:paraId="67A81C97" w14:textId="15BCF93B" w:rsidR="00165EB2" w:rsidRPr="00165EB2" w:rsidRDefault="00276789" w:rsidP="00165EB2">
      <w:pPr>
        <w:pStyle w:val="Bullet"/>
        <w:rPr>
          <w:lang w:val="en-GB" w:eastAsia="en-AU"/>
        </w:rPr>
      </w:pPr>
      <w:r>
        <w:rPr>
          <w:lang w:val="en-GB" w:eastAsia="en-AU"/>
        </w:rPr>
        <w:t>932</w:t>
      </w:r>
      <w:r w:rsidR="00165EB2">
        <w:rPr>
          <w:lang w:val="en-GB" w:eastAsia="en-AU"/>
        </w:rPr>
        <w:t xml:space="preserve"> </w:t>
      </w:r>
      <w:r w:rsidR="00165EB2" w:rsidRPr="00165EB2">
        <w:rPr>
          <w:lang w:val="en-GB" w:eastAsia="en-AU"/>
        </w:rPr>
        <w:t>Jobs committed</w:t>
      </w:r>
    </w:p>
    <w:p w14:paraId="375DCAF6" w14:textId="58B6953A" w:rsidR="00165EB2" w:rsidRPr="00165EB2" w:rsidRDefault="00276789" w:rsidP="00165EB2">
      <w:pPr>
        <w:pStyle w:val="Bullet"/>
        <w:rPr>
          <w:lang w:val="en-GB" w:eastAsia="en-AU"/>
        </w:rPr>
      </w:pPr>
      <w:r>
        <w:rPr>
          <w:lang w:val="en-GB" w:eastAsia="en-AU"/>
        </w:rPr>
        <w:t>4</w:t>
      </w:r>
      <w:r w:rsidR="00165EB2" w:rsidRPr="00165EB2">
        <w:rPr>
          <w:lang w:val="en-GB" w:eastAsia="en-AU"/>
        </w:rPr>
        <w:t>,</w:t>
      </w:r>
      <w:r>
        <w:rPr>
          <w:lang w:val="en-GB" w:eastAsia="en-AU"/>
        </w:rPr>
        <w:t>068</w:t>
      </w:r>
      <w:r w:rsidR="00165EB2">
        <w:rPr>
          <w:lang w:val="en-GB" w:eastAsia="en-AU"/>
        </w:rPr>
        <w:t xml:space="preserve"> </w:t>
      </w:r>
      <w:r w:rsidR="00165EB2" w:rsidRPr="00165EB2">
        <w:rPr>
          <w:lang w:val="en-GB" w:eastAsia="en-AU"/>
        </w:rPr>
        <w:t>opportunities for SMEs</w:t>
      </w:r>
    </w:p>
    <w:p w14:paraId="318C9440" w14:textId="45619E38" w:rsidR="00165EB2" w:rsidRDefault="00165EB2" w:rsidP="00165EB2">
      <w:pPr>
        <w:pStyle w:val="Bullet"/>
        <w:rPr>
          <w:lang w:val="en-GB" w:eastAsia="en-AU"/>
        </w:rPr>
      </w:pPr>
      <w:r w:rsidRPr="00165EB2">
        <w:rPr>
          <w:lang w:val="en-GB" w:eastAsia="en-AU"/>
        </w:rPr>
        <w:t>6</w:t>
      </w:r>
      <w:r w:rsidR="00276789">
        <w:rPr>
          <w:lang w:val="en-GB" w:eastAsia="en-AU"/>
        </w:rPr>
        <w:t>5</w:t>
      </w:r>
      <w:r w:rsidRPr="00165EB2">
        <w:rPr>
          <w:lang w:val="en-GB" w:eastAsia="en-AU"/>
        </w:rPr>
        <w:t>%</w:t>
      </w:r>
      <w:r>
        <w:rPr>
          <w:lang w:val="en-GB" w:eastAsia="en-AU"/>
        </w:rPr>
        <w:t xml:space="preserve"> </w:t>
      </w:r>
      <w:r w:rsidRPr="00165EB2">
        <w:rPr>
          <w:lang w:val="en-GB" w:eastAsia="en-AU"/>
        </w:rPr>
        <w:t>average local content*</w:t>
      </w:r>
    </w:p>
    <w:p w14:paraId="19363759" w14:textId="4F861AD6" w:rsidR="00165EB2" w:rsidRDefault="00276789" w:rsidP="00165EB2">
      <w:pPr>
        <w:pStyle w:val="Bullet"/>
        <w:rPr>
          <w:lang w:val="en-GB" w:eastAsia="en-AU"/>
        </w:rPr>
      </w:pPr>
      <w:r>
        <w:rPr>
          <w:lang w:val="en-GB" w:eastAsia="en-AU"/>
        </w:rPr>
        <w:t>97</w:t>
      </w:r>
      <w:r w:rsidR="00165EB2">
        <w:rPr>
          <w:lang w:val="en-GB" w:eastAsia="en-AU"/>
        </w:rPr>
        <w:t xml:space="preserve"> </w:t>
      </w:r>
      <w:r w:rsidR="00165EB2" w:rsidRPr="00165EB2">
        <w:rPr>
          <w:lang w:val="en-GB" w:eastAsia="en-AU"/>
        </w:rPr>
        <w:t>Completed projects</w:t>
      </w:r>
    </w:p>
    <w:p w14:paraId="1295B11C" w14:textId="64CB6D1F" w:rsidR="00165EB2" w:rsidRPr="00165EB2" w:rsidRDefault="00276789" w:rsidP="00165EB2">
      <w:pPr>
        <w:pStyle w:val="Bullet2"/>
        <w:rPr>
          <w:lang w:val="en-GB" w:eastAsia="en-AU"/>
        </w:rPr>
      </w:pPr>
      <w:r>
        <w:rPr>
          <w:lang w:val="en-GB" w:eastAsia="en-AU"/>
        </w:rPr>
        <w:t>92</w:t>
      </w:r>
      <w:r w:rsidR="00165EB2">
        <w:rPr>
          <w:lang w:val="en-GB" w:eastAsia="en-AU"/>
        </w:rPr>
        <w:t xml:space="preserve"> </w:t>
      </w:r>
      <w:r w:rsidR="00165EB2" w:rsidRPr="00165EB2">
        <w:rPr>
          <w:lang w:val="en-GB" w:eastAsia="en-AU"/>
        </w:rPr>
        <w:t>Standard projects</w:t>
      </w:r>
    </w:p>
    <w:p w14:paraId="13B83D5E" w14:textId="15B1E363" w:rsidR="00165EB2" w:rsidRPr="00165EB2" w:rsidRDefault="00276789" w:rsidP="00165EB2">
      <w:pPr>
        <w:pStyle w:val="Bullet2"/>
        <w:rPr>
          <w:lang w:val="en-GB" w:eastAsia="en-AU"/>
        </w:rPr>
      </w:pPr>
      <w:r>
        <w:rPr>
          <w:lang w:val="en-GB" w:eastAsia="en-AU"/>
        </w:rPr>
        <w:t>5</w:t>
      </w:r>
      <w:r w:rsidR="00165EB2">
        <w:rPr>
          <w:lang w:val="en-GB" w:eastAsia="en-AU"/>
        </w:rPr>
        <w:t xml:space="preserve"> </w:t>
      </w:r>
      <w:r w:rsidR="00165EB2" w:rsidRPr="00165EB2">
        <w:rPr>
          <w:lang w:val="en-GB" w:eastAsia="en-AU"/>
        </w:rPr>
        <w:t>Strategic projects</w:t>
      </w:r>
    </w:p>
    <w:p w14:paraId="1E16E97C" w14:textId="7C631BD6" w:rsidR="00165EB2" w:rsidRPr="00165EB2" w:rsidRDefault="00165EB2" w:rsidP="00165EB2">
      <w:pPr>
        <w:pStyle w:val="Bullet"/>
        <w:rPr>
          <w:lang w:val="en-GB" w:eastAsia="en-AU"/>
        </w:rPr>
      </w:pPr>
      <w:r w:rsidRPr="00165EB2">
        <w:rPr>
          <w:lang w:val="en-GB" w:eastAsia="en-AU"/>
        </w:rPr>
        <w:t xml:space="preserve">Worth </w:t>
      </w:r>
      <w:r w:rsidR="00276789" w:rsidRPr="00165EB2">
        <w:rPr>
          <w:lang w:val="en-GB" w:eastAsia="en-AU"/>
        </w:rPr>
        <w:t>$</w:t>
      </w:r>
      <w:r w:rsidR="00276789">
        <w:rPr>
          <w:lang w:val="en-GB" w:eastAsia="en-AU"/>
        </w:rPr>
        <w:t>1.2</w:t>
      </w:r>
      <w:r w:rsidR="00276789" w:rsidRPr="00165EB2">
        <w:rPr>
          <w:lang w:val="en-GB" w:eastAsia="en-AU"/>
        </w:rPr>
        <w:t xml:space="preserve"> billion</w:t>
      </w:r>
    </w:p>
    <w:p w14:paraId="70080592" w14:textId="47EB43E4" w:rsidR="00165EB2" w:rsidRPr="00165EB2" w:rsidRDefault="00165EB2" w:rsidP="00165EB2">
      <w:pPr>
        <w:pStyle w:val="Bullet"/>
        <w:rPr>
          <w:lang w:val="en-GB" w:eastAsia="en-AU"/>
        </w:rPr>
      </w:pPr>
      <w:r w:rsidRPr="00165EB2">
        <w:rPr>
          <w:lang w:val="en-GB" w:eastAsia="en-AU"/>
        </w:rPr>
        <w:t>1,</w:t>
      </w:r>
      <w:r w:rsidR="00276789">
        <w:rPr>
          <w:lang w:val="en-GB" w:eastAsia="en-AU"/>
        </w:rPr>
        <w:t>430</w:t>
      </w:r>
      <w:r>
        <w:rPr>
          <w:lang w:val="en-GB" w:eastAsia="en-AU"/>
        </w:rPr>
        <w:t xml:space="preserve"> </w:t>
      </w:r>
      <w:r w:rsidRPr="00165EB2">
        <w:rPr>
          <w:lang w:val="en-GB" w:eastAsia="en-AU"/>
        </w:rPr>
        <w:t>Jobs committed</w:t>
      </w:r>
    </w:p>
    <w:p w14:paraId="7ECAB5D6" w14:textId="2BA0DB1D" w:rsidR="00165EB2" w:rsidRPr="00165EB2" w:rsidRDefault="00276789" w:rsidP="00165EB2">
      <w:pPr>
        <w:pStyle w:val="Bullet"/>
        <w:rPr>
          <w:lang w:val="en-GB" w:eastAsia="en-AU"/>
        </w:rPr>
      </w:pPr>
      <w:r>
        <w:rPr>
          <w:lang w:val="en-GB" w:eastAsia="en-AU"/>
        </w:rPr>
        <w:t>5</w:t>
      </w:r>
      <w:r w:rsidR="00165EB2" w:rsidRPr="00165EB2">
        <w:rPr>
          <w:lang w:val="en-GB" w:eastAsia="en-AU"/>
        </w:rPr>
        <w:t>,</w:t>
      </w:r>
      <w:r>
        <w:rPr>
          <w:lang w:val="en-GB" w:eastAsia="en-AU"/>
        </w:rPr>
        <w:t>796</w:t>
      </w:r>
      <w:r w:rsidR="00165EB2">
        <w:rPr>
          <w:lang w:val="en-GB" w:eastAsia="en-AU"/>
        </w:rPr>
        <w:t xml:space="preserve"> </w:t>
      </w:r>
      <w:r w:rsidR="00165EB2" w:rsidRPr="00165EB2">
        <w:rPr>
          <w:lang w:val="en-GB" w:eastAsia="en-AU"/>
        </w:rPr>
        <w:t>opportunities for SMEs</w:t>
      </w:r>
    </w:p>
    <w:p w14:paraId="52334ABD" w14:textId="0799EEAB" w:rsidR="00165EB2" w:rsidRDefault="00276789" w:rsidP="00165EB2">
      <w:pPr>
        <w:pStyle w:val="Bulletlast"/>
        <w:rPr>
          <w:lang w:val="en-GB" w:eastAsia="en-AU"/>
        </w:rPr>
      </w:pPr>
      <w:r>
        <w:rPr>
          <w:lang w:val="en-GB" w:eastAsia="en-AU"/>
        </w:rPr>
        <w:lastRenderedPageBreak/>
        <w:t>69</w:t>
      </w:r>
      <w:r w:rsidR="00165EB2" w:rsidRPr="00165EB2">
        <w:rPr>
          <w:lang w:val="en-GB" w:eastAsia="en-AU"/>
        </w:rPr>
        <w:t>%</w:t>
      </w:r>
      <w:r w:rsidR="00165EB2">
        <w:rPr>
          <w:lang w:val="en-GB" w:eastAsia="en-AU"/>
        </w:rPr>
        <w:t xml:space="preserve"> </w:t>
      </w:r>
      <w:r w:rsidR="00165EB2" w:rsidRPr="00165EB2">
        <w:rPr>
          <w:lang w:val="en-GB" w:eastAsia="en-AU"/>
        </w:rPr>
        <w:t>average local content</w:t>
      </w:r>
    </w:p>
    <w:p w14:paraId="51EB6D19" w14:textId="52B4CB95" w:rsidR="00165EB2" w:rsidRPr="00165EB2" w:rsidRDefault="00165EB2" w:rsidP="00165EB2">
      <w:pPr>
        <w:pStyle w:val="Normalbeforebullets"/>
        <w:rPr>
          <w:b/>
          <w:bCs/>
          <w:lang w:val="en-GB" w:eastAsia="en-AU"/>
        </w:rPr>
      </w:pPr>
      <w:r w:rsidRPr="00165EB2">
        <w:rPr>
          <w:b/>
          <w:bCs/>
          <w:lang w:val="en-GB" w:eastAsia="en-AU"/>
        </w:rPr>
        <w:t>Statewide</w:t>
      </w:r>
    </w:p>
    <w:p w14:paraId="7654ABC5" w14:textId="05D8A113" w:rsidR="00165EB2" w:rsidRDefault="00276789" w:rsidP="00165EB2">
      <w:pPr>
        <w:pStyle w:val="Bullet"/>
        <w:rPr>
          <w:lang w:val="en-GB" w:eastAsia="en-AU"/>
        </w:rPr>
      </w:pPr>
      <w:r>
        <w:rPr>
          <w:lang w:val="en-GB" w:eastAsia="en-AU"/>
        </w:rPr>
        <w:t>63</w:t>
      </w:r>
      <w:r w:rsidR="00165EB2">
        <w:rPr>
          <w:lang w:val="en-GB" w:eastAsia="en-AU"/>
        </w:rPr>
        <w:t xml:space="preserve"> </w:t>
      </w:r>
      <w:r w:rsidR="00165EB2" w:rsidRPr="00165EB2">
        <w:rPr>
          <w:lang w:val="en-GB" w:eastAsia="en-AU"/>
        </w:rPr>
        <w:t>Commenced projects</w:t>
      </w:r>
    </w:p>
    <w:p w14:paraId="6A0DF272" w14:textId="65346C1F" w:rsidR="009107BD" w:rsidRPr="009107BD" w:rsidRDefault="00276789" w:rsidP="009107BD">
      <w:pPr>
        <w:pStyle w:val="Bullet2"/>
        <w:rPr>
          <w:lang w:val="en-GB" w:eastAsia="en-AU"/>
        </w:rPr>
      </w:pPr>
      <w:r>
        <w:rPr>
          <w:lang w:val="en-GB" w:eastAsia="en-AU"/>
        </w:rPr>
        <w:t>5</w:t>
      </w:r>
      <w:r w:rsidR="009107BD" w:rsidRPr="009107BD">
        <w:rPr>
          <w:lang w:val="en-GB" w:eastAsia="en-AU"/>
        </w:rPr>
        <w:t>1</w:t>
      </w:r>
      <w:r w:rsidR="009107BD">
        <w:rPr>
          <w:lang w:val="en-GB" w:eastAsia="en-AU"/>
        </w:rPr>
        <w:t xml:space="preserve"> </w:t>
      </w:r>
      <w:r w:rsidR="009107BD" w:rsidRPr="009107BD">
        <w:rPr>
          <w:lang w:val="en-GB" w:eastAsia="en-AU"/>
        </w:rPr>
        <w:t>Standard projects</w:t>
      </w:r>
    </w:p>
    <w:p w14:paraId="2F5276DB" w14:textId="4A582185" w:rsidR="00165EB2" w:rsidRDefault="009107BD" w:rsidP="009107BD">
      <w:pPr>
        <w:pStyle w:val="Bullet2"/>
        <w:rPr>
          <w:lang w:val="en-GB" w:eastAsia="en-AU"/>
        </w:rPr>
      </w:pPr>
      <w:r w:rsidRPr="009107BD">
        <w:rPr>
          <w:lang w:val="en-GB" w:eastAsia="en-AU"/>
        </w:rPr>
        <w:t>1</w:t>
      </w:r>
      <w:r w:rsidR="00276789">
        <w:rPr>
          <w:lang w:val="en-GB" w:eastAsia="en-AU"/>
        </w:rPr>
        <w:t>2</w:t>
      </w:r>
      <w:r>
        <w:rPr>
          <w:lang w:val="en-GB" w:eastAsia="en-AU"/>
        </w:rPr>
        <w:t xml:space="preserve"> </w:t>
      </w:r>
      <w:r w:rsidRPr="009107BD">
        <w:rPr>
          <w:lang w:val="en-GB" w:eastAsia="en-AU"/>
        </w:rPr>
        <w:t>Strategic projects</w:t>
      </w:r>
    </w:p>
    <w:p w14:paraId="4E998011" w14:textId="627C3A99" w:rsidR="009107BD" w:rsidRPr="009107BD" w:rsidRDefault="009107BD" w:rsidP="009107BD">
      <w:pPr>
        <w:pStyle w:val="Bullet"/>
        <w:rPr>
          <w:lang w:val="en-GB" w:eastAsia="en-AU"/>
        </w:rPr>
      </w:pPr>
      <w:r w:rsidRPr="009107BD">
        <w:rPr>
          <w:lang w:val="en-GB" w:eastAsia="en-AU"/>
        </w:rPr>
        <w:t>Worth $</w:t>
      </w:r>
      <w:r w:rsidR="00276789">
        <w:rPr>
          <w:lang w:val="en-GB" w:eastAsia="en-AU"/>
        </w:rPr>
        <w:t>3.6</w:t>
      </w:r>
      <w:r w:rsidRPr="009107BD">
        <w:rPr>
          <w:lang w:val="en-GB" w:eastAsia="en-AU"/>
        </w:rPr>
        <w:t xml:space="preserve"> billion</w:t>
      </w:r>
    </w:p>
    <w:p w14:paraId="71D2F18D" w14:textId="65BE2AE9" w:rsidR="009107BD" w:rsidRPr="009107BD" w:rsidRDefault="00276789" w:rsidP="009107BD">
      <w:pPr>
        <w:pStyle w:val="Bullet"/>
        <w:rPr>
          <w:lang w:val="en-GB" w:eastAsia="en-AU"/>
        </w:rPr>
      </w:pPr>
      <w:r>
        <w:rPr>
          <w:lang w:val="en-GB" w:eastAsia="en-AU"/>
        </w:rPr>
        <w:t>969</w:t>
      </w:r>
      <w:r w:rsidR="009107BD">
        <w:rPr>
          <w:lang w:val="en-GB" w:eastAsia="en-AU"/>
        </w:rPr>
        <w:t xml:space="preserve"> </w:t>
      </w:r>
      <w:r w:rsidR="009107BD" w:rsidRPr="009107BD">
        <w:rPr>
          <w:lang w:val="en-GB" w:eastAsia="en-AU"/>
        </w:rPr>
        <w:t>Jobs committed</w:t>
      </w:r>
    </w:p>
    <w:p w14:paraId="4489A535" w14:textId="3F834AC2" w:rsidR="009107BD" w:rsidRPr="009107BD" w:rsidRDefault="00276789" w:rsidP="009107BD">
      <w:pPr>
        <w:pStyle w:val="Bullet"/>
        <w:rPr>
          <w:lang w:val="en-GB" w:eastAsia="en-AU"/>
        </w:rPr>
      </w:pPr>
      <w:r>
        <w:rPr>
          <w:lang w:val="en-GB" w:eastAsia="en-AU"/>
        </w:rPr>
        <w:t>1</w:t>
      </w:r>
      <w:r w:rsidR="009107BD" w:rsidRPr="009107BD">
        <w:rPr>
          <w:lang w:val="en-GB" w:eastAsia="en-AU"/>
        </w:rPr>
        <w:t>,</w:t>
      </w:r>
      <w:r>
        <w:rPr>
          <w:lang w:val="en-GB" w:eastAsia="en-AU"/>
        </w:rPr>
        <w:t>826</w:t>
      </w:r>
      <w:r w:rsidR="009107BD">
        <w:rPr>
          <w:lang w:val="en-GB" w:eastAsia="en-AU"/>
        </w:rPr>
        <w:t xml:space="preserve"> </w:t>
      </w:r>
      <w:r w:rsidR="009107BD" w:rsidRPr="009107BD">
        <w:rPr>
          <w:lang w:val="en-GB" w:eastAsia="en-AU"/>
        </w:rPr>
        <w:t>opportunities for SMEs</w:t>
      </w:r>
    </w:p>
    <w:p w14:paraId="6AE45CC0" w14:textId="6FE9F5C6" w:rsidR="009107BD" w:rsidRDefault="00276789" w:rsidP="009107BD">
      <w:pPr>
        <w:pStyle w:val="Bullet"/>
        <w:rPr>
          <w:lang w:val="en-GB" w:eastAsia="en-AU"/>
        </w:rPr>
      </w:pPr>
      <w:r>
        <w:rPr>
          <w:lang w:val="en-GB" w:eastAsia="en-AU"/>
        </w:rPr>
        <w:t>52</w:t>
      </w:r>
      <w:r w:rsidR="009107BD" w:rsidRPr="009107BD">
        <w:rPr>
          <w:lang w:val="en-GB" w:eastAsia="en-AU"/>
        </w:rPr>
        <w:t>%</w:t>
      </w:r>
      <w:r w:rsidR="009107BD">
        <w:rPr>
          <w:lang w:val="en-GB" w:eastAsia="en-AU"/>
        </w:rPr>
        <w:t xml:space="preserve"> </w:t>
      </w:r>
      <w:r w:rsidR="009107BD" w:rsidRPr="009107BD">
        <w:rPr>
          <w:lang w:val="en-GB" w:eastAsia="en-AU"/>
        </w:rPr>
        <w:t>average local content^</w:t>
      </w:r>
    </w:p>
    <w:p w14:paraId="602C8D4E" w14:textId="244DFF19" w:rsidR="009107BD" w:rsidRDefault="00183C23" w:rsidP="009107BD">
      <w:pPr>
        <w:pStyle w:val="Bullet"/>
        <w:rPr>
          <w:lang w:val="en-GB" w:eastAsia="en-AU"/>
        </w:rPr>
      </w:pPr>
      <w:r>
        <w:rPr>
          <w:lang w:val="en-GB" w:eastAsia="en-AU"/>
        </w:rPr>
        <w:t>20</w:t>
      </w:r>
      <w:r w:rsidR="009107BD">
        <w:rPr>
          <w:lang w:val="en-GB" w:eastAsia="en-AU"/>
        </w:rPr>
        <w:t xml:space="preserve"> </w:t>
      </w:r>
      <w:r w:rsidR="009107BD" w:rsidRPr="009107BD">
        <w:rPr>
          <w:lang w:val="en-GB" w:eastAsia="en-AU"/>
        </w:rPr>
        <w:t>Completed projects</w:t>
      </w:r>
    </w:p>
    <w:p w14:paraId="52EB6239" w14:textId="4D5DB4A9" w:rsidR="009107BD" w:rsidRPr="009107BD" w:rsidRDefault="00183C23" w:rsidP="009107BD">
      <w:pPr>
        <w:pStyle w:val="Bullet2"/>
        <w:rPr>
          <w:lang w:val="en-GB" w:eastAsia="en-AU"/>
        </w:rPr>
      </w:pPr>
      <w:r>
        <w:rPr>
          <w:lang w:val="en-GB" w:eastAsia="en-AU"/>
        </w:rPr>
        <w:t>20</w:t>
      </w:r>
      <w:r w:rsidR="009107BD">
        <w:rPr>
          <w:lang w:val="en-GB" w:eastAsia="en-AU"/>
        </w:rPr>
        <w:t xml:space="preserve"> </w:t>
      </w:r>
      <w:r w:rsidR="009107BD" w:rsidRPr="009107BD">
        <w:rPr>
          <w:lang w:val="en-GB" w:eastAsia="en-AU"/>
        </w:rPr>
        <w:t>Standard projects</w:t>
      </w:r>
    </w:p>
    <w:p w14:paraId="16CB71F0" w14:textId="5C7D07AA" w:rsidR="009107BD" w:rsidRDefault="009107BD" w:rsidP="009107BD">
      <w:pPr>
        <w:pStyle w:val="Bullet2"/>
        <w:rPr>
          <w:lang w:val="en-GB" w:eastAsia="en-AU"/>
        </w:rPr>
      </w:pPr>
      <w:r w:rsidRPr="009107BD">
        <w:rPr>
          <w:lang w:val="en-GB" w:eastAsia="en-AU"/>
        </w:rPr>
        <w:t>0 Strategic projects</w:t>
      </w:r>
    </w:p>
    <w:p w14:paraId="6D959F96" w14:textId="088BEDF2" w:rsidR="009107BD" w:rsidRPr="009107BD" w:rsidRDefault="009107BD" w:rsidP="009107BD">
      <w:pPr>
        <w:pStyle w:val="Bullet"/>
        <w:rPr>
          <w:lang w:val="en-GB" w:eastAsia="en-AU"/>
        </w:rPr>
      </w:pPr>
      <w:r w:rsidRPr="009107BD">
        <w:rPr>
          <w:lang w:val="en-GB" w:eastAsia="en-AU"/>
        </w:rPr>
        <w:t>Worth $</w:t>
      </w:r>
      <w:r w:rsidR="00183C23">
        <w:rPr>
          <w:lang w:val="en-GB" w:eastAsia="en-AU"/>
        </w:rPr>
        <w:t>164.5</w:t>
      </w:r>
      <w:r w:rsidRPr="009107BD">
        <w:rPr>
          <w:lang w:val="en-GB" w:eastAsia="en-AU"/>
        </w:rPr>
        <w:t xml:space="preserve"> million</w:t>
      </w:r>
    </w:p>
    <w:p w14:paraId="20182D96" w14:textId="6740C192" w:rsidR="009107BD" w:rsidRPr="009107BD" w:rsidRDefault="00183C23" w:rsidP="009107BD">
      <w:pPr>
        <w:pStyle w:val="Bullet"/>
        <w:rPr>
          <w:lang w:val="en-GB" w:eastAsia="en-AU"/>
        </w:rPr>
      </w:pPr>
      <w:r>
        <w:rPr>
          <w:lang w:val="en-GB" w:eastAsia="en-AU"/>
        </w:rPr>
        <w:t>323</w:t>
      </w:r>
      <w:r w:rsidR="009107BD">
        <w:rPr>
          <w:lang w:val="en-GB" w:eastAsia="en-AU"/>
        </w:rPr>
        <w:t xml:space="preserve"> </w:t>
      </w:r>
      <w:r w:rsidR="009107BD" w:rsidRPr="009107BD">
        <w:rPr>
          <w:lang w:val="en-GB" w:eastAsia="en-AU"/>
        </w:rPr>
        <w:t>Jobs committed</w:t>
      </w:r>
    </w:p>
    <w:p w14:paraId="5A99A324" w14:textId="1F3073CF" w:rsidR="009107BD" w:rsidRPr="009107BD" w:rsidRDefault="00183C23" w:rsidP="009107BD">
      <w:pPr>
        <w:pStyle w:val="Bullet"/>
        <w:rPr>
          <w:lang w:val="en-GB" w:eastAsia="en-AU"/>
        </w:rPr>
      </w:pPr>
      <w:r>
        <w:rPr>
          <w:lang w:val="en-GB" w:eastAsia="en-AU"/>
        </w:rPr>
        <w:t>836</w:t>
      </w:r>
      <w:r w:rsidR="009107BD">
        <w:rPr>
          <w:lang w:val="en-GB" w:eastAsia="en-AU"/>
        </w:rPr>
        <w:t xml:space="preserve"> </w:t>
      </w:r>
      <w:r w:rsidR="009107BD" w:rsidRPr="009107BD">
        <w:rPr>
          <w:lang w:val="en-GB" w:eastAsia="en-AU"/>
        </w:rPr>
        <w:t>opportunities for SMEs</w:t>
      </w:r>
    </w:p>
    <w:p w14:paraId="439BF872" w14:textId="0C01D045" w:rsidR="009107BD" w:rsidRDefault="00183C23" w:rsidP="009107BD">
      <w:pPr>
        <w:pStyle w:val="Bullet"/>
        <w:rPr>
          <w:lang w:val="en-GB" w:eastAsia="en-AU"/>
        </w:rPr>
      </w:pPr>
      <w:r>
        <w:rPr>
          <w:lang w:val="en-GB" w:eastAsia="en-AU"/>
        </w:rPr>
        <w:t>35</w:t>
      </w:r>
      <w:r w:rsidR="009107BD" w:rsidRPr="009107BD">
        <w:rPr>
          <w:lang w:val="en-GB" w:eastAsia="en-AU"/>
        </w:rPr>
        <w:t>%</w:t>
      </w:r>
      <w:r w:rsidR="009107BD">
        <w:rPr>
          <w:lang w:val="en-GB" w:eastAsia="en-AU"/>
        </w:rPr>
        <w:t xml:space="preserve"> </w:t>
      </w:r>
      <w:r w:rsidR="009107BD" w:rsidRPr="009107BD">
        <w:rPr>
          <w:lang w:val="en-GB" w:eastAsia="en-AU"/>
        </w:rPr>
        <w:t>average local content^</w:t>
      </w:r>
    </w:p>
    <w:p w14:paraId="2424E338" w14:textId="77777777" w:rsidR="00183C23" w:rsidRDefault="00183C23" w:rsidP="009107BD">
      <w:pPr>
        <w:pStyle w:val="FootnoteText"/>
        <w:spacing w:after="280"/>
        <w:ind w:left="170" w:hanging="170"/>
        <w:rPr>
          <w:lang w:val="en-GB" w:eastAsia="en-AU"/>
        </w:rPr>
      </w:pPr>
      <w:r w:rsidRPr="00183C23">
        <w:rPr>
          <w:lang w:val="en-GB" w:eastAsia="en-AU"/>
        </w:rPr>
        <w:t xml:space="preserve">* Projects commencing in the 2023-24 financial year recorded a lower average local content because of the </w:t>
      </w:r>
      <w:proofErr w:type="gramStart"/>
      <w:r w:rsidRPr="00183C23">
        <w:rPr>
          <w:lang w:val="en-GB" w:eastAsia="en-AU"/>
        </w:rPr>
        <w:t>higher than average</w:t>
      </w:r>
      <w:proofErr w:type="gramEnd"/>
      <w:r w:rsidRPr="00183C23">
        <w:rPr>
          <w:lang w:val="en-GB" w:eastAsia="en-AU"/>
        </w:rPr>
        <w:t xml:space="preserve"> service projects commencing, with these projects usually recording lower local content than construction projects. Constructions projects announced in 2022–2023 have commenced implementation phase in 2023-2024, therefore local content is calculated in the previous year’s figures. </w:t>
      </w:r>
    </w:p>
    <w:p w14:paraId="100945CB" w14:textId="0C228A6B" w:rsidR="00165EB2" w:rsidRPr="00DE035F" w:rsidRDefault="00183C23" w:rsidP="009107BD">
      <w:pPr>
        <w:pStyle w:val="FootnoteText"/>
        <w:spacing w:after="280"/>
        <w:ind w:left="170" w:hanging="170"/>
        <w:rPr>
          <w:lang w:val="en-GB" w:eastAsia="en-AU"/>
        </w:rPr>
      </w:pPr>
      <w:r w:rsidRPr="00183C23">
        <w:rPr>
          <w:lang w:val="en-GB" w:eastAsia="en-AU"/>
        </w:rPr>
        <w:t>^ Statewide Projects have a higher proportion of services projects, which have lower local content to other types of projects.</w:t>
      </w:r>
    </w:p>
    <w:p w14:paraId="64CFB977" w14:textId="1DC0A112" w:rsidR="000F7AD5" w:rsidRDefault="00BA59A6" w:rsidP="00B0565B">
      <w:pPr>
        <w:pStyle w:val="Heading2-numbered"/>
      </w:pPr>
      <w:bookmarkStart w:id="13" w:name="_Toc183430724"/>
      <w:r>
        <w:t>Commenced</w:t>
      </w:r>
      <w:r w:rsidR="00CF7EE1">
        <w:t xml:space="preserve"> </w:t>
      </w:r>
      <w:r>
        <w:t>Projects</w:t>
      </w:r>
      <w:bookmarkEnd w:id="13"/>
    </w:p>
    <w:p w14:paraId="4098E172" w14:textId="77777777" w:rsidR="00F12EDA" w:rsidRDefault="00F12EDA" w:rsidP="00F12EDA">
      <w:r>
        <w:t>A total of 334 Local Jobs First projects worth $14 billion commenced during 2023-24. This includes 133 metro Melbourne projects, 138 regional projects and 63 statewide projects. Of the 334 projects, 34 were Strategic Projects and 300 were Standard Projects. Together, these projects have committed to delivering 3,594 jobs and 10,896 opportunities for local SMEs.</w:t>
      </w:r>
    </w:p>
    <w:p w14:paraId="0F129EBD" w14:textId="440DA297" w:rsidR="000F7AD5" w:rsidRDefault="00F12EDA" w:rsidP="00F12EDA">
      <w:r>
        <w:t>Since 2015, the Local Jobs First Policy has been applied to 2,836 Standard Projects worth $22.6 billion. In 2023-24, 300 Standard Projects worth a total of $2.4 billion commenced, with 134 of these being delivered in regional Victoria. These projects will provide opportunities for 9,323 local SMEs and support 2,599 jobs.</w:t>
      </w:r>
    </w:p>
    <w:p w14:paraId="58606577" w14:textId="6B660D1B" w:rsidR="000F7AD5" w:rsidRDefault="00BA59A6" w:rsidP="00B0565B">
      <w:pPr>
        <w:pStyle w:val="Heading2-numbered"/>
      </w:pPr>
      <w:bookmarkStart w:id="14" w:name="_Toc183430725"/>
      <w:r>
        <w:lastRenderedPageBreak/>
        <w:t>Completed</w:t>
      </w:r>
      <w:r w:rsidR="00CF7EE1">
        <w:t xml:space="preserve"> </w:t>
      </w:r>
      <w:r>
        <w:t>Projects</w:t>
      </w:r>
      <w:bookmarkEnd w:id="14"/>
    </w:p>
    <w:p w14:paraId="20B33C55" w14:textId="77777777" w:rsidR="00F12EDA" w:rsidRDefault="00F12EDA" w:rsidP="00F12EDA">
      <w:r>
        <w:t xml:space="preserve">During 2023-24, 14 Local Jobs First Strategic Projects worth a total of $2.9 billion were completed. </w:t>
      </w:r>
    </w:p>
    <w:p w14:paraId="171E498B" w14:textId="77777777" w:rsidR="00F12EDA" w:rsidRDefault="00F12EDA" w:rsidP="00F12EDA">
      <w:r>
        <w:t xml:space="preserve">This brings the total to 86 Local Jobs First Strategic Projects that have been reported as complete by agencies since November 2014, worth a combined value of $19.2 billion. </w:t>
      </w:r>
    </w:p>
    <w:p w14:paraId="7FF829F7" w14:textId="77777777" w:rsidR="00F12EDA" w:rsidRDefault="00F12EDA" w:rsidP="00F12EDA">
      <w:r>
        <w:t>A total of 174 Standard Projects, valued at $1 billion, were completed in 2023-24. Of these completed projects, 92 were in regional Victoria.</w:t>
      </w:r>
    </w:p>
    <w:p w14:paraId="2283CC82" w14:textId="6DEEB268" w:rsidR="000F7AD5" w:rsidRDefault="00BA59A6" w:rsidP="009D08E3">
      <w:r>
        <w:t>Please</w:t>
      </w:r>
      <w:r w:rsidR="00CF7EE1">
        <w:t xml:space="preserve"> </w:t>
      </w:r>
      <w:r>
        <w:t>see</w:t>
      </w:r>
      <w:r w:rsidR="00CF7EE1">
        <w:t xml:space="preserve"> </w:t>
      </w:r>
      <w:hyperlink w:anchor="_Appendix_A:_Completed" w:tooltip="Link to Appendix A in this document" w:history="1">
        <w:r w:rsidRPr="000E14D1">
          <w:rPr>
            <w:rStyle w:val="Hyperlink"/>
          </w:rPr>
          <w:t>Appendix</w:t>
        </w:r>
        <w:r w:rsidR="00CF7EE1" w:rsidRPr="000E14D1">
          <w:rPr>
            <w:rStyle w:val="Hyperlink"/>
          </w:rPr>
          <w:t xml:space="preserve"> </w:t>
        </w:r>
        <w:r w:rsidRPr="000E14D1">
          <w:rPr>
            <w:rStyle w:val="Hyperlink"/>
          </w:rPr>
          <w:t>A</w:t>
        </w:r>
      </w:hyperlink>
      <w:r w:rsidR="00CF7EE1">
        <w:t xml:space="preserve"> </w:t>
      </w:r>
      <w:r>
        <w:t>for</w:t>
      </w:r>
      <w:r w:rsidR="00CF7EE1">
        <w:t xml:space="preserve"> </w:t>
      </w:r>
      <w:r>
        <w:t>a</w:t>
      </w:r>
      <w:r w:rsidR="00CF7EE1">
        <w:t xml:space="preserve"> </w:t>
      </w:r>
      <w:r>
        <w:t>list</w:t>
      </w:r>
      <w:r w:rsidR="00CF7EE1">
        <w:t xml:space="preserve"> </w:t>
      </w:r>
      <w:r>
        <w:t>of</w:t>
      </w:r>
      <w:r w:rsidR="00CF7EE1">
        <w:t xml:space="preserve"> </w:t>
      </w:r>
      <w:r>
        <w:t>the</w:t>
      </w:r>
      <w:r w:rsidR="00CF7EE1">
        <w:t xml:space="preserve"> </w:t>
      </w:r>
      <w:r>
        <w:t>completed</w:t>
      </w:r>
      <w:r w:rsidR="00CF7EE1">
        <w:t xml:space="preserve"> </w:t>
      </w:r>
      <w:r>
        <w:t>Strategic</w:t>
      </w:r>
      <w:r w:rsidR="00CF7EE1">
        <w:t xml:space="preserve"> </w:t>
      </w:r>
      <w:r>
        <w:t>Projects</w:t>
      </w:r>
      <w:r w:rsidR="00CF7EE1">
        <w:t xml:space="preserve"> </w:t>
      </w:r>
      <w:r>
        <w:t>throughout</w:t>
      </w:r>
      <w:r w:rsidR="00CF7EE1">
        <w:t xml:space="preserve"> </w:t>
      </w:r>
      <w:r>
        <w:t>202</w:t>
      </w:r>
      <w:r w:rsidR="00F12EDA">
        <w:t>3</w:t>
      </w:r>
      <w:r>
        <w:noBreakHyphen/>
        <w:t>2</w:t>
      </w:r>
      <w:r w:rsidR="00F12EDA">
        <w:t>4</w:t>
      </w:r>
      <w:r>
        <w:t>.</w:t>
      </w:r>
    </w:p>
    <w:p w14:paraId="3549629B" w14:textId="479159FB" w:rsidR="000F7AD5" w:rsidRDefault="00BA59A6" w:rsidP="000E14D1">
      <w:pPr>
        <w:pStyle w:val="Heading2-numbered"/>
      </w:pPr>
      <w:bookmarkStart w:id="15" w:name="_Toc183430726"/>
      <w:r>
        <w:t>Major</w:t>
      </w:r>
      <w:r w:rsidR="00CF7EE1">
        <w:t xml:space="preserve"> </w:t>
      </w:r>
      <w:r>
        <w:t>Projects</w:t>
      </w:r>
      <w:r w:rsidR="00CF7EE1">
        <w:t xml:space="preserve"> </w:t>
      </w:r>
      <w:r>
        <w:t>Skills</w:t>
      </w:r>
      <w:r w:rsidR="00CF7EE1">
        <w:t xml:space="preserve"> </w:t>
      </w:r>
      <w:r>
        <w:t>Guarantee</w:t>
      </w:r>
      <w:bookmarkEnd w:id="15"/>
    </w:p>
    <w:p w14:paraId="5B58A3CE" w14:textId="541B4DCA" w:rsidR="000F7AD5" w:rsidRDefault="00F12EDA" w:rsidP="000E14D1">
      <w:r w:rsidRPr="00F12EDA">
        <w:t>Since its introduction in 2016, the MPSG has been applied to 436 projects collectively worth $172 billion, which have committed to 24.5 million contracted hours for 7,573 ATCs. This includes 111 regional projects that have committed to over 2.4 million hours for 747 ATCs.</w:t>
      </w:r>
    </w:p>
    <w:p w14:paraId="72910B52" w14:textId="3C96ACFA" w:rsidR="000F7AD5" w:rsidRDefault="00BA59A6" w:rsidP="000E14D1">
      <w:pPr>
        <w:pStyle w:val="Heading2-numbered"/>
      </w:pPr>
      <w:bookmarkStart w:id="16" w:name="_Toc183430727"/>
      <w:r>
        <w:t>Local</w:t>
      </w:r>
      <w:r w:rsidR="00CF7EE1">
        <w:t xml:space="preserve"> </w:t>
      </w:r>
      <w:r>
        <w:t>Content</w:t>
      </w:r>
      <w:bookmarkEnd w:id="16"/>
    </w:p>
    <w:p w14:paraId="655C414F" w14:textId="77777777" w:rsidR="00F12EDA" w:rsidRDefault="00F12EDA" w:rsidP="00F12EDA">
      <w:r>
        <w:t>All Local Jobs First projects require an LIDP outlining the items that are contestable (both international and local providers) and the businesses that will be engaged to deliver different elements of the project, providing opportunities for local industry and workers. Local content includes goods produced, services supplied, and construction activities carried out, by local industry. The local assembly of imported materials, transport of goods, and local labour are all examples of local content or local added value.</w:t>
      </w:r>
    </w:p>
    <w:p w14:paraId="1F42716E" w14:textId="77777777" w:rsidR="00F12EDA" w:rsidRDefault="00F12EDA" w:rsidP="00F12EDA">
      <w:r>
        <w:t>‘Local’ is defined as businesses in Australia and New Zealand producing goods, providing services or construction activity, and when local content has been added to imported items through activities such as assembly or installation.</w:t>
      </w:r>
    </w:p>
    <w:p w14:paraId="36DA8CAC" w14:textId="53065ADB" w:rsidR="000F7AD5" w:rsidRDefault="00F12EDA" w:rsidP="00F12EDA">
      <w:r>
        <w:t xml:space="preserve">In 2023-24, 1,342 tenders were registered with the ICN Victoria. A total of 3,918 LIDPs were prepared by businesses in bidding for Local Jobs First projects. </w:t>
      </w:r>
    </w:p>
    <w:p w14:paraId="79536F22" w14:textId="77777777" w:rsidR="000F7AD5" w:rsidRDefault="00BA59A6" w:rsidP="000E14D1">
      <w:pPr>
        <w:pStyle w:val="Heading2-numbered"/>
      </w:pPr>
      <w:bookmarkStart w:id="17" w:name="_Toc183430728"/>
      <w:r>
        <w:t>Grants</w:t>
      </w:r>
      <w:bookmarkEnd w:id="17"/>
    </w:p>
    <w:p w14:paraId="701EC661" w14:textId="77777777" w:rsidR="00F12EDA" w:rsidRDefault="00F12EDA" w:rsidP="00F12EDA">
      <w:r>
        <w:t>Grant and loan recipients are required to apply the Local Jobs First Policy, where the value of the grant meets the Local Jobs First financial thresholds, and the recipient is not a State or Commonwealth government agency. Recipients of the relevant grants must engage with the ICN Victoria to discuss opportunities for local SME involvement.</w:t>
      </w:r>
    </w:p>
    <w:p w14:paraId="4BAEA46F" w14:textId="67AD7BEF" w:rsidR="000F7AD5" w:rsidRDefault="00F12EDA" w:rsidP="00F12EDA">
      <w:r>
        <w:lastRenderedPageBreak/>
        <w:t>During 2023-24, a total of 108 grants were registered with the ICN Victoria.</w:t>
      </w:r>
    </w:p>
    <w:p w14:paraId="05E71D48" w14:textId="77777777" w:rsidR="000F7AD5" w:rsidRDefault="00BA59A6" w:rsidP="000E14D1">
      <w:pPr>
        <w:pStyle w:val="Heading2-numbered"/>
      </w:pPr>
      <w:bookmarkStart w:id="18" w:name="_Toc183430729"/>
      <w:r>
        <w:t>Exemptions</w:t>
      </w:r>
      <w:bookmarkEnd w:id="18"/>
    </w:p>
    <w:p w14:paraId="10285C45" w14:textId="77777777" w:rsidR="00F12EDA" w:rsidRDefault="00F12EDA" w:rsidP="00F12EDA">
      <w:r>
        <w:t>Under section 4A (3) of the Act, the Minister for Jobs and Industry may exempt a government department or agency from the requirements of the Local Jobs First Policy if exceptional circumstances apply.</w:t>
      </w:r>
    </w:p>
    <w:p w14:paraId="52A7A2B7" w14:textId="77688D78" w:rsidR="000F7AD5" w:rsidRDefault="00F12EDA" w:rsidP="00F12EDA">
      <w:r>
        <w:t xml:space="preserve">There have been no exemptions granted in the 2023-24 financial year. </w:t>
      </w:r>
    </w:p>
    <w:p w14:paraId="0E6B7983" w14:textId="474E1EF6" w:rsidR="000F7AD5" w:rsidRDefault="00BA59A6" w:rsidP="001242DF">
      <w:pPr>
        <w:pStyle w:val="Heading1"/>
      </w:pPr>
      <w:bookmarkStart w:id="19" w:name="_Toc183430730"/>
      <w:r>
        <w:t>Local</w:t>
      </w:r>
      <w:r w:rsidR="00CF7EE1">
        <w:t xml:space="preserve"> </w:t>
      </w:r>
      <w:r>
        <w:t>Jobs</w:t>
      </w:r>
      <w:r w:rsidR="00CF7EE1">
        <w:t xml:space="preserve"> </w:t>
      </w:r>
      <w:r>
        <w:t>First</w:t>
      </w:r>
      <w:r w:rsidR="00CF7EE1">
        <w:t xml:space="preserve"> </w:t>
      </w:r>
      <w:r>
        <w:t>Highlights</w:t>
      </w:r>
      <w:bookmarkEnd w:id="19"/>
    </w:p>
    <w:p w14:paraId="4C2140ED" w14:textId="427955E8" w:rsidR="000F7AD5" w:rsidRDefault="00BA59A6" w:rsidP="001242DF">
      <w:pPr>
        <w:pStyle w:val="Heading2-numbered"/>
      </w:pPr>
      <w:bookmarkStart w:id="20" w:name="_Toc183430731"/>
      <w:r>
        <w:t>Strategic</w:t>
      </w:r>
      <w:r w:rsidR="00CF7EE1">
        <w:t xml:space="preserve"> </w:t>
      </w:r>
      <w:r>
        <w:t>Project</w:t>
      </w:r>
      <w:r w:rsidR="00CF7EE1">
        <w:t xml:space="preserve"> </w:t>
      </w:r>
      <w:r>
        <w:t>Records</w:t>
      </w:r>
      <w:r w:rsidR="00CF7EE1">
        <w:t xml:space="preserve"> </w:t>
      </w:r>
      <w:r>
        <w:t>and</w:t>
      </w:r>
      <w:r w:rsidR="00CF7EE1">
        <w:rPr>
          <w:rFonts w:ascii="Calibri" w:hAnsi="Calibri" w:cs="Calibri"/>
        </w:rPr>
        <w:t xml:space="preserve"> </w:t>
      </w:r>
      <w:r>
        <w:t>Milestones</w:t>
      </w:r>
      <w:bookmarkEnd w:id="20"/>
    </w:p>
    <w:p w14:paraId="25CFA1DD" w14:textId="77777777" w:rsidR="000B686F" w:rsidRDefault="000B686F" w:rsidP="000B686F">
      <w:r>
        <w:t xml:space="preserve">It was another busy year in 2023-24, with requirements set for 49 Local Jobs First Strategic Projects. These 49 projects, collectively valued at over $30.5 billion, represent the highest value of Strategic Projects with requirements set in a year. The requirements set on these projects will provide significant opportunity for local businesses and workers, including local ATCs to be involved and benefit from this significant investment. </w:t>
      </w:r>
    </w:p>
    <w:p w14:paraId="39C6CA90" w14:textId="29816C22" w:rsidR="000F7AD5" w:rsidRDefault="000B686F" w:rsidP="000B686F">
      <w:r>
        <w:t>In 2023-24, Victoria reached 349 Strategic Projects that have applied the Local Jobs First Policy since 2014. These projects have committed to support more than 60,000 local jobs. This includes a commitment to provide 18.5 million contracted hours to Victorian ATCs helping to form the next generation of skilled Victorian workers.</w:t>
      </w:r>
    </w:p>
    <w:p w14:paraId="1A55BD33" w14:textId="19BB9698" w:rsidR="000F7AD5" w:rsidRDefault="00BA59A6" w:rsidP="001242DF">
      <w:pPr>
        <w:pStyle w:val="Heading2-numbered"/>
      </w:pPr>
      <w:bookmarkStart w:id="21" w:name="_Toc183430732"/>
      <w:r>
        <w:t>Additional</w:t>
      </w:r>
      <w:r w:rsidR="00CF7EE1">
        <w:t xml:space="preserve"> </w:t>
      </w:r>
      <w:r>
        <w:t>Requirements</w:t>
      </w:r>
      <w:r w:rsidR="00CF7EE1">
        <w:t xml:space="preserve"> </w:t>
      </w:r>
      <w:r>
        <w:t>set</w:t>
      </w:r>
      <w:r w:rsidR="00CF7EE1">
        <w:t xml:space="preserve"> </w:t>
      </w:r>
      <w:r>
        <w:t>for</w:t>
      </w:r>
      <w:r w:rsidR="00CF7EE1">
        <w:t xml:space="preserve"> </w:t>
      </w:r>
      <w:r>
        <w:t>Strategic</w:t>
      </w:r>
      <w:r w:rsidR="00CF7EE1">
        <w:t xml:space="preserve"> </w:t>
      </w:r>
      <w:r>
        <w:t>Projects</w:t>
      </w:r>
      <w:bookmarkEnd w:id="21"/>
    </w:p>
    <w:p w14:paraId="371B8AA1" w14:textId="77777777" w:rsidR="000B686F" w:rsidRDefault="000B686F" w:rsidP="000B686F">
      <w:r>
        <w:t>Additional local content requirements have continued to be set and strengthened on Strategic Projects through the 2023-24 financial year by the Minister for Jobs and Industry. This has included working with other areas of government and leveraging other industry participation and development policies and programs. Setting additional requirements has ensured future projects continue to develop local industries, create jobs and boost economic activity across Victoria.</w:t>
      </w:r>
    </w:p>
    <w:p w14:paraId="72642028" w14:textId="36A20806" w:rsidR="000F7AD5" w:rsidRDefault="000B686F" w:rsidP="000B686F">
      <w:r>
        <w:t>In 2023-24, additional requirements were set on 38 projects with a total of 100 additional requirements. These additional requirements are ensuring local production, businesses, research, and other valuable economic activities are incentivised and considered throughout the life of Local Jobs First projects.</w:t>
      </w:r>
    </w:p>
    <w:p w14:paraId="06328111" w14:textId="0CEF7E01" w:rsidR="000F7AD5" w:rsidRDefault="00BA59A6" w:rsidP="001242DF">
      <w:pPr>
        <w:pStyle w:val="Normalbeforebullets"/>
      </w:pPr>
      <w:r>
        <w:lastRenderedPageBreak/>
        <w:t>These</w:t>
      </w:r>
      <w:r w:rsidR="00CF7EE1">
        <w:t xml:space="preserve"> </w:t>
      </w:r>
      <w:r>
        <w:t>additional</w:t>
      </w:r>
      <w:r w:rsidR="00CF7EE1">
        <w:t xml:space="preserve"> </w:t>
      </w:r>
      <w:r>
        <w:t>requirements</w:t>
      </w:r>
      <w:r w:rsidR="00CF7EE1">
        <w:t xml:space="preserve"> </w:t>
      </w:r>
      <w:r>
        <w:t>include:</w:t>
      </w:r>
      <w:r w:rsidR="00CF7EE1">
        <w:t xml:space="preserve"> </w:t>
      </w:r>
    </w:p>
    <w:p w14:paraId="6780B1DA" w14:textId="77777777" w:rsidR="000B686F" w:rsidRDefault="000B686F" w:rsidP="000B686F">
      <w:pPr>
        <w:pStyle w:val="Bulletlast"/>
      </w:pPr>
      <w:r>
        <w:t>A more refined and targeted approach to setting minimum local content requirements and/or the development of an engagement or sourcing plan for steel and development of an approach to mitigate offshoring of steel sourcing and fabrication by ensuring suppliers are given advanced notice of upcoming opportunities</w:t>
      </w:r>
    </w:p>
    <w:p w14:paraId="4F33D45B" w14:textId="77777777" w:rsidR="000B686F" w:rsidRDefault="000B686F" w:rsidP="000B686F">
      <w:pPr>
        <w:pStyle w:val="Bulletlast"/>
      </w:pPr>
      <w:r>
        <w:t>Strengthening support for the local MedTech manufacturing sector, including the development of targeted requirements such as a sourcing plan designed to increase project opportunities for engagement with local MedTech industry</w:t>
      </w:r>
    </w:p>
    <w:p w14:paraId="126690EF" w14:textId="77777777" w:rsidR="000B686F" w:rsidRDefault="000B686F" w:rsidP="000B686F">
      <w:pPr>
        <w:pStyle w:val="Bulletlast"/>
      </w:pPr>
      <w:r>
        <w:t>Further strengthening minimum local content requirements for fittings, fixtures, and equipment (FF&amp;E) and when appropriate by separating out Information, Communications and Technology (ICT) equipment to maximise the outcome for construction related FF&amp;E</w:t>
      </w:r>
    </w:p>
    <w:p w14:paraId="2584B444" w14:textId="03D2ED8E" w:rsidR="000F7AD5" w:rsidRDefault="000B686F" w:rsidP="000B686F">
      <w:pPr>
        <w:pStyle w:val="Bulletlast"/>
      </w:pPr>
      <w:r>
        <w:t>Targeted requirements have also been set particularly for health, education and housing projects and other building projects</w:t>
      </w:r>
    </w:p>
    <w:p w14:paraId="6F045178" w14:textId="3EDC8B50" w:rsidR="000F7AD5" w:rsidRDefault="00BA59A6" w:rsidP="004E109C">
      <w:pPr>
        <w:pStyle w:val="Heading3"/>
      </w:pPr>
      <w:r>
        <w:t>Additional</w:t>
      </w:r>
      <w:r w:rsidR="00CF7EE1">
        <w:t xml:space="preserve"> </w:t>
      </w:r>
      <w:r>
        <w:t>requirements</w:t>
      </w:r>
      <w:r w:rsidR="00CF7EE1">
        <w:t xml:space="preserve"> </w:t>
      </w:r>
      <w:r>
        <w:t>since</w:t>
      </w:r>
      <w:r w:rsidR="00CF7EE1">
        <w:t xml:space="preserve"> </w:t>
      </w:r>
      <w:r>
        <w:t>2015</w:t>
      </w:r>
      <w:r>
        <w:noBreakHyphen/>
        <w:t>16</w:t>
      </w:r>
    </w:p>
    <w:p w14:paraId="13B64E59" w14:textId="10A99559" w:rsidR="000F7AD5" w:rsidRDefault="000B686F" w:rsidP="004E109C">
      <w:r w:rsidRPr="000B686F">
        <w:t>Since 2015, 372 additional requirements were set on 186 Strategic Projects worth $121.1 billion.</w:t>
      </w:r>
    </w:p>
    <w:p w14:paraId="53E87995" w14:textId="2ECA1C4A" w:rsidR="000F7AD5" w:rsidRDefault="00BA59A6" w:rsidP="004E109C">
      <w:pPr>
        <w:pStyle w:val="Heading3"/>
      </w:pPr>
      <w:r>
        <w:t>Additional</w:t>
      </w:r>
      <w:r w:rsidR="00CF7EE1">
        <w:t xml:space="preserve"> </w:t>
      </w:r>
      <w:r>
        <w:t>requirements</w:t>
      </w:r>
      <w:r w:rsidR="00CF7EE1">
        <w:t xml:space="preserve"> </w:t>
      </w:r>
      <w:r>
        <w:t>set</w:t>
      </w:r>
      <w:r w:rsidR="00CF7EE1">
        <w:t xml:space="preserve"> </w:t>
      </w:r>
      <w:r>
        <w:t>during</w:t>
      </w:r>
      <w:r w:rsidR="00CF7EE1">
        <w:t xml:space="preserve"> </w:t>
      </w:r>
      <w:r>
        <w:t>2022</w:t>
      </w:r>
      <w:r>
        <w:noBreakHyphen/>
        <w:t>23</w:t>
      </w:r>
    </w:p>
    <w:p w14:paraId="188D2D63" w14:textId="1C647D0F" w:rsidR="000F7AD5" w:rsidRDefault="000B686F" w:rsidP="004E109C">
      <w:r w:rsidRPr="000B686F">
        <w:t>In 2023-24, 100 additional requirements were set on 38 Strategic Projects worth $24.9 billion.</w:t>
      </w:r>
    </w:p>
    <w:p w14:paraId="2D6BD365" w14:textId="77777777" w:rsidR="000B686F" w:rsidRDefault="000B686F" w:rsidP="000B686F">
      <w:pPr>
        <w:pStyle w:val="Heading3"/>
      </w:pPr>
      <w:r>
        <w:t>Case study 3:</w:t>
      </w:r>
    </w:p>
    <w:p w14:paraId="1C999226" w14:textId="2A1261AA" w:rsidR="000B686F" w:rsidRPr="009F7137" w:rsidRDefault="000B686F" w:rsidP="000B686F">
      <w:pPr>
        <w:pStyle w:val="Normalbeforebullets"/>
        <w:rPr>
          <w:b/>
          <w:bCs/>
        </w:rPr>
      </w:pPr>
      <w:r w:rsidRPr="000B686F">
        <w:rPr>
          <w:b/>
          <w:bCs/>
        </w:rPr>
        <w:t>Geelong Arts Centre Stage 3 Redevelopment</w:t>
      </w:r>
    </w:p>
    <w:p w14:paraId="42164673" w14:textId="77777777" w:rsidR="000B686F" w:rsidRDefault="000B686F" w:rsidP="000B686F">
      <w:r>
        <w:t>The purpose of the Stage 3 Redevelopment of the Geelong Arts Centre was to revitalise the Geelong cultural performing arts hub. The Project valued at $140 million was delivered by Development Victoria from March 2021 to August 2023, working together with head contractor Lendlease.</w:t>
      </w:r>
    </w:p>
    <w:p w14:paraId="6B996F89" w14:textId="77777777" w:rsidR="000B686F" w:rsidRDefault="000B686F" w:rsidP="000B686F">
      <w:r>
        <w:t xml:space="preserve">It encompassed the construction of a comprehensive set of facilities enhancements: including the addition of a multi-format 500-seat theatre expanding to 800 in ‘live gig’ mode ‘The Story House’, and a new 250-seat contemporary hybrid venue theatre ‘The Open House’. The centre opened in August 2023. </w:t>
      </w:r>
    </w:p>
    <w:p w14:paraId="7858B8BA" w14:textId="77777777" w:rsidR="000B686F" w:rsidRDefault="000B686F" w:rsidP="000B686F">
      <w:r>
        <w:t xml:space="preserve">This project achieved the following Local Jobs First outcomes: </w:t>
      </w:r>
    </w:p>
    <w:p w14:paraId="7EB3AF61" w14:textId="77777777" w:rsidR="000B686F" w:rsidRDefault="000B686F" w:rsidP="000B686F">
      <w:pPr>
        <w:pStyle w:val="Bullet"/>
      </w:pPr>
      <w:r>
        <w:lastRenderedPageBreak/>
        <w:t xml:space="preserve">Local Content: 93.4% on the Main Works exceeding the ministerial requirement of 90% </w:t>
      </w:r>
    </w:p>
    <w:p w14:paraId="4E5C0729" w14:textId="77777777" w:rsidR="000B686F" w:rsidRDefault="000B686F" w:rsidP="000B686F">
      <w:pPr>
        <w:pStyle w:val="Bulletlast"/>
      </w:pPr>
      <w:r>
        <w:t xml:space="preserve">MPSG: 10.27% on the Main Works exceeding the policy requirement of 10%. </w:t>
      </w:r>
    </w:p>
    <w:p w14:paraId="3B8B9187" w14:textId="77777777" w:rsidR="000B686F" w:rsidRDefault="000B686F" w:rsidP="000B686F">
      <w:r>
        <w:t>Lendlease demonstrated a commitment to sourcing local content for the project from the Geelong area.</w:t>
      </w:r>
    </w:p>
    <w:p w14:paraId="745AB584" w14:textId="77777777" w:rsidR="000B686F" w:rsidRDefault="000B686F" w:rsidP="000B686F">
      <w:r>
        <w:t xml:space="preserve">Lendlease, in partnership with ARM Architecture and Development Victoria, redefined the project’s custom carpet specifications, originally intended to be sourced internationally. By working closely with Geelong-based carpet company, Godfrey Hirst, the team successfully transitioned from an international French supplier to a local manufacturer. As a result of this initiative, Godfrey Hirst has not only supplied the carpet for this project, but it has also enabled the strengthening and expansion of its organisational design and production capability more broadly. </w:t>
      </w:r>
    </w:p>
    <w:p w14:paraId="56F2821C" w14:textId="77777777" w:rsidR="000B686F" w:rsidRDefault="000B686F" w:rsidP="000B686F">
      <w:r>
        <w:t xml:space="preserve">The project’s glass glazing specifications, initially slated for glass supplied from overseas, were reworked by Lendlease in collaboration with ARM Architecture and Development Victoria. This enabled the team to be able to source glass locally from Viridian Glass in Geelong. Viridian were transitioning from a focus on the automotive industry and this large construction order may have helped with the transition. </w:t>
      </w:r>
    </w:p>
    <w:p w14:paraId="30766170" w14:textId="77777777" w:rsidR="000B686F" w:rsidRDefault="000B686F" w:rsidP="000B686F">
      <w:r>
        <w:t xml:space="preserve">The project demonstrated a commitment to local content by sourcing all stone paving from within Victoria and procuring all concrete and sub-base products from suppliers based in Geelong. The project saw the involvement of 18 major trade packages handled by Melbourne-based contractors, with approximately 5% of the workforce residing in the G21 region, which encompasses Colac Otway, Golden Plains, Greater Geelong, Queenscliff, and Surf Coast. </w:t>
      </w:r>
    </w:p>
    <w:p w14:paraId="4884C36E" w14:textId="77777777" w:rsidR="000B686F" w:rsidRDefault="000B686F" w:rsidP="000B686F">
      <w:r>
        <w:t xml:space="preserve">Lendlease partnered with GROW and the local social enterprise Gforce to develop an inclusive employment program. This initiative prioritised local jobseekers, leading to the placement of 4 apprentices who not only completed their training but also secured permanent employment. </w:t>
      </w:r>
    </w:p>
    <w:p w14:paraId="53E29FC9" w14:textId="3C7E268C" w:rsidR="000B686F" w:rsidRPr="00CF7A6F" w:rsidRDefault="000B686F" w:rsidP="000B686F">
      <w:pPr>
        <w:rPr>
          <w:spacing w:val="-3"/>
        </w:rPr>
      </w:pPr>
      <w:r>
        <w:t>Lendlease worked closely with ARM Architecture and 4 First Nations artists: Wadawurrung artist Kait James, and local First Nations artists Tarryn Love, Gerard Black, and Mick Ryan to integrate First Nations artwork into the fabric of the building, enriching the cultural significance of the Geelong Arts Centre</w:t>
      </w:r>
      <w:r w:rsidRPr="00CF7A6F">
        <w:rPr>
          <w:spacing w:val="-3"/>
        </w:rPr>
        <w:t>.</w:t>
      </w:r>
      <w:r>
        <w:rPr>
          <w:spacing w:val="-3"/>
        </w:rPr>
        <w:t xml:space="preserve"> </w:t>
      </w:r>
    </w:p>
    <w:p w14:paraId="5EF7C84A" w14:textId="060E5774" w:rsidR="000F7AD5" w:rsidRDefault="00BA59A6" w:rsidP="00426C60">
      <w:pPr>
        <w:pStyle w:val="Heading2-numbered"/>
      </w:pPr>
      <w:bookmarkStart w:id="22" w:name="_Toc183430733"/>
      <w:r>
        <w:t>Industry</w:t>
      </w:r>
      <w:r w:rsidR="00CF7EE1">
        <w:t xml:space="preserve"> </w:t>
      </w:r>
      <w:r>
        <w:t>Impacts</w:t>
      </w:r>
      <w:r w:rsidR="00CF7EE1">
        <w:t xml:space="preserve"> </w:t>
      </w:r>
      <w:r>
        <w:t>of</w:t>
      </w:r>
      <w:r w:rsidR="00CF7EE1">
        <w:t xml:space="preserve"> </w:t>
      </w:r>
      <w:r>
        <w:t>Steel</w:t>
      </w:r>
      <w:r w:rsidR="00CF7EE1">
        <w:t xml:space="preserve"> </w:t>
      </w:r>
      <w:r>
        <w:t>and</w:t>
      </w:r>
      <w:r w:rsidR="00CF7EE1">
        <w:t xml:space="preserve"> </w:t>
      </w:r>
      <w:r>
        <w:t>FF&amp;E</w:t>
      </w:r>
      <w:r w:rsidR="00CF7EE1">
        <w:t xml:space="preserve"> </w:t>
      </w:r>
      <w:r>
        <w:t>Requirements</w:t>
      </w:r>
      <w:bookmarkEnd w:id="22"/>
    </w:p>
    <w:p w14:paraId="6A0EA0AD" w14:textId="77777777" w:rsidR="000B686F" w:rsidRDefault="000B686F" w:rsidP="000B686F">
      <w:r>
        <w:t xml:space="preserve">The inclusion of additional requirements focusing on the use of steel and FF&amp;E are having an impact, with the number of these businesses operating in Victoria increasing significantly in recent years. FF&amp;E and steel have been areas of focus for the Victorian Government for </w:t>
      </w:r>
      <w:proofErr w:type="gramStart"/>
      <w:r>
        <w:t>a number of</w:t>
      </w:r>
      <w:proofErr w:type="gramEnd"/>
      <w:r>
        <w:t xml:space="preserve"> years – the first specific Local Jobs First requirement for steel was set in 2015, with the first specific requirement for FF&amp;E set in 2019. </w:t>
      </w:r>
    </w:p>
    <w:p w14:paraId="62CBADDA" w14:textId="4E370149" w:rsidR="000F7AD5" w:rsidRDefault="000B686F" w:rsidP="000B686F">
      <w:r>
        <w:lastRenderedPageBreak/>
        <w:t>Since 2015, until 30 June 2024, steel requirements have been set on 113 Strategic Projects valued at $83 billion and FF&amp;E requirements have been set on 70 Strategic Projects valued at $27.6 billion; during that time Victoria’s share of FF&amp;E and steel businesses in Australia has increased consistently.</w:t>
      </w:r>
    </w:p>
    <w:p w14:paraId="651914DF" w14:textId="19386EEC" w:rsidR="000F7AD5" w:rsidRDefault="00BA59A6" w:rsidP="00932B1E">
      <w:pPr>
        <w:pStyle w:val="Heading2-numbered"/>
      </w:pPr>
      <w:bookmarkStart w:id="23" w:name="_Toc183430734"/>
      <w:r>
        <w:t>Local</w:t>
      </w:r>
      <w:r w:rsidR="00CF7EE1">
        <w:t xml:space="preserve"> </w:t>
      </w:r>
      <w:r>
        <w:t>Jobs</w:t>
      </w:r>
      <w:r w:rsidR="00CF7EE1">
        <w:t xml:space="preserve"> </w:t>
      </w:r>
      <w:r>
        <w:t>First</w:t>
      </w:r>
      <w:r w:rsidR="00CF7EE1">
        <w:t xml:space="preserve"> </w:t>
      </w:r>
      <w:r>
        <w:t>Standard</w:t>
      </w:r>
      <w:r w:rsidR="00CF7EE1">
        <w:t xml:space="preserve"> </w:t>
      </w:r>
      <w:r>
        <w:t>Projects</w:t>
      </w:r>
      <w:bookmarkEnd w:id="23"/>
    </w:p>
    <w:p w14:paraId="5A3F6718" w14:textId="77777777" w:rsidR="00B94EED" w:rsidRDefault="00B94EED" w:rsidP="00B94EED">
      <w:pPr>
        <w:pStyle w:val="Normalbeforebullets"/>
      </w:pPr>
      <w:r>
        <w:t xml:space="preserve">It was another strong year for Local Jobs First Standard Projects with 300 projects valued at $2.4 billion being registered. As with Strategic Projects, Standard Projects also provide significant opportunities for local businesses and workers. As </w:t>
      </w:r>
      <w:proofErr w:type="gramStart"/>
      <w:r>
        <w:t>at</w:t>
      </w:r>
      <w:proofErr w:type="gramEnd"/>
      <w:r>
        <w:t xml:space="preserve"> 30 June 2024, the number of Standard Projects totalled 2,836 and were collectively valued at $22.6 billion.</w:t>
      </w:r>
    </w:p>
    <w:p w14:paraId="2E12309F" w14:textId="4D62E460" w:rsidR="000F7AD5" w:rsidRDefault="00B94EED" w:rsidP="00B94EED">
      <w:pPr>
        <w:pStyle w:val="Normalbeforebullets"/>
      </w:pPr>
      <w:r>
        <w:t xml:space="preserve">For Strategic Projects, the Minister for Jobs and Industry sets Local Jobs First requirements that successful contractors must meet. In contrast, Standard Projects involve a more market led approach where bidders must outline in their tender response: </w:t>
      </w:r>
    </w:p>
    <w:p w14:paraId="56A1251E" w14:textId="77777777" w:rsidR="00B94EED" w:rsidRDefault="00B94EED" w:rsidP="00B94EED">
      <w:pPr>
        <w:pStyle w:val="Bulletlast"/>
      </w:pPr>
      <w:r>
        <w:t>industry development commitments (local content, technology transfer, supply chain engagement)</w:t>
      </w:r>
    </w:p>
    <w:p w14:paraId="7F19C922" w14:textId="77777777" w:rsidR="00B94EED" w:rsidRDefault="00B94EED" w:rsidP="00B94EED">
      <w:pPr>
        <w:pStyle w:val="Bulletlast"/>
      </w:pPr>
      <w:r>
        <w:t>jobs outcomes commitments (new and retained jobs, training) including MPSG commitments where applicable</w:t>
      </w:r>
    </w:p>
    <w:p w14:paraId="1B462A5F" w14:textId="77777777" w:rsidR="00B94EED" w:rsidRDefault="00B94EED" w:rsidP="00B94EED">
      <w:pPr>
        <w:pStyle w:val="Bulletlast"/>
      </w:pPr>
      <w:r>
        <w:t>detailed information about how the LIDP will be implemented including the management of risks, industry engagement strategies, and the selection and benchmarking of local content</w:t>
      </w:r>
    </w:p>
    <w:p w14:paraId="6DD42C4A" w14:textId="77777777" w:rsidR="00B94EED" w:rsidRDefault="00B94EED" w:rsidP="00B94EED">
      <w:pPr>
        <w:pStyle w:val="Bulletlast"/>
      </w:pPr>
      <w:r>
        <w:t>monitoring and reporting requirements, including those to be delivered as part of project management procedures</w:t>
      </w:r>
    </w:p>
    <w:p w14:paraId="2D84C416" w14:textId="73E5DCFF" w:rsidR="000F7AD5" w:rsidRDefault="00BA59A6" w:rsidP="00B94EED">
      <w:pPr>
        <w:pStyle w:val="Bulletlast"/>
      </w:pPr>
      <w:r>
        <w:t>the</w:t>
      </w:r>
      <w:r w:rsidR="00CF7EE1">
        <w:t xml:space="preserve"> </w:t>
      </w:r>
      <w:r>
        <w:t>number</w:t>
      </w:r>
      <w:r w:rsidR="00CF7EE1">
        <w:t xml:space="preserve"> </w:t>
      </w:r>
      <w:r>
        <w:t>of</w:t>
      </w:r>
      <w:r w:rsidR="00CF7EE1">
        <w:t xml:space="preserve"> </w:t>
      </w:r>
      <w:r>
        <w:t>SMEs</w:t>
      </w:r>
      <w:r w:rsidR="00CF7EE1">
        <w:t xml:space="preserve"> </w:t>
      </w:r>
      <w:r>
        <w:t>that</w:t>
      </w:r>
      <w:r w:rsidR="00CF7EE1">
        <w:t xml:space="preserve"> </w:t>
      </w:r>
      <w:r>
        <w:t>will</w:t>
      </w:r>
      <w:r w:rsidR="00CF7EE1">
        <w:t xml:space="preserve"> </w:t>
      </w:r>
      <w:r>
        <w:t>be</w:t>
      </w:r>
      <w:r w:rsidR="00CF7EE1">
        <w:t xml:space="preserve"> </w:t>
      </w:r>
      <w:r>
        <w:t>engaged</w:t>
      </w:r>
      <w:r w:rsidR="00CF7EE1">
        <w:t xml:space="preserve"> </w:t>
      </w:r>
      <w:r>
        <w:t>as</w:t>
      </w:r>
      <w:r w:rsidR="00CF7EE1">
        <w:t xml:space="preserve"> </w:t>
      </w:r>
      <w:r>
        <w:t>part</w:t>
      </w:r>
      <w:r w:rsidR="00CF7EE1">
        <w:t xml:space="preserve"> </w:t>
      </w:r>
      <w:r>
        <w:t>of</w:t>
      </w:r>
      <w:r w:rsidR="00CF7EE1">
        <w:t xml:space="preserve"> </w:t>
      </w:r>
      <w:r>
        <w:t>the</w:t>
      </w:r>
      <w:r w:rsidR="00CF7EE1">
        <w:t xml:space="preserve"> </w:t>
      </w:r>
      <w:r>
        <w:t>contract.</w:t>
      </w:r>
    </w:p>
    <w:p w14:paraId="7008A1EB" w14:textId="77777777" w:rsidR="00B94EED" w:rsidRDefault="00B94EED" w:rsidP="00B94EED">
      <w:r>
        <w:t>The ICN Victoria can work with bidders to help them respond to tenders. The ICN Victoria also provides a range of other assistance to bidders, including helping them to identify local capability for a particular item or set of items, and advising bidders where further detail in the LIDP may be required.</w:t>
      </w:r>
    </w:p>
    <w:p w14:paraId="1638AAE9" w14:textId="77777777" w:rsidR="00B94EED" w:rsidRDefault="00B94EED" w:rsidP="00B94EED">
      <w:r>
        <w:t xml:space="preserve">Once all LIDPs for a tender are completed, a separate area of the ICN Victoria then reviews the LIDPs and provides a report to the Victorian Government delivery agency. The report must be used in the agency’s tender evaluation process. Under the Local Jobs First Policy, 2 mandatory 10% weightings for both industry development and jobs outcomes must be incorporated by the agency into the tender evaluation. This helps to ensure bids with ambitious Local Jobs First proposals are more likely to be successful. </w:t>
      </w:r>
    </w:p>
    <w:p w14:paraId="17016DE9" w14:textId="77777777" w:rsidR="00B94EED" w:rsidRDefault="00B94EED" w:rsidP="00B94EED">
      <w:r>
        <w:t xml:space="preserve">An example of a Standard Project is the supply and delivery of continence, wound care and nutritional products, a project undertaken by WorkSafe Victoria. Following a contestable outcome undertaken by the ICN Victoria, it was determined that goods and/or </w:t>
      </w:r>
      <w:r>
        <w:lastRenderedPageBreak/>
        <w:t>services required for this tender were available from competitive local and international manufacturers and/or suppliers. As a result, BrightSky Australia, a company that supports Victorian based social enterprises, was awarded the contract to supply the required products.</w:t>
      </w:r>
    </w:p>
    <w:p w14:paraId="5F8E7F78" w14:textId="2CE23F24" w:rsidR="000F7AD5" w:rsidRDefault="00B94EED" w:rsidP="00B94EED">
      <w:r>
        <w:t>Further information about Standard Projects and the Local Jobs First Policy can be found at</w:t>
      </w:r>
      <w:r w:rsidR="00CF7EE1">
        <w:t xml:space="preserve"> </w:t>
      </w:r>
      <w:hyperlink r:id="rId20" w:tooltip="Link to Local Jobs First website" w:history="1">
        <w:r w:rsidR="00507EFF">
          <w:rPr>
            <w:rStyle w:val="Hyperlink"/>
          </w:rPr>
          <w:t>Local Jobs First</w:t>
        </w:r>
      </w:hyperlink>
      <w:r w:rsidR="00BA59A6">
        <w:t>.</w:t>
      </w:r>
      <w:r w:rsidR="00CF7EE1">
        <w:t xml:space="preserve"> </w:t>
      </w:r>
    </w:p>
    <w:p w14:paraId="33B5C9F8" w14:textId="563110CD" w:rsidR="003723EF" w:rsidRDefault="003723EF" w:rsidP="003723EF">
      <w:pPr>
        <w:pStyle w:val="Heading3"/>
      </w:pPr>
      <w:r>
        <w:t>Case study 4:</w:t>
      </w:r>
    </w:p>
    <w:p w14:paraId="6011F17B" w14:textId="37B3518A" w:rsidR="003723EF" w:rsidRPr="009F7137" w:rsidRDefault="003723EF" w:rsidP="003723EF">
      <w:pPr>
        <w:pStyle w:val="Normalbeforebullets"/>
        <w:rPr>
          <w:b/>
          <w:bCs/>
        </w:rPr>
      </w:pPr>
      <w:r w:rsidRPr="003723EF">
        <w:rPr>
          <w:b/>
          <w:bCs/>
        </w:rPr>
        <w:t>Elise’s cadetship</w:t>
      </w:r>
    </w:p>
    <w:p w14:paraId="4BD706B5" w14:textId="77777777" w:rsidR="003723EF" w:rsidRDefault="003723EF" w:rsidP="003723EF">
      <w:r>
        <w:t>The Elise’s career started through a Level Crossing Removal Project Rail Signal Engineer Cadetship in 2021 after completing her Electrical Engineering degree in 2020. During her degree, she took part in a rail undergraduate challenge, which opened her eyes to how engineering concepts were applied to the world of rail.</w:t>
      </w:r>
    </w:p>
    <w:p w14:paraId="132928B8" w14:textId="77777777" w:rsidR="003723EF" w:rsidRDefault="003723EF" w:rsidP="003723EF">
      <w:r>
        <w:t>This sparked her interest in a rail career, leading her to the Rail Signal Engineer Cadetship. The cadetship was the first in many steps for her career, particularly when she gained a cadet role at one of the participating employers, V/Line. Elise was just one of 5 women in the program that year. Cadetships like these form part of the MPSG that support ATCs to build on-the-job skills.</w:t>
      </w:r>
    </w:p>
    <w:p w14:paraId="2D0BE1F4" w14:textId="77777777" w:rsidR="003723EF" w:rsidRDefault="003723EF" w:rsidP="003723EF">
      <w:r>
        <w:t>Throughout the cadetship, Elise had the opportunity to grow her skills and her professional network, rotating across multiple Big Build projects, including the Fitzgerald and Robinsons Road Level Crossing Removal. Following the cadetship, Elise was promoted into her current role as a Signalling Power Systems Engineer at V/Line, one of a growing number of women in specialist engineering roles in rail.</w:t>
      </w:r>
    </w:p>
    <w:p w14:paraId="2B69D2FA" w14:textId="3BE80F94" w:rsidR="003723EF" w:rsidRDefault="003723EF" w:rsidP="003723EF">
      <w:r>
        <w:t>When describing what she loves most about her career and industry, Elise says the people and opportunities are a highlight. The opportunity to continue pursuing her passion for supporting and encouraging girls to take up STEM in the future, particularly in regional areas of Victoria, is especially a highlight. “</w:t>
      </w:r>
      <w:r w:rsidRPr="003723EF">
        <w:rPr>
          <w:i/>
          <w:iCs/>
        </w:rPr>
        <w:t>I volunteer for Robogals and Curious Minds, who supports girls with learning about STEM. I’ve been so impressed with the students’ abilities and knowledge</w:t>
      </w:r>
      <w:r>
        <w:t>”.</w:t>
      </w:r>
    </w:p>
    <w:p w14:paraId="4D9E61FC" w14:textId="51615453" w:rsidR="003723EF" w:rsidRDefault="003723EF" w:rsidP="003723EF">
      <w:pPr>
        <w:pStyle w:val="Heading3"/>
      </w:pPr>
      <w:r>
        <w:t>Case study 5:</w:t>
      </w:r>
    </w:p>
    <w:p w14:paraId="5021E506" w14:textId="267C45E6" w:rsidR="003723EF" w:rsidRPr="009F7137" w:rsidRDefault="003723EF" w:rsidP="003723EF">
      <w:pPr>
        <w:pStyle w:val="Normalbeforebullets"/>
        <w:rPr>
          <w:b/>
          <w:bCs/>
        </w:rPr>
      </w:pPr>
      <w:r w:rsidRPr="003723EF">
        <w:rPr>
          <w:b/>
          <w:bCs/>
        </w:rPr>
        <w:t xml:space="preserve">Mental Health Beds Expansion Program </w:t>
      </w:r>
    </w:p>
    <w:p w14:paraId="718BEFCC" w14:textId="77777777" w:rsidR="003723EF" w:rsidRDefault="003723EF" w:rsidP="003723EF">
      <w:r>
        <w:t xml:space="preserve">The Victorian Government’s investment into the Mental Health Beds Expansion Program has delivered 120 acute mental health beds across Sunshine Hospital, Northern Hospital, the Royal Melbourne Hospital and the McKellar Centre in Geelong, with a further 24 Hospital-in-the-Home beds delivered across the metropolitan and Barwon regions. The delivery of these beds has increased capacity, reduced pressure on emergency </w:t>
      </w:r>
      <w:r>
        <w:lastRenderedPageBreak/>
        <w:t xml:space="preserve">departments and provides additional support for people experiencing mental illness who require immediate treatment. </w:t>
      </w:r>
    </w:p>
    <w:p w14:paraId="207B5847" w14:textId="77777777" w:rsidR="003723EF" w:rsidRDefault="003723EF" w:rsidP="003723EF">
      <w:r>
        <w:t xml:space="preserve">This project generated opportunities for ATCs to work on one of Victoria’s largest construction projects. In total, 356 apprentices, trainees and cadets worked 175,000 hours on the project for 54 businesses. Additionally, 27 businesses achieved 30,800 hours by female </w:t>
      </w:r>
      <w:proofErr w:type="gramStart"/>
      <w:r>
        <w:t>ATCs</w:t>
      </w:r>
      <w:proofErr w:type="gramEnd"/>
      <w:r>
        <w:t xml:space="preserve"> and 25 businesses achieved 14,400 hours by First Nations ATCs.</w:t>
      </w:r>
    </w:p>
    <w:p w14:paraId="36F65650" w14:textId="77777777" w:rsidR="003723EF" w:rsidRDefault="003723EF" w:rsidP="003723EF">
      <w:r>
        <w:t>Local steel use was a priority for the Victorian Health Building Authority (VHBA) and Lendlease from the outset as over $50 million of steel was used across the four sites. By ensuring that the use of local steel was integrated into the design and procurement processes from the outset, supply chain issues caused by the COVID-19 pandemic were able to be mitigated. All steel was fabricated in Victoria and raw steel was sourced from mills in Australia wherever possible resulting in 96.48% local content for steel.</w:t>
      </w:r>
    </w:p>
    <w:p w14:paraId="3F5C0746" w14:textId="235A0F95" w:rsidR="003723EF" w:rsidRDefault="003723EF" w:rsidP="003723EF">
      <w:r>
        <w:t>This was the largest modular health project that the state has built with over $100 million worth of modular (prefabricated) units successfully delivered by 2 Victorian businesses. This drove significant investment in the local community and built capability and capacity within the emerging prefabrication industry. Modscape delivered the prefabricated building modules for Northern Hospital and McKellar Hospital. From the outset Modscape engaged an external social procurement advisor and Lendlease assigned its Social Impact Team to provide support in developing new initiatives to maximise community and social outcomes.</w:t>
      </w:r>
    </w:p>
    <w:p w14:paraId="297376B9" w14:textId="77777777" w:rsidR="003723EF" w:rsidRDefault="003723EF" w:rsidP="003723EF"/>
    <w:p w14:paraId="2B8F4E26" w14:textId="77777777" w:rsidR="003723EF" w:rsidRDefault="003723EF" w:rsidP="00B94EED"/>
    <w:p w14:paraId="0BAA0DE8" w14:textId="1D0C9517" w:rsidR="000F7AD5" w:rsidRDefault="00BA59A6" w:rsidP="000E14D1">
      <w:pPr>
        <w:pStyle w:val="Heading1"/>
      </w:pPr>
      <w:bookmarkStart w:id="24" w:name="_Appendix_A:_Completed"/>
      <w:bookmarkStart w:id="25" w:name="_Toc183430735"/>
      <w:bookmarkEnd w:id="24"/>
      <w:r>
        <w:t>Appendix</w:t>
      </w:r>
      <w:r w:rsidR="00CF7EE1">
        <w:t xml:space="preserve"> </w:t>
      </w:r>
      <w:r>
        <w:t>A:</w:t>
      </w:r>
      <w:r w:rsidR="00CF7EE1">
        <w:t xml:space="preserve"> </w:t>
      </w:r>
      <w:r>
        <w:t>Completed</w:t>
      </w:r>
      <w:r w:rsidR="00CF7EE1">
        <w:t xml:space="preserve"> </w:t>
      </w:r>
      <w:r>
        <w:t>Strategic</w:t>
      </w:r>
      <w:r w:rsidR="00CF7EE1">
        <w:t xml:space="preserve"> </w:t>
      </w:r>
      <w:r>
        <w:t>Projects</w:t>
      </w:r>
      <w:r w:rsidR="00CF7EE1">
        <w:t xml:space="preserve"> </w:t>
      </w:r>
      <w:r>
        <w:t>for</w:t>
      </w:r>
      <w:r w:rsidR="00CF7EE1">
        <w:t xml:space="preserve"> </w:t>
      </w:r>
      <w:r>
        <w:t>202</w:t>
      </w:r>
      <w:r w:rsidR="003723EF">
        <w:t>3</w:t>
      </w:r>
      <w:r>
        <w:noBreakHyphen/>
        <w:t>2</w:t>
      </w:r>
      <w:r w:rsidR="003723EF">
        <w:t>4</w:t>
      </w:r>
      <w:bookmarkEnd w:id="25"/>
    </w:p>
    <w:tbl>
      <w:tblPr>
        <w:tblStyle w:val="TableGrid"/>
        <w:tblW w:w="9634" w:type="dxa"/>
        <w:tblLayout w:type="fixed"/>
        <w:tblLook w:val="0620" w:firstRow="1" w:lastRow="0" w:firstColumn="0" w:lastColumn="0" w:noHBand="1" w:noVBand="1"/>
      </w:tblPr>
      <w:tblGrid>
        <w:gridCol w:w="3823"/>
        <w:gridCol w:w="4252"/>
        <w:gridCol w:w="1559"/>
      </w:tblGrid>
      <w:tr w:rsidR="000F7AD5" w:rsidRPr="008036E6" w14:paraId="60B1A812" w14:textId="77777777" w:rsidTr="00100555">
        <w:trPr>
          <w:cantSplit/>
          <w:tblHeader/>
        </w:trPr>
        <w:tc>
          <w:tcPr>
            <w:tcW w:w="3823" w:type="dxa"/>
          </w:tcPr>
          <w:p w14:paraId="15E439D4" w14:textId="77777777" w:rsidR="000F7AD5" w:rsidRPr="008036E6" w:rsidRDefault="00BA59A6" w:rsidP="00FC66D7">
            <w:pPr>
              <w:pStyle w:val="TableColumnHeading"/>
            </w:pPr>
            <w:bookmarkStart w:id="26" w:name="ColumnTitles_6"/>
            <w:bookmarkEnd w:id="26"/>
            <w:r w:rsidRPr="008036E6">
              <w:t>Project</w:t>
            </w:r>
          </w:p>
        </w:tc>
        <w:tc>
          <w:tcPr>
            <w:tcW w:w="4252" w:type="dxa"/>
            <w:shd w:val="clear" w:color="auto" w:fill="auto"/>
          </w:tcPr>
          <w:p w14:paraId="6F8B247F" w14:textId="49330CB1" w:rsidR="000F7AD5" w:rsidRPr="008036E6" w:rsidRDefault="00BA59A6" w:rsidP="00FC66D7">
            <w:pPr>
              <w:pStyle w:val="TableColumnHeading"/>
            </w:pPr>
            <w:r w:rsidRPr="008036E6">
              <w:t>Local</w:t>
            </w:r>
            <w:r w:rsidR="00CF7EE1" w:rsidRPr="008036E6">
              <w:t xml:space="preserve"> </w:t>
            </w:r>
            <w:r w:rsidRPr="008036E6">
              <w:t>Jobs</w:t>
            </w:r>
            <w:r w:rsidR="00CF7EE1" w:rsidRPr="008036E6">
              <w:t xml:space="preserve"> </w:t>
            </w:r>
            <w:r w:rsidRPr="008036E6">
              <w:t>First</w:t>
            </w:r>
            <w:r w:rsidR="00CF7EE1" w:rsidRPr="008036E6">
              <w:t xml:space="preserve"> </w:t>
            </w:r>
            <w:r w:rsidRPr="008036E6">
              <w:t>requirements</w:t>
            </w:r>
          </w:p>
        </w:tc>
        <w:tc>
          <w:tcPr>
            <w:tcW w:w="1559" w:type="dxa"/>
          </w:tcPr>
          <w:p w14:paraId="48041BF7" w14:textId="77777777" w:rsidR="000F7AD5" w:rsidRPr="008036E6" w:rsidRDefault="00BA59A6" w:rsidP="00FC66D7">
            <w:pPr>
              <w:pStyle w:val="TableColumnHeading"/>
            </w:pPr>
            <w:r w:rsidRPr="008036E6">
              <w:t>Region</w:t>
            </w:r>
          </w:p>
        </w:tc>
      </w:tr>
      <w:tr w:rsidR="003723EF" w14:paraId="0B5E75C2" w14:textId="77777777" w:rsidTr="00100555">
        <w:trPr>
          <w:cantSplit/>
        </w:trPr>
        <w:tc>
          <w:tcPr>
            <w:tcW w:w="3823" w:type="dxa"/>
          </w:tcPr>
          <w:p w14:paraId="1A89B679" w14:textId="6E50F90F" w:rsidR="003723EF" w:rsidRDefault="003723EF" w:rsidP="003723EF">
            <w:pPr>
              <w:pStyle w:val="TableCopy"/>
            </w:pPr>
            <w:r w:rsidRPr="003723EF">
              <w:t xml:space="preserve">AWP5 – Preston LX – Part of the </w:t>
            </w:r>
            <w:proofErr w:type="gramStart"/>
            <w:r w:rsidRPr="003723EF">
              <w:t>North Western</w:t>
            </w:r>
            <w:proofErr w:type="gramEnd"/>
            <w:r w:rsidRPr="003723EF">
              <w:t xml:space="preserve"> Program Alliance</w:t>
            </w:r>
          </w:p>
        </w:tc>
        <w:tc>
          <w:tcPr>
            <w:tcW w:w="4252" w:type="dxa"/>
            <w:shd w:val="clear" w:color="auto" w:fill="F2F2F2" w:themeFill="background1" w:themeFillShade="F2"/>
          </w:tcPr>
          <w:p w14:paraId="336F9722" w14:textId="77777777" w:rsidR="003723EF" w:rsidRPr="003723EF" w:rsidRDefault="003723EF" w:rsidP="003723EF">
            <w:r w:rsidRPr="003723EF">
              <w:t>89% minimum local content for the project</w:t>
            </w:r>
          </w:p>
          <w:p w14:paraId="302A0411" w14:textId="5B05AF5E" w:rsidR="003723EF" w:rsidRDefault="003723EF" w:rsidP="003723EF">
            <w:pPr>
              <w:pStyle w:val="TableCopy"/>
            </w:pPr>
            <w:r w:rsidRPr="003723EF">
              <w:t>100% local steel</w:t>
            </w:r>
          </w:p>
        </w:tc>
        <w:tc>
          <w:tcPr>
            <w:tcW w:w="1559" w:type="dxa"/>
          </w:tcPr>
          <w:p w14:paraId="56EADE49" w14:textId="042595F3" w:rsidR="003723EF" w:rsidRDefault="003723EF" w:rsidP="003723EF">
            <w:pPr>
              <w:pStyle w:val="TableCopy"/>
            </w:pPr>
            <w:r w:rsidRPr="003723EF">
              <w:t>Metro</w:t>
            </w:r>
          </w:p>
        </w:tc>
      </w:tr>
      <w:tr w:rsidR="003723EF" w14:paraId="1E5FA061" w14:textId="77777777" w:rsidTr="00100555">
        <w:trPr>
          <w:cantSplit/>
        </w:trPr>
        <w:tc>
          <w:tcPr>
            <w:tcW w:w="3823" w:type="dxa"/>
          </w:tcPr>
          <w:p w14:paraId="41D841C8" w14:textId="30F634DD" w:rsidR="003723EF" w:rsidRDefault="003723EF" w:rsidP="003723EF">
            <w:pPr>
              <w:pStyle w:val="TableCopy"/>
            </w:pPr>
            <w:r w:rsidRPr="003723EF">
              <w:t>AWP8 – Caroline Springs, Tarneit and Wyndham Vale commuter carparks – Part of the Metropolitan Roads Program Alliance</w:t>
            </w:r>
          </w:p>
        </w:tc>
        <w:tc>
          <w:tcPr>
            <w:tcW w:w="4252" w:type="dxa"/>
            <w:shd w:val="clear" w:color="auto" w:fill="F2F2F2" w:themeFill="background1" w:themeFillShade="F2"/>
          </w:tcPr>
          <w:p w14:paraId="2060793D" w14:textId="7056D4DA" w:rsidR="003723EF" w:rsidRDefault="003723EF" w:rsidP="003723EF">
            <w:pPr>
              <w:pStyle w:val="TableCopy"/>
            </w:pPr>
            <w:r w:rsidRPr="003723EF">
              <w:t>92% minimum local content for the project</w:t>
            </w:r>
          </w:p>
        </w:tc>
        <w:tc>
          <w:tcPr>
            <w:tcW w:w="1559" w:type="dxa"/>
          </w:tcPr>
          <w:p w14:paraId="3017DBFF" w14:textId="4E30B5D7" w:rsidR="003723EF" w:rsidRDefault="003723EF" w:rsidP="003723EF">
            <w:pPr>
              <w:pStyle w:val="TableCopy"/>
            </w:pPr>
            <w:r w:rsidRPr="003723EF">
              <w:t>Metro</w:t>
            </w:r>
          </w:p>
        </w:tc>
      </w:tr>
      <w:tr w:rsidR="003723EF" w14:paraId="5159AFBA" w14:textId="77777777" w:rsidTr="00100555">
        <w:trPr>
          <w:cantSplit/>
        </w:trPr>
        <w:tc>
          <w:tcPr>
            <w:tcW w:w="3823" w:type="dxa"/>
          </w:tcPr>
          <w:p w14:paraId="55985B70" w14:textId="3DBCE2AE" w:rsidR="003723EF" w:rsidRDefault="003723EF" w:rsidP="003723EF">
            <w:pPr>
              <w:pStyle w:val="TableCopy"/>
            </w:pPr>
            <w:r w:rsidRPr="003723EF">
              <w:t xml:space="preserve">Bendigo Law Courts Development Project </w:t>
            </w:r>
          </w:p>
        </w:tc>
        <w:tc>
          <w:tcPr>
            <w:tcW w:w="4252" w:type="dxa"/>
            <w:shd w:val="clear" w:color="auto" w:fill="F2F2F2" w:themeFill="background1" w:themeFillShade="F2"/>
          </w:tcPr>
          <w:p w14:paraId="50F8CC5A" w14:textId="1251046E" w:rsidR="003723EF" w:rsidRDefault="003723EF" w:rsidP="003723EF">
            <w:pPr>
              <w:pStyle w:val="TableCopy"/>
            </w:pPr>
            <w:r w:rsidRPr="003723EF">
              <w:t>92% minimum local content for the project</w:t>
            </w:r>
          </w:p>
        </w:tc>
        <w:tc>
          <w:tcPr>
            <w:tcW w:w="1559" w:type="dxa"/>
          </w:tcPr>
          <w:p w14:paraId="73C46B6A" w14:textId="4923B3EC" w:rsidR="003723EF" w:rsidRDefault="003723EF" w:rsidP="003723EF">
            <w:pPr>
              <w:pStyle w:val="TableCopy"/>
            </w:pPr>
            <w:r w:rsidRPr="003723EF">
              <w:t xml:space="preserve">Regional </w:t>
            </w:r>
          </w:p>
        </w:tc>
      </w:tr>
      <w:tr w:rsidR="003723EF" w14:paraId="15D3D5AC" w14:textId="77777777" w:rsidTr="00100555">
        <w:trPr>
          <w:cantSplit/>
        </w:trPr>
        <w:tc>
          <w:tcPr>
            <w:tcW w:w="3823" w:type="dxa"/>
          </w:tcPr>
          <w:p w14:paraId="78B753E6" w14:textId="79BA34E8" w:rsidR="003723EF" w:rsidRDefault="003723EF" w:rsidP="003723EF">
            <w:pPr>
              <w:pStyle w:val="TableCopy"/>
            </w:pPr>
            <w:r w:rsidRPr="003723EF">
              <w:lastRenderedPageBreak/>
              <w:t xml:space="preserve">Design and Construction of New Schools 2024 – Bundle A </w:t>
            </w:r>
          </w:p>
        </w:tc>
        <w:tc>
          <w:tcPr>
            <w:tcW w:w="4252" w:type="dxa"/>
            <w:shd w:val="clear" w:color="auto" w:fill="F2F2F2" w:themeFill="background1" w:themeFillShade="F2"/>
          </w:tcPr>
          <w:p w14:paraId="778C8FC1" w14:textId="77777777" w:rsidR="003723EF" w:rsidRPr="003723EF" w:rsidRDefault="003723EF" w:rsidP="003723EF">
            <w:r w:rsidRPr="003723EF">
              <w:t>91% minimum local content for the project</w:t>
            </w:r>
          </w:p>
          <w:p w14:paraId="2C1A9CE3" w14:textId="6673D978" w:rsidR="003723EF" w:rsidRDefault="003723EF" w:rsidP="003723EF">
            <w:pPr>
              <w:pStyle w:val="TableCopy"/>
            </w:pPr>
            <w:r w:rsidRPr="003723EF">
              <w:t>Maximise local steel</w:t>
            </w:r>
          </w:p>
        </w:tc>
        <w:tc>
          <w:tcPr>
            <w:tcW w:w="1559" w:type="dxa"/>
          </w:tcPr>
          <w:p w14:paraId="14016D89" w14:textId="056AC244" w:rsidR="003723EF" w:rsidRDefault="003723EF" w:rsidP="003723EF">
            <w:pPr>
              <w:pStyle w:val="TableCopy"/>
            </w:pPr>
            <w:r w:rsidRPr="003723EF">
              <w:t xml:space="preserve">State-wide </w:t>
            </w:r>
          </w:p>
        </w:tc>
      </w:tr>
      <w:tr w:rsidR="003723EF" w14:paraId="39F9EB25" w14:textId="77777777" w:rsidTr="00100555">
        <w:trPr>
          <w:cantSplit/>
        </w:trPr>
        <w:tc>
          <w:tcPr>
            <w:tcW w:w="3823" w:type="dxa"/>
          </w:tcPr>
          <w:p w14:paraId="7AB8E419" w14:textId="6BAB4CDE" w:rsidR="003723EF" w:rsidRDefault="003723EF" w:rsidP="003723EF">
            <w:pPr>
              <w:pStyle w:val="TableCopy"/>
            </w:pPr>
            <w:r w:rsidRPr="003723EF">
              <w:t xml:space="preserve">Geelong Arts Centre Stage 3 Redevelopment </w:t>
            </w:r>
          </w:p>
        </w:tc>
        <w:tc>
          <w:tcPr>
            <w:tcW w:w="4252" w:type="dxa"/>
            <w:shd w:val="clear" w:color="auto" w:fill="F2F2F2" w:themeFill="background1" w:themeFillShade="F2"/>
          </w:tcPr>
          <w:p w14:paraId="22139143" w14:textId="25B0DA42" w:rsidR="003723EF" w:rsidRDefault="003723EF" w:rsidP="003723EF">
            <w:pPr>
              <w:pStyle w:val="TableCopy"/>
            </w:pPr>
            <w:r w:rsidRPr="003723EF">
              <w:t>90% minimum local content for the project</w:t>
            </w:r>
          </w:p>
        </w:tc>
        <w:tc>
          <w:tcPr>
            <w:tcW w:w="1559" w:type="dxa"/>
          </w:tcPr>
          <w:p w14:paraId="63B88CAE" w14:textId="0CB1E854" w:rsidR="003723EF" w:rsidRDefault="003723EF" w:rsidP="003723EF">
            <w:pPr>
              <w:pStyle w:val="TableCopy"/>
            </w:pPr>
            <w:r w:rsidRPr="003723EF">
              <w:t xml:space="preserve">Regional </w:t>
            </w:r>
          </w:p>
        </w:tc>
      </w:tr>
      <w:tr w:rsidR="003723EF" w14:paraId="1D247635" w14:textId="77777777" w:rsidTr="00100555">
        <w:trPr>
          <w:cantSplit/>
        </w:trPr>
        <w:tc>
          <w:tcPr>
            <w:tcW w:w="3823" w:type="dxa"/>
          </w:tcPr>
          <w:p w14:paraId="43BEAE8D" w14:textId="202A8388" w:rsidR="003723EF" w:rsidRDefault="003723EF" w:rsidP="003723EF">
            <w:pPr>
              <w:pStyle w:val="TableCopy"/>
            </w:pPr>
            <w:r w:rsidRPr="003723EF">
              <w:t xml:space="preserve">Kardinia Park Stadium (GMHBA) – Stage 5 Redevelopment </w:t>
            </w:r>
          </w:p>
        </w:tc>
        <w:tc>
          <w:tcPr>
            <w:tcW w:w="4252" w:type="dxa"/>
            <w:shd w:val="clear" w:color="auto" w:fill="F2F2F2" w:themeFill="background1" w:themeFillShade="F2"/>
          </w:tcPr>
          <w:p w14:paraId="053B3556" w14:textId="1A04C7E8" w:rsidR="003723EF" w:rsidRDefault="003723EF" w:rsidP="003723EF">
            <w:pPr>
              <w:pStyle w:val="TableCopy"/>
            </w:pPr>
            <w:r w:rsidRPr="003723EF">
              <w:t>91% minimum local content for the project</w:t>
            </w:r>
          </w:p>
        </w:tc>
        <w:tc>
          <w:tcPr>
            <w:tcW w:w="1559" w:type="dxa"/>
          </w:tcPr>
          <w:p w14:paraId="4B79DD1D" w14:textId="4475DE68" w:rsidR="003723EF" w:rsidRDefault="003723EF" w:rsidP="003723EF">
            <w:pPr>
              <w:pStyle w:val="TableCopy"/>
            </w:pPr>
            <w:r w:rsidRPr="003723EF">
              <w:t xml:space="preserve">Regional </w:t>
            </w:r>
          </w:p>
        </w:tc>
      </w:tr>
      <w:tr w:rsidR="003723EF" w14:paraId="6B669B9C" w14:textId="77777777" w:rsidTr="00100555">
        <w:trPr>
          <w:cantSplit/>
        </w:trPr>
        <w:tc>
          <w:tcPr>
            <w:tcW w:w="3823" w:type="dxa"/>
          </w:tcPr>
          <w:p w14:paraId="1AD78C79" w14:textId="78E20E6D" w:rsidR="003723EF" w:rsidRDefault="003723EF" w:rsidP="003723EF">
            <w:pPr>
              <w:pStyle w:val="TableCopy"/>
            </w:pPr>
            <w:r w:rsidRPr="003723EF">
              <w:t>Latrobe Regional Hospital Stage 3A</w:t>
            </w:r>
          </w:p>
        </w:tc>
        <w:tc>
          <w:tcPr>
            <w:tcW w:w="4252" w:type="dxa"/>
            <w:shd w:val="clear" w:color="auto" w:fill="F2F2F2" w:themeFill="background1" w:themeFillShade="F2"/>
          </w:tcPr>
          <w:p w14:paraId="5A34C0CB" w14:textId="135052DA" w:rsidR="003723EF" w:rsidRDefault="003723EF" w:rsidP="003723EF">
            <w:pPr>
              <w:pStyle w:val="TableCopy"/>
            </w:pPr>
            <w:r w:rsidRPr="003723EF">
              <w:t>90% minimum local content for the project</w:t>
            </w:r>
          </w:p>
        </w:tc>
        <w:tc>
          <w:tcPr>
            <w:tcW w:w="1559" w:type="dxa"/>
          </w:tcPr>
          <w:p w14:paraId="34D5067C" w14:textId="0B87345D" w:rsidR="003723EF" w:rsidRDefault="003723EF" w:rsidP="003723EF">
            <w:pPr>
              <w:pStyle w:val="TableCopy"/>
            </w:pPr>
            <w:r w:rsidRPr="003723EF">
              <w:t>Regional</w:t>
            </w:r>
          </w:p>
        </w:tc>
      </w:tr>
      <w:tr w:rsidR="003723EF" w14:paraId="6BB1D5A3" w14:textId="77777777" w:rsidTr="00100555">
        <w:trPr>
          <w:cantSplit/>
        </w:trPr>
        <w:tc>
          <w:tcPr>
            <w:tcW w:w="3823" w:type="dxa"/>
          </w:tcPr>
          <w:p w14:paraId="5A6CA455" w14:textId="5CF08BFB" w:rsidR="003723EF" w:rsidRDefault="003723EF" w:rsidP="003723EF">
            <w:pPr>
              <w:pStyle w:val="TableCopy"/>
            </w:pPr>
            <w:r w:rsidRPr="003723EF">
              <w:t xml:space="preserve">Melbourne Park Redevelopment Stage 3 </w:t>
            </w:r>
          </w:p>
        </w:tc>
        <w:tc>
          <w:tcPr>
            <w:tcW w:w="4252" w:type="dxa"/>
            <w:shd w:val="clear" w:color="auto" w:fill="F2F2F2" w:themeFill="background1" w:themeFillShade="F2"/>
          </w:tcPr>
          <w:p w14:paraId="14E94A0A" w14:textId="1336FEDE" w:rsidR="003723EF" w:rsidRDefault="003723EF" w:rsidP="003723EF">
            <w:pPr>
              <w:pStyle w:val="TableCopy"/>
            </w:pPr>
            <w:r w:rsidRPr="003723EF">
              <w:t>90% minimum local content for the project</w:t>
            </w:r>
          </w:p>
        </w:tc>
        <w:tc>
          <w:tcPr>
            <w:tcW w:w="1559" w:type="dxa"/>
          </w:tcPr>
          <w:p w14:paraId="54CA3075" w14:textId="3FDC4697" w:rsidR="003723EF" w:rsidRDefault="003723EF" w:rsidP="003723EF">
            <w:pPr>
              <w:pStyle w:val="TableCopy"/>
            </w:pPr>
            <w:r w:rsidRPr="003723EF">
              <w:t xml:space="preserve">Metro </w:t>
            </w:r>
          </w:p>
        </w:tc>
      </w:tr>
      <w:tr w:rsidR="003723EF" w14:paraId="4F54488F" w14:textId="77777777" w:rsidTr="00100555">
        <w:trPr>
          <w:cantSplit/>
        </w:trPr>
        <w:tc>
          <w:tcPr>
            <w:tcW w:w="3823" w:type="dxa"/>
          </w:tcPr>
          <w:p w14:paraId="205DC5F4" w14:textId="008CF4B0" w:rsidR="003723EF" w:rsidRDefault="003723EF" w:rsidP="003723EF">
            <w:pPr>
              <w:pStyle w:val="TableCopy"/>
            </w:pPr>
            <w:r w:rsidRPr="003723EF">
              <w:t xml:space="preserve">North Melbourne Hill Primary School </w:t>
            </w:r>
          </w:p>
        </w:tc>
        <w:tc>
          <w:tcPr>
            <w:tcW w:w="4252" w:type="dxa"/>
            <w:shd w:val="clear" w:color="auto" w:fill="F2F2F2" w:themeFill="background1" w:themeFillShade="F2"/>
          </w:tcPr>
          <w:p w14:paraId="3A93B1A5" w14:textId="77777777" w:rsidR="003723EF" w:rsidRPr="003723EF" w:rsidRDefault="003723EF" w:rsidP="003723EF">
            <w:r w:rsidRPr="003723EF">
              <w:t>92% minimum local content for the project</w:t>
            </w:r>
          </w:p>
          <w:p w14:paraId="487FDF4E" w14:textId="4F12D923" w:rsidR="003723EF" w:rsidRDefault="003723EF" w:rsidP="003723EF">
            <w:pPr>
              <w:pStyle w:val="TableCopy"/>
            </w:pPr>
            <w:r w:rsidRPr="003723EF">
              <w:t>All consultants including but not limited to architects, designers, engineers and other advisors must preference solutions that maximise the use of local materials, finishes, products, goods and services in construction including fittings, fixtures and equipment wherever possible</w:t>
            </w:r>
          </w:p>
        </w:tc>
        <w:tc>
          <w:tcPr>
            <w:tcW w:w="1559" w:type="dxa"/>
          </w:tcPr>
          <w:p w14:paraId="6CA69FFB" w14:textId="212102FC" w:rsidR="003723EF" w:rsidRDefault="003723EF" w:rsidP="003723EF">
            <w:pPr>
              <w:pStyle w:val="TableCopy"/>
            </w:pPr>
            <w:r w:rsidRPr="003723EF">
              <w:t xml:space="preserve">Metro </w:t>
            </w:r>
          </w:p>
        </w:tc>
      </w:tr>
      <w:tr w:rsidR="003723EF" w14:paraId="245F9D63" w14:textId="77777777" w:rsidTr="00100555">
        <w:trPr>
          <w:cantSplit/>
        </w:trPr>
        <w:tc>
          <w:tcPr>
            <w:tcW w:w="3823" w:type="dxa"/>
          </w:tcPr>
          <w:p w14:paraId="6F7070D6" w14:textId="0A7C4D46" w:rsidR="003723EF" w:rsidRDefault="003723EF" w:rsidP="003723EF">
            <w:pPr>
              <w:pStyle w:val="TableCopy"/>
            </w:pPr>
            <w:r w:rsidRPr="003723EF">
              <w:t>Program B – Sunbury Road Upgrade</w:t>
            </w:r>
          </w:p>
        </w:tc>
        <w:tc>
          <w:tcPr>
            <w:tcW w:w="4252" w:type="dxa"/>
            <w:shd w:val="clear" w:color="auto" w:fill="F2F2F2" w:themeFill="background1" w:themeFillShade="F2"/>
          </w:tcPr>
          <w:p w14:paraId="5DAD3418" w14:textId="77777777" w:rsidR="003723EF" w:rsidRPr="003723EF" w:rsidRDefault="003723EF" w:rsidP="003723EF">
            <w:r w:rsidRPr="003723EF">
              <w:t>96% minimum local content for the project</w:t>
            </w:r>
          </w:p>
          <w:p w14:paraId="47A5A83E" w14:textId="58B4695D" w:rsidR="003723EF" w:rsidRDefault="003723EF" w:rsidP="003723EF">
            <w:pPr>
              <w:pStyle w:val="TableCopy"/>
            </w:pPr>
            <w:r w:rsidRPr="003723EF">
              <w:t>All consultants including but not limited to architects, designers, engineers and other advisors must preference solutions that maximise the use of local materials, finishes, products, goods and services in construction including fittings, fixtures and equipment wherever possible</w:t>
            </w:r>
          </w:p>
        </w:tc>
        <w:tc>
          <w:tcPr>
            <w:tcW w:w="1559" w:type="dxa"/>
          </w:tcPr>
          <w:p w14:paraId="39343EF2" w14:textId="1C3AFD2A" w:rsidR="003723EF" w:rsidRDefault="003723EF" w:rsidP="003723EF">
            <w:pPr>
              <w:pStyle w:val="TableCopy"/>
            </w:pPr>
            <w:r w:rsidRPr="003723EF">
              <w:t>Metro</w:t>
            </w:r>
          </w:p>
        </w:tc>
      </w:tr>
      <w:tr w:rsidR="003723EF" w14:paraId="438A5CE7" w14:textId="77777777" w:rsidTr="00100555">
        <w:trPr>
          <w:cantSplit/>
        </w:trPr>
        <w:tc>
          <w:tcPr>
            <w:tcW w:w="3823" w:type="dxa"/>
          </w:tcPr>
          <w:p w14:paraId="12483FB1" w14:textId="1E0EE8B6" w:rsidR="003723EF" w:rsidRDefault="003723EF" w:rsidP="003723EF">
            <w:pPr>
              <w:pStyle w:val="TableCopy"/>
            </w:pPr>
            <w:r w:rsidRPr="003723EF">
              <w:lastRenderedPageBreak/>
              <w:t xml:space="preserve">Program E – Barwon Heads Road Duplication Stage 1 </w:t>
            </w:r>
          </w:p>
        </w:tc>
        <w:tc>
          <w:tcPr>
            <w:tcW w:w="4252" w:type="dxa"/>
            <w:shd w:val="clear" w:color="auto" w:fill="F2F2F2" w:themeFill="background1" w:themeFillShade="F2"/>
          </w:tcPr>
          <w:p w14:paraId="3D02474A" w14:textId="77777777" w:rsidR="003723EF" w:rsidRPr="003723EF" w:rsidRDefault="003723EF" w:rsidP="003723EF">
            <w:r w:rsidRPr="003723EF">
              <w:t>96% minimum local content for the project</w:t>
            </w:r>
          </w:p>
          <w:p w14:paraId="78C021B8" w14:textId="1B75AC10" w:rsidR="003723EF" w:rsidRDefault="003723EF" w:rsidP="003723EF">
            <w:pPr>
              <w:pStyle w:val="TableCopy"/>
            </w:pPr>
            <w:r w:rsidRPr="003723EF">
              <w:t>95% local steel</w:t>
            </w:r>
          </w:p>
        </w:tc>
        <w:tc>
          <w:tcPr>
            <w:tcW w:w="1559" w:type="dxa"/>
          </w:tcPr>
          <w:p w14:paraId="7DDA876D" w14:textId="0C56B4E9" w:rsidR="003723EF" w:rsidRDefault="003723EF" w:rsidP="003723EF">
            <w:pPr>
              <w:pStyle w:val="TableCopy"/>
            </w:pPr>
            <w:r w:rsidRPr="003723EF">
              <w:t xml:space="preserve">Regional </w:t>
            </w:r>
          </w:p>
        </w:tc>
      </w:tr>
      <w:tr w:rsidR="003723EF" w14:paraId="0F8F0161" w14:textId="77777777" w:rsidTr="00100555">
        <w:trPr>
          <w:cantSplit/>
        </w:trPr>
        <w:tc>
          <w:tcPr>
            <w:tcW w:w="3823" w:type="dxa"/>
          </w:tcPr>
          <w:p w14:paraId="54006213" w14:textId="756712FA" w:rsidR="003723EF" w:rsidRDefault="003723EF" w:rsidP="003723EF">
            <w:pPr>
              <w:pStyle w:val="TableCopy"/>
            </w:pPr>
            <w:r w:rsidRPr="003723EF">
              <w:t xml:space="preserve">Program F – Healesville Koo Wee Rup Road South Upgrade </w:t>
            </w:r>
          </w:p>
        </w:tc>
        <w:tc>
          <w:tcPr>
            <w:tcW w:w="4252" w:type="dxa"/>
            <w:shd w:val="clear" w:color="auto" w:fill="F2F2F2" w:themeFill="background1" w:themeFillShade="F2"/>
          </w:tcPr>
          <w:p w14:paraId="0E4FF3D7" w14:textId="77777777" w:rsidR="003723EF" w:rsidRPr="003723EF" w:rsidRDefault="003723EF" w:rsidP="003723EF">
            <w:r w:rsidRPr="003723EF">
              <w:t>97% minimum local content for the project</w:t>
            </w:r>
          </w:p>
          <w:p w14:paraId="2DBF5F06" w14:textId="2C4A2BB0" w:rsidR="003723EF" w:rsidRDefault="003723EF" w:rsidP="003723EF">
            <w:pPr>
              <w:pStyle w:val="TableCopy"/>
            </w:pPr>
            <w:r w:rsidRPr="003723EF">
              <w:t>All consultants, including but not limited to architects, designers, engineers and other advisers must preference solutions that maximise the use of local materials, finishes, products, goods and services in construction including fittings, fixtures and equipment wherever possible</w:t>
            </w:r>
          </w:p>
        </w:tc>
        <w:tc>
          <w:tcPr>
            <w:tcW w:w="1559" w:type="dxa"/>
          </w:tcPr>
          <w:p w14:paraId="21AD4724" w14:textId="347ADBB3" w:rsidR="003723EF" w:rsidRDefault="003723EF" w:rsidP="003723EF">
            <w:pPr>
              <w:pStyle w:val="TableCopy"/>
            </w:pPr>
            <w:r w:rsidRPr="003723EF">
              <w:t xml:space="preserve">Metro </w:t>
            </w:r>
          </w:p>
        </w:tc>
      </w:tr>
      <w:tr w:rsidR="003723EF" w14:paraId="76E158D1" w14:textId="77777777" w:rsidTr="00100555">
        <w:trPr>
          <w:cantSplit/>
        </w:trPr>
        <w:tc>
          <w:tcPr>
            <w:tcW w:w="3823" w:type="dxa"/>
          </w:tcPr>
          <w:p w14:paraId="285BEC5C" w14:textId="684B36EB" w:rsidR="003723EF" w:rsidRDefault="003723EF" w:rsidP="003723EF">
            <w:pPr>
              <w:pStyle w:val="TableCopy"/>
            </w:pPr>
            <w:r w:rsidRPr="003723EF">
              <w:t>Rail Infrastructure Alliance – RIA – New Scope Direction Notice</w:t>
            </w:r>
          </w:p>
        </w:tc>
        <w:tc>
          <w:tcPr>
            <w:tcW w:w="4252" w:type="dxa"/>
            <w:shd w:val="clear" w:color="auto" w:fill="F2F2F2" w:themeFill="background1" w:themeFillShade="F2"/>
          </w:tcPr>
          <w:p w14:paraId="2886CDDC" w14:textId="77777777" w:rsidR="003723EF" w:rsidRPr="003723EF" w:rsidRDefault="003723EF" w:rsidP="003723EF">
            <w:r w:rsidRPr="003723EF">
              <w:t>96% minimum local content for the project</w:t>
            </w:r>
          </w:p>
          <w:p w14:paraId="6987561E" w14:textId="56942765" w:rsidR="003723EF" w:rsidRDefault="003723EF" w:rsidP="003723EF">
            <w:pPr>
              <w:pStyle w:val="TableCopy"/>
            </w:pPr>
            <w:r w:rsidRPr="003723EF">
              <w:t>Maximise local steel</w:t>
            </w:r>
          </w:p>
        </w:tc>
        <w:tc>
          <w:tcPr>
            <w:tcW w:w="1559" w:type="dxa"/>
          </w:tcPr>
          <w:p w14:paraId="07FFAECB" w14:textId="0CB8298F" w:rsidR="003723EF" w:rsidRDefault="003723EF" w:rsidP="003723EF">
            <w:pPr>
              <w:pStyle w:val="TableCopy"/>
            </w:pPr>
            <w:r w:rsidRPr="003723EF">
              <w:t>Metro</w:t>
            </w:r>
          </w:p>
        </w:tc>
      </w:tr>
      <w:tr w:rsidR="003723EF" w14:paraId="04F5B435" w14:textId="77777777" w:rsidTr="00100555">
        <w:trPr>
          <w:cantSplit/>
        </w:trPr>
        <w:tc>
          <w:tcPr>
            <w:tcW w:w="3823" w:type="dxa"/>
          </w:tcPr>
          <w:p w14:paraId="0DEA06BB" w14:textId="101EFA97" w:rsidR="003723EF" w:rsidRDefault="003723EF" w:rsidP="003723EF">
            <w:pPr>
              <w:pStyle w:val="TableCopy"/>
            </w:pPr>
            <w:r w:rsidRPr="003723EF">
              <w:t xml:space="preserve">Wave 1 Public Housing Redevelopment – Design Consultancy Services &amp; Construction </w:t>
            </w:r>
          </w:p>
        </w:tc>
        <w:tc>
          <w:tcPr>
            <w:tcW w:w="4252" w:type="dxa"/>
            <w:shd w:val="clear" w:color="auto" w:fill="F2F2F2" w:themeFill="background1" w:themeFillShade="F2"/>
          </w:tcPr>
          <w:p w14:paraId="0F8029B5" w14:textId="77777777" w:rsidR="003723EF" w:rsidRPr="003723EF" w:rsidRDefault="003723EF" w:rsidP="003723EF">
            <w:r w:rsidRPr="003723EF">
              <w:t>91% minimum local content for the project</w:t>
            </w:r>
          </w:p>
          <w:p w14:paraId="6610E2B0" w14:textId="42CCB6BB" w:rsidR="003723EF" w:rsidRDefault="003723EF" w:rsidP="003723EF">
            <w:pPr>
              <w:pStyle w:val="TableCopy"/>
            </w:pPr>
            <w:r w:rsidRPr="003723EF">
              <w:t>All consultants, including but not limited to architects, designers, engineers and other advisers must preference solutions that maximise the use of local materials, finishes, products, goods and services in construction including fittings, fixtures and equipment wherever possible</w:t>
            </w:r>
          </w:p>
        </w:tc>
        <w:tc>
          <w:tcPr>
            <w:tcW w:w="1559" w:type="dxa"/>
          </w:tcPr>
          <w:p w14:paraId="30D560F7" w14:textId="428B03B1" w:rsidR="003723EF" w:rsidRDefault="003723EF" w:rsidP="003723EF">
            <w:pPr>
              <w:pStyle w:val="TableCopy"/>
            </w:pPr>
            <w:r w:rsidRPr="003723EF">
              <w:t xml:space="preserve">Metro </w:t>
            </w:r>
          </w:p>
        </w:tc>
      </w:tr>
    </w:tbl>
    <w:p w14:paraId="2DEE37D1" w14:textId="77777777" w:rsidR="003723EF" w:rsidRPr="003723EF" w:rsidRDefault="003723EF" w:rsidP="003723EF"/>
    <w:sectPr w:rsidR="003723EF" w:rsidRPr="003723EF" w:rsidSect="001C685F">
      <w:headerReference w:type="even" r:id="rId21"/>
      <w:footerReference w:type="even" r:id="rId22"/>
      <w:headerReference w:type="first" r:id="rId23"/>
      <w:footerReference w:type="first" r:id="rId24"/>
      <w:pgSz w:w="11906" w:h="16838" w:code="9"/>
      <w:pgMar w:top="1134"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BC44" w14:textId="77777777" w:rsidR="00EF1E98" w:rsidRDefault="00EF1E98" w:rsidP="00825B0F">
      <w:pPr>
        <w:spacing w:after="0" w:line="240" w:lineRule="auto"/>
      </w:pPr>
      <w:r>
        <w:separator/>
      </w:r>
    </w:p>
  </w:endnote>
  <w:endnote w:type="continuationSeparator" w:id="0">
    <w:p w14:paraId="26321D21" w14:textId="77777777" w:rsidR="00EF1E98" w:rsidRDefault="00EF1E98" w:rsidP="0082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VIC Light">
    <w:panose1 w:val="00000400000000000000"/>
    <w:charset w:val="4D"/>
    <w:family w:val="auto"/>
    <w:notTrueType/>
    <w:pitch w:val="variable"/>
    <w:sig w:usb0="00000007" w:usb1="00000000" w:usb2="00000000" w:usb3="00000000" w:csb0="00000093" w:csb1="00000000"/>
  </w:font>
  <w:font w:name="VIC">
    <w:panose1 w:val="00000500000000000000"/>
    <w:charset w:val="4D"/>
    <w:family w:val="auto"/>
    <w:pitch w:val="variable"/>
    <w:sig w:usb0="00000007" w:usb1="00000000" w:usb2="00000000" w:usb3="00000000" w:csb0="00000093" w:csb1="00000000"/>
  </w:font>
  <w:font w:name="VIC Medium">
    <w:panose1 w:val="00000600000000000000"/>
    <w:charset w:val="4D"/>
    <w:family w:val="auto"/>
    <w:pitch w:val="variable"/>
    <w:sig w:usb0="00000007" w:usb1="00000000" w:usb2="00000000" w:usb3="00000000" w:csb0="00000093" w:csb1="00000000"/>
  </w:font>
  <w:font w:name="VIC SemiBold">
    <w:panose1 w:val="00000000000000000000"/>
    <w:charset w:val="4D"/>
    <w:family w:val="auto"/>
    <w:notTrueType/>
    <w:pitch w:val="variable"/>
    <w:sig w:usb0="00000007" w:usb1="00000000" w:usb2="00000000" w:usb3="00000000" w:csb0="00000093" w:csb1="00000000"/>
  </w:font>
  <w:font w:name="VIC Light Italic">
    <w:panose1 w:val="00000400000000000000"/>
    <w:charset w:val="4D"/>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BB50" w14:textId="1C27EFA0" w:rsidR="00825B0F" w:rsidRDefault="00825B0F">
    <w:pPr>
      <w:pStyle w:val="Footer"/>
    </w:pPr>
    <w:r>
      <w:rPr>
        <w:noProof/>
      </w:rPr>
      <mc:AlternateContent>
        <mc:Choice Requires="wps">
          <w:drawing>
            <wp:anchor distT="0" distB="0" distL="0" distR="0" simplePos="0" relativeHeight="251662336" behindDoc="0" locked="0" layoutInCell="1" allowOverlap="1" wp14:anchorId="43209A60" wp14:editId="5D79D21D">
              <wp:simplePos x="635" y="635"/>
              <wp:positionH relativeFrom="column">
                <wp:align>center</wp:align>
              </wp:positionH>
              <wp:positionV relativeFrom="paragraph">
                <wp:posOffset>635</wp:posOffset>
              </wp:positionV>
              <wp:extent cx="443865" cy="443865"/>
              <wp:effectExtent l="0" t="0" r="18415" b="190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1D45C" w14:textId="39FCA95C" w:rsidR="00825B0F" w:rsidRPr="00825B0F" w:rsidRDefault="00825B0F">
                          <w:pPr>
                            <w:rPr>
                              <w:rFonts w:eastAsia="Arial"/>
                              <w:color w:val="000000"/>
                              <w:szCs w:val="24"/>
                            </w:rPr>
                          </w:pPr>
                          <w:r w:rsidRPr="00825B0F">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209A60" id="_x0000_t202" coordsize="21600,21600" o:spt="202" path="m,l,21600r21600,l21600,xe">
              <v:stroke joinstyle="miter"/>
              <v:path gradientshapeok="t" o:connecttype="rect"/>
            </v:shapetype>
            <v:shape id="Text Box 8" o:spid="_x0000_s1027"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FC1D45C" w14:textId="39FCA95C" w:rsidR="00825B0F" w:rsidRPr="00825B0F" w:rsidRDefault="00825B0F">
                    <w:pPr>
                      <w:rPr>
                        <w:rFonts w:eastAsia="Arial"/>
                        <w:color w:val="000000"/>
                        <w:szCs w:val="24"/>
                      </w:rPr>
                    </w:pPr>
                    <w:r w:rsidRPr="00825B0F">
                      <w:rPr>
                        <w:rFonts w:eastAsia="Arial"/>
                        <w:color w:val="000000"/>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BC345" w14:textId="5E1E5113" w:rsidR="00825B0F" w:rsidRDefault="00825B0F">
    <w:pPr>
      <w:pStyle w:val="Footer"/>
    </w:pPr>
    <w:r>
      <w:rPr>
        <w:noProof/>
      </w:rPr>
      <mc:AlternateContent>
        <mc:Choice Requires="wps">
          <w:drawing>
            <wp:anchor distT="0" distB="0" distL="0" distR="0" simplePos="0" relativeHeight="251661312" behindDoc="0" locked="0" layoutInCell="1" allowOverlap="1" wp14:anchorId="4C192FC7" wp14:editId="26E47DBF">
              <wp:simplePos x="635" y="635"/>
              <wp:positionH relativeFrom="column">
                <wp:align>center</wp:align>
              </wp:positionH>
              <wp:positionV relativeFrom="paragraph">
                <wp:posOffset>635</wp:posOffset>
              </wp:positionV>
              <wp:extent cx="443865" cy="443865"/>
              <wp:effectExtent l="0" t="0" r="18415" b="190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C55C7" w14:textId="0DD393A7" w:rsidR="00825B0F" w:rsidRPr="00825B0F" w:rsidRDefault="00825B0F">
                          <w:pPr>
                            <w:rPr>
                              <w:rFonts w:eastAsia="Arial"/>
                              <w:color w:val="000000"/>
                              <w:szCs w:val="24"/>
                            </w:rPr>
                          </w:pPr>
                          <w:r w:rsidRPr="00825B0F">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192FC7"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6DC55C7" w14:textId="0DD393A7" w:rsidR="00825B0F" w:rsidRPr="00825B0F" w:rsidRDefault="00825B0F">
                    <w:pPr>
                      <w:rPr>
                        <w:rFonts w:eastAsia="Arial"/>
                        <w:color w:val="000000"/>
                        <w:szCs w:val="24"/>
                      </w:rPr>
                    </w:pPr>
                    <w:r w:rsidRPr="00825B0F">
                      <w:rPr>
                        <w:rFonts w:eastAsia="Arial"/>
                        <w:color w:val="000000"/>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9DB8C" w14:textId="77777777" w:rsidR="00EF1E98" w:rsidRDefault="00EF1E98" w:rsidP="00825B0F">
      <w:pPr>
        <w:spacing w:after="0" w:line="240" w:lineRule="auto"/>
      </w:pPr>
      <w:r>
        <w:separator/>
      </w:r>
    </w:p>
  </w:footnote>
  <w:footnote w:type="continuationSeparator" w:id="0">
    <w:p w14:paraId="742496B6" w14:textId="77777777" w:rsidR="00EF1E98" w:rsidRDefault="00EF1E98" w:rsidP="00825B0F">
      <w:pPr>
        <w:spacing w:after="0" w:line="240" w:lineRule="auto"/>
      </w:pPr>
      <w:r>
        <w:continuationSeparator/>
      </w:r>
    </w:p>
  </w:footnote>
  <w:footnote w:id="1">
    <w:p w14:paraId="49A391AE" w14:textId="43E7C641" w:rsidR="00F43CBE" w:rsidRPr="00F43CBE" w:rsidRDefault="00F43CBE" w:rsidP="00F43CBE">
      <w:pPr>
        <w:pStyle w:val="FootnoteText"/>
        <w:ind w:left="170" w:hanging="170"/>
        <w:rPr>
          <w:lang w:val="en-US"/>
        </w:rPr>
      </w:pPr>
      <w:r>
        <w:rPr>
          <w:rStyle w:val="FootnoteReference"/>
        </w:rPr>
        <w:footnoteRef/>
      </w:r>
      <w:r>
        <w:t xml:space="preserve"> </w:t>
      </w:r>
      <w:r w:rsidR="009E7304" w:rsidRPr="009E7304">
        <w:t>MPSG Commitments and outcomes are reported separately to the annual report and include pre-award, commenced, ongoing and completed projects. Unlike figures elsewhere in this report, these figures are cumulative and are not exclusively from the 2023-24 financial year. The region type (metro, regional or statewide) was not available for 2 projects. These 2 projects achieved 77 ATC positions and 24,818 hours to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EAC7" w14:textId="370FB234" w:rsidR="00825B0F" w:rsidRDefault="00825B0F">
    <w:pPr>
      <w:pStyle w:val="Header"/>
    </w:pPr>
    <w:r>
      <w:rPr>
        <w:noProof/>
      </w:rPr>
      <mc:AlternateContent>
        <mc:Choice Requires="wps">
          <w:drawing>
            <wp:anchor distT="0" distB="0" distL="0" distR="0" simplePos="0" relativeHeight="251659264" behindDoc="0" locked="0" layoutInCell="1" allowOverlap="1" wp14:anchorId="70345625" wp14:editId="2A979631">
              <wp:simplePos x="635" y="635"/>
              <wp:positionH relativeFrom="column">
                <wp:align>center</wp:align>
              </wp:positionH>
              <wp:positionV relativeFrom="paragraph">
                <wp:posOffset>635</wp:posOffset>
              </wp:positionV>
              <wp:extent cx="443865" cy="443865"/>
              <wp:effectExtent l="0" t="0" r="18415" b="190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BC132" w14:textId="020F85CB" w:rsidR="00825B0F" w:rsidRPr="00825B0F" w:rsidRDefault="00825B0F">
                          <w:pPr>
                            <w:rPr>
                              <w:rFonts w:eastAsia="Arial"/>
                              <w:color w:val="000000"/>
                              <w:szCs w:val="24"/>
                            </w:rPr>
                          </w:pPr>
                          <w:r w:rsidRPr="00825B0F">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345625"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35BC132" w14:textId="020F85CB" w:rsidR="00825B0F" w:rsidRPr="00825B0F" w:rsidRDefault="00825B0F">
                    <w:pPr>
                      <w:rPr>
                        <w:rFonts w:eastAsia="Arial"/>
                        <w:color w:val="000000"/>
                        <w:szCs w:val="24"/>
                      </w:rPr>
                    </w:pPr>
                    <w:r w:rsidRPr="00825B0F">
                      <w:rPr>
                        <w:rFonts w:eastAsia="Arial"/>
                        <w:color w:val="00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B2C6" w14:textId="52B28FCD" w:rsidR="00825B0F" w:rsidRDefault="00825B0F">
    <w:pPr>
      <w:pStyle w:val="Header"/>
    </w:pPr>
    <w:r>
      <w:rPr>
        <w:noProof/>
      </w:rPr>
      <mc:AlternateContent>
        <mc:Choice Requires="wps">
          <w:drawing>
            <wp:anchor distT="0" distB="0" distL="0" distR="0" simplePos="0" relativeHeight="251658240" behindDoc="0" locked="0" layoutInCell="1" allowOverlap="1" wp14:anchorId="274398A5" wp14:editId="44AC7004">
              <wp:simplePos x="635" y="635"/>
              <wp:positionH relativeFrom="column">
                <wp:align>center</wp:align>
              </wp:positionH>
              <wp:positionV relativeFrom="paragraph">
                <wp:posOffset>635</wp:posOffset>
              </wp:positionV>
              <wp:extent cx="443865" cy="443865"/>
              <wp:effectExtent l="0" t="0" r="18415" b="190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E2A7A" w14:textId="59306236" w:rsidR="00825B0F" w:rsidRPr="00825B0F" w:rsidRDefault="00825B0F">
                          <w:pPr>
                            <w:rPr>
                              <w:rFonts w:eastAsia="Arial"/>
                              <w:color w:val="000000"/>
                              <w:szCs w:val="24"/>
                            </w:rPr>
                          </w:pPr>
                          <w:r w:rsidRPr="00825B0F">
                            <w:rPr>
                              <w:rFonts w:eastAsia="Arial"/>
                              <w:color w:val="00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4398A5"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E7E2A7A" w14:textId="59306236" w:rsidR="00825B0F" w:rsidRPr="00825B0F" w:rsidRDefault="00825B0F">
                    <w:pPr>
                      <w:rPr>
                        <w:rFonts w:eastAsia="Arial"/>
                        <w:color w:val="000000"/>
                        <w:szCs w:val="24"/>
                      </w:rPr>
                    </w:pPr>
                    <w:r w:rsidRPr="00825B0F">
                      <w:rPr>
                        <w:rFonts w:eastAsia="Arial"/>
                        <w:color w:val="000000"/>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F6C8A"/>
    <w:multiLevelType w:val="hybridMultilevel"/>
    <w:tmpl w:val="38EC2832"/>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27018"/>
    <w:multiLevelType w:val="hybridMultilevel"/>
    <w:tmpl w:val="9C003E5C"/>
    <w:lvl w:ilvl="0" w:tplc="6A8E31B6">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923BA"/>
    <w:multiLevelType w:val="multilevel"/>
    <w:tmpl w:val="F88EF09C"/>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num w:numId="1" w16cid:durableId="1389303514">
    <w:abstractNumId w:val="3"/>
  </w:num>
  <w:num w:numId="2" w16cid:durableId="1722559726">
    <w:abstractNumId w:val="2"/>
  </w:num>
  <w:num w:numId="3" w16cid:durableId="958535664">
    <w:abstractNumId w:val="3"/>
  </w:num>
  <w:num w:numId="4" w16cid:durableId="1125613260">
    <w:abstractNumId w:val="1"/>
  </w:num>
  <w:num w:numId="5" w16cid:durableId="1220282343">
    <w:abstractNumId w:val="5"/>
  </w:num>
  <w:num w:numId="6" w16cid:durableId="1303926600">
    <w:abstractNumId w:val="0"/>
  </w:num>
  <w:num w:numId="7" w16cid:durableId="1657488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6F"/>
    <w:rsid w:val="00062B5D"/>
    <w:rsid w:val="000A0D95"/>
    <w:rsid w:val="000A73D7"/>
    <w:rsid w:val="000B686F"/>
    <w:rsid w:val="000E14D1"/>
    <w:rsid w:val="000E25BC"/>
    <w:rsid w:val="000E5FD9"/>
    <w:rsid w:val="000F5B64"/>
    <w:rsid w:val="000F7AD5"/>
    <w:rsid w:val="00100555"/>
    <w:rsid w:val="001242DF"/>
    <w:rsid w:val="00126805"/>
    <w:rsid w:val="001466C1"/>
    <w:rsid w:val="00151E14"/>
    <w:rsid w:val="00165EB2"/>
    <w:rsid w:val="00183C23"/>
    <w:rsid w:val="00184CBA"/>
    <w:rsid w:val="0019050A"/>
    <w:rsid w:val="001A18EB"/>
    <w:rsid w:val="001C685F"/>
    <w:rsid w:val="001C7CA5"/>
    <w:rsid w:val="001D71CA"/>
    <w:rsid w:val="001F0EEA"/>
    <w:rsid w:val="00241319"/>
    <w:rsid w:val="002663B4"/>
    <w:rsid w:val="00276789"/>
    <w:rsid w:val="00281E86"/>
    <w:rsid w:val="002C5D79"/>
    <w:rsid w:val="003059AB"/>
    <w:rsid w:val="003723EF"/>
    <w:rsid w:val="003A4772"/>
    <w:rsid w:val="003C3569"/>
    <w:rsid w:val="003E1A85"/>
    <w:rsid w:val="004071D5"/>
    <w:rsid w:val="00426C60"/>
    <w:rsid w:val="004576C5"/>
    <w:rsid w:val="004A3182"/>
    <w:rsid w:val="004B09F2"/>
    <w:rsid w:val="004E109C"/>
    <w:rsid w:val="00507EFF"/>
    <w:rsid w:val="0053646C"/>
    <w:rsid w:val="00561B9E"/>
    <w:rsid w:val="0058012C"/>
    <w:rsid w:val="005A19A7"/>
    <w:rsid w:val="005A405F"/>
    <w:rsid w:val="005C2BA3"/>
    <w:rsid w:val="00610226"/>
    <w:rsid w:val="00612F0E"/>
    <w:rsid w:val="006B33F1"/>
    <w:rsid w:val="00782027"/>
    <w:rsid w:val="007A3673"/>
    <w:rsid w:val="007A63AB"/>
    <w:rsid w:val="007C3917"/>
    <w:rsid w:val="007C4E9B"/>
    <w:rsid w:val="007C7515"/>
    <w:rsid w:val="007F229B"/>
    <w:rsid w:val="007F2CCD"/>
    <w:rsid w:val="008036E6"/>
    <w:rsid w:val="00810FC3"/>
    <w:rsid w:val="00822889"/>
    <w:rsid w:val="0082325A"/>
    <w:rsid w:val="00825B0F"/>
    <w:rsid w:val="00831A4C"/>
    <w:rsid w:val="00841EDC"/>
    <w:rsid w:val="0085477F"/>
    <w:rsid w:val="00861D50"/>
    <w:rsid w:val="008A79C8"/>
    <w:rsid w:val="009107BD"/>
    <w:rsid w:val="00926565"/>
    <w:rsid w:val="00932B1E"/>
    <w:rsid w:val="00947461"/>
    <w:rsid w:val="00950625"/>
    <w:rsid w:val="009614B7"/>
    <w:rsid w:val="009A354E"/>
    <w:rsid w:val="009A49F1"/>
    <w:rsid w:val="009C17F6"/>
    <w:rsid w:val="009C5933"/>
    <w:rsid w:val="009D08E3"/>
    <w:rsid w:val="009E0ED3"/>
    <w:rsid w:val="009E12D8"/>
    <w:rsid w:val="009E3221"/>
    <w:rsid w:val="009E524A"/>
    <w:rsid w:val="009E7304"/>
    <w:rsid w:val="009F2793"/>
    <w:rsid w:val="009F7137"/>
    <w:rsid w:val="009F7A37"/>
    <w:rsid w:val="00A40A32"/>
    <w:rsid w:val="00A51EBF"/>
    <w:rsid w:val="00A93BAF"/>
    <w:rsid w:val="00A9400C"/>
    <w:rsid w:val="00AC7CB3"/>
    <w:rsid w:val="00AF2917"/>
    <w:rsid w:val="00B0565B"/>
    <w:rsid w:val="00B13D2E"/>
    <w:rsid w:val="00B158A3"/>
    <w:rsid w:val="00B459B4"/>
    <w:rsid w:val="00B67F56"/>
    <w:rsid w:val="00B775B5"/>
    <w:rsid w:val="00B94EED"/>
    <w:rsid w:val="00BA28C9"/>
    <w:rsid w:val="00BA59A6"/>
    <w:rsid w:val="00C103D2"/>
    <w:rsid w:val="00C26740"/>
    <w:rsid w:val="00C378A1"/>
    <w:rsid w:val="00C47F5B"/>
    <w:rsid w:val="00C575A9"/>
    <w:rsid w:val="00C73CF1"/>
    <w:rsid w:val="00C75BED"/>
    <w:rsid w:val="00CA3019"/>
    <w:rsid w:val="00CC493F"/>
    <w:rsid w:val="00CE265A"/>
    <w:rsid w:val="00CE2DBF"/>
    <w:rsid w:val="00CE3236"/>
    <w:rsid w:val="00CE7327"/>
    <w:rsid w:val="00CF7A6F"/>
    <w:rsid w:val="00CF7EE1"/>
    <w:rsid w:val="00D06756"/>
    <w:rsid w:val="00D24BDA"/>
    <w:rsid w:val="00D42F40"/>
    <w:rsid w:val="00D75B40"/>
    <w:rsid w:val="00D85080"/>
    <w:rsid w:val="00D979D8"/>
    <w:rsid w:val="00DA4427"/>
    <w:rsid w:val="00DB2354"/>
    <w:rsid w:val="00DB7084"/>
    <w:rsid w:val="00DC4D4A"/>
    <w:rsid w:val="00DC6F30"/>
    <w:rsid w:val="00DE035F"/>
    <w:rsid w:val="00DE6A72"/>
    <w:rsid w:val="00DF693E"/>
    <w:rsid w:val="00E223AB"/>
    <w:rsid w:val="00E37E60"/>
    <w:rsid w:val="00E620EE"/>
    <w:rsid w:val="00E62210"/>
    <w:rsid w:val="00E66B29"/>
    <w:rsid w:val="00E856EF"/>
    <w:rsid w:val="00EB3D04"/>
    <w:rsid w:val="00EF1E98"/>
    <w:rsid w:val="00F12EDA"/>
    <w:rsid w:val="00F43CBE"/>
    <w:rsid w:val="00F57879"/>
    <w:rsid w:val="00FC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48BEF"/>
  <w14:defaultImageDpi w14:val="0"/>
  <w15:docId w15:val="{CCCEEF50-F4B7-46B9-B3FA-6BC49E14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EF"/>
    <w:pPr>
      <w:suppressAutoHyphens/>
      <w:spacing w:after="280" w:line="276" w:lineRule="auto"/>
    </w:pPr>
    <w:rPr>
      <w:rFonts w:ascii="Arial" w:eastAsia="MS Mincho" w:hAnsi="Arial" w:cs="Arial"/>
      <w:sz w:val="24"/>
      <w:szCs w:val="32"/>
      <w:lang w:eastAsia="en-US"/>
    </w:rPr>
  </w:style>
  <w:style w:type="paragraph" w:styleId="Heading1">
    <w:name w:val="heading 1"/>
    <w:basedOn w:val="Normal"/>
    <w:next w:val="Normal"/>
    <w:link w:val="Heading1Char"/>
    <w:uiPriority w:val="9"/>
    <w:qFormat/>
    <w:rsid w:val="000A0D95"/>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9E524A"/>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E524A"/>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9E524A"/>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9E524A"/>
    <w:pPr>
      <w:numPr>
        <w:numId w:val="4"/>
      </w:numPr>
      <w:spacing w:before="240" w:after="60"/>
      <w:outlineLvl w:val="4"/>
    </w:pPr>
    <w:rPr>
      <w:rFonts w:cs="Times New Roman"/>
      <w:b/>
      <w:bCs/>
      <w:iCs/>
      <w:szCs w:val="26"/>
    </w:rPr>
  </w:style>
  <w:style w:type="paragraph" w:styleId="Heading6">
    <w:name w:val="heading 6"/>
    <w:basedOn w:val="Normal"/>
    <w:next w:val="Normal"/>
    <w:link w:val="Heading6Char"/>
    <w:uiPriority w:val="9"/>
    <w:unhideWhenUsed/>
    <w:qFormat/>
    <w:rsid w:val="009E524A"/>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bleBody">
    <w:name w:val="*Table Body"/>
    <w:basedOn w:val="NoParagraphStyle"/>
    <w:uiPriority w:val="99"/>
    <w:pPr>
      <w:suppressAutoHyphens/>
      <w:spacing w:after="113" w:line="190" w:lineRule="atLeast"/>
    </w:pPr>
    <w:rPr>
      <w:rFonts w:ascii="VIC Light" w:hAnsi="VIC Light" w:cs="VIC Light"/>
      <w:sz w:val="17"/>
      <w:szCs w:val="17"/>
      <w:lang w:val="en-GB"/>
    </w:rPr>
  </w:style>
  <w:style w:type="paragraph" w:customStyle="1" w:styleId="Footnote">
    <w:name w:val="*Footnote"/>
    <w:basedOn w:val="TableBody"/>
    <w:uiPriority w:val="99"/>
    <w:pPr>
      <w:spacing w:line="170" w:lineRule="atLeast"/>
      <w:ind w:left="227" w:hanging="227"/>
    </w:pPr>
    <w:rPr>
      <w:sz w:val="14"/>
      <w:szCs w:val="14"/>
    </w:rPr>
  </w:style>
  <w:style w:type="paragraph" w:customStyle="1" w:styleId="Caption">
    <w:name w:val="*Caption"/>
    <w:basedOn w:val="Footnote"/>
    <w:uiPriority w:val="99"/>
    <w:pPr>
      <w:spacing w:after="57" w:line="288" w:lineRule="auto"/>
      <w:ind w:left="0" w:firstLine="0"/>
    </w:pPr>
    <w:rPr>
      <w:rFonts w:ascii="VIC" w:hAnsi="VIC" w:cs="VIC"/>
      <w:color w:val="FFFFFF"/>
    </w:rPr>
  </w:style>
  <w:style w:type="paragraph" w:customStyle="1" w:styleId="CaptionHeading">
    <w:name w:val="*Caption Heading"/>
    <w:basedOn w:val="Caption"/>
    <w:uiPriority w:val="99"/>
    <w:rPr>
      <w:rFonts w:ascii="VIC Medium" w:hAnsi="VIC Medium" w:cs="VIC Medium"/>
      <w:sz w:val="15"/>
      <w:szCs w:val="15"/>
    </w:rPr>
  </w:style>
  <w:style w:type="paragraph" w:customStyle="1" w:styleId="Bodycopy">
    <w:name w:val="*Bodycopy"/>
    <w:basedOn w:val="NoParagraphStyle"/>
    <w:uiPriority w:val="99"/>
    <w:pPr>
      <w:keepLines/>
      <w:suppressAutoHyphens/>
      <w:spacing w:after="170" w:line="240" w:lineRule="atLeast"/>
    </w:pPr>
    <w:rPr>
      <w:rFonts w:ascii="VIC Light" w:hAnsi="VIC Light" w:cs="VIC Light"/>
      <w:spacing w:val="-1"/>
      <w:sz w:val="18"/>
      <w:szCs w:val="18"/>
      <w:lang w:val="en-GB"/>
    </w:rPr>
  </w:style>
  <w:style w:type="paragraph" w:customStyle="1" w:styleId="BulletL1">
    <w:name w:val="*Bullet L1"/>
    <w:basedOn w:val="NoParagraphStyle"/>
    <w:uiPriority w:val="99"/>
    <w:pPr>
      <w:suppressAutoHyphens/>
      <w:spacing w:after="227" w:line="240" w:lineRule="atLeast"/>
      <w:ind w:left="283" w:hanging="283"/>
    </w:pPr>
    <w:rPr>
      <w:rFonts w:ascii="VIC Light" w:hAnsi="VIC Light" w:cs="VIC Light"/>
      <w:sz w:val="18"/>
      <w:szCs w:val="18"/>
      <w:lang w:val="en-GB"/>
    </w:rPr>
  </w:style>
  <w:style w:type="paragraph" w:customStyle="1" w:styleId="CaseStudyH1">
    <w:name w:val="*Case Study H1"/>
    <w:basedOn w:val="Normal"/>
    <w:uiPriority w:val="99"/>
    <w:rsid w:val="008036E6"/>
    <w:pPr>
      <w:keepNext/>
      <w:keepLines/>
      <w:widowControl w:val="0"/>
      <w:autoSpaceDE w:val="0"/>
      <w:autoSpaceDN w:val="0"/>
      <w:adjustRightInd w:val="0"/>
      <w:spacing w:after="0" w:line="288" w:lineRule="auto"/>
      <w:textAlignment w:val="center"/>
    </w:pPr>
    <w:rPr>
      <w:rFonts w:ascii="VIC Medium" w:eastAsiaTheme="minorEastAsia" w:hAnsi="VIC Medium" w:cs="VIC Medium"/>
      <w:b/>
      <w:bCs/>
      <w:caps/>
      <w:color w:val="FFFFFF"/>
      <w:sz w:val="18"/>
      <w:szCs w:val="18"/>
      <w:lang w:val="en-GB" w:eastAsia="en-AU"/>
    </w:rPr>
  </w:style>
  <w:style w:type="paragraph" w:customStyle="1" w:styleId="CaseStudyH2">
    <w:name w:val="*Case Study H2"/>
    <w:basedOn w:val="Normal"/>
    <w:uiPriority w:val="99"/>
    <w:rsid w:val="008036E6"/>
    <w:pPr>
      <w:keepNext/>
      <w:keepLines/>
      <w:widowControl w:val="0"/>
      <w:autoSpaceDE w:val="0"/>
      <w:autoSpaceDN w:val="0"/>
      <w:adjustRightInd w:val="0"/>
      <w:spacing w:before="57" w:after="113" w:line="288" w:lineRule="auto"/>
      <w:textAlignment w:val="center"/>
    </w:pPr>
    <w:rPr>
      <w:rFonts w:ascii="VIC SemiBold" w:eastAsiaTheme="minorEastAsia" w:hAnsi="VIC SemiBold" w:cs="VIC SemiBold"/>
      <w:b/>
      <w:bCs/>
      <w:color w:val="FFFFFF"/>
      <w:szCs w:val="24"/>
      <w:lang w:val="en-GB" w:eastAsia="en-AU"/>
    </w:rPr>
  </w:style>
  <w:style w:type="paragraph" w:customStyle="1" w:styleId="BasicParagraph">
    <w:name w:val="[Basic Paragraph]"/>
    <w:basedOn w:val="NoParagraphStyle"/>
    <w:uiPriority w:val="99"/>
    <w:pPr>
      <w:suppressAutoHyphens/>
    </w:pPr>
    <w:rPr>
      <w:rFonts w:ascii="VIC Light" w:hAnsi="VIC Light" w:cs="VIC Light"/>
      <w:lang w:val="en-GB"/>
    </w:rPr>
  </w:style>
  <w:style w:type="character" w:customStyle="1" w:styleId="Italic">
    <w:name w:val="Italic"/>
    <w:uiPriority w:val="99"/>
    <w:rPr>
      <w:rFonts w:ascii="VIC Light Italic" w:hAnsi="VIC Light Italic" w:cs="VIC Light Italic"/>
      <w:i/>
      <w:iCs/>
    </w:rPr>
  </w:style>
  <w:style w:type="character" w:styleId="Hyperlink">
    <w:name w:val="Hyperlink"/>
    <w:uiPriority w:val="99"/>
    <w:unhideWhenUsed/>
    <w:rsid w:val="009E524A"/>
    <w:rPr>
      <w:rFonts w:ascii="Arial" w:hAnsi="Arial"/>
      <w:color w:val="0000FF"/>
      <w:u w:val="single"/>
    </w:rPr>
  </w:style>
  <w:style w:type="character" w:customStyle="1" w:styleId="Semibold">
    <w:name w:val="Semibold"/>
    <w:uiPriority w:val="99"/>
    <w:rPr>
      <w:rFonts w:ascii="VIC SemiBold" w:hAnsi="VIC SemiBold" w:cs="VIC SemiBold"/>
      <w:b/>
      <w:bCs/>
    </w:rPr>
  </w:style>
  <w:style w:type="character" w:customStyle="1" w:styleId="Body">
    <w:name w:val="Body"/>
    <w:uiPriority w:val="99"/>
    <w:rPr>
      <w:rFonts w:ascii="VIC Light" w:hAnsi="VIC Light" w:cs="VIC Light"/>
      <w:color w:val="000000"/>
      <w:sz w:val="18"/>
      <w:szCs w:val="18"/>
      <w:vertAlign w:val="baseline"/>
    </w:rPr>
  </w:style>
  <w:style w:type="paragraph" w:customStyle="1" w:styleId="Bullet">
    <w:name w:val="Bullet"/>
    <w:basedOn w:val="Normal"/>
    <w:qFormat/>
    <w:rsid w:val="00CA3019"/>
    <w:pPr>
      <w:numPr>
        <w:numId w:val="3"/>
      </w:numPr>
      <w:spacing w:after="140"/>
      <w:ind w:left="284" w:hanging="284"/>
    </w:pPr>
  </w:style>
  <w:style w:type="paragraph" w:customStyle="1" w:styleId="Bullet2">
    <w:name w:val="Bullet 2"/>
    <w:basedOn w:val="Bullet"/>
    <w:qFormat/>
    <w:rsid w:val="009E524A"/>
    <w:pPr>
      <w:numPr>
        <w:numId w:val="2"/>
      </w:numPr>
    </w:pPr>
  </w:style>
  <w:style w:type="paragraph" w:customStyle="1" w:styleId="Bulletlast">
    <w:name w:val="Bullet last"/>
    <w:basedOn w:val="Bullet"/>
    <w:qFormat/>
    <w:rsid w:val="009E524A"/>
    <w:pPr>
      <w:spacing w:after="280"/>
    </w:pPr>
  </w:style>
  <w:style w:type="paragraph" w:customStyle="1" w:styleId="Default">
    <w:name w:val="Default"/>
    <w:rsid w:val="009E524A"/>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FollowedHyperlink">
    <w:name w:val="FollowedHyperlink"/>
    <w:uiPriority w:val="99"/>
    <w:semiHidden/>
    <w:unhideWhenUsed/>
    <w:rsid w:val="009E524A"/>
    <w:rPr>
      <w:color w:val="800080"/>
      <w:u w:val="single"/>
    </w:rPr>
  </w:style>
  <w:style w:type="paragraph" w:styleId="Footer">
    <w:name w:val="footer"/>
    <w:basedOn w:val="Normal"/>
    <w:link w:val="FooterChar"/>
    <w:uiPriority w:val="99"/>
    <w:unhideWhenUsed/>
    <w:rsid w:val="009E524A"/>
    <w:pPr>
      <w:tabs>
        <w:tab w:val="center" w:pos="4320"/>
        <w:tab w:val="right" w:pos="9639"/>
      </w:tabs>
      <w:spacing w:after="0" w:line="200" w:lineRule="atLeast"/>
    </w:pPr>
    <w:rPr>
      <w:sz w:val="16"/>
    </w:rPr>
  </w:style>
  <w:style w:type="character" w:customStyle="1" w:styleId="FooterChar">
    <w:name w:val="Footer Char"/>
    <w:link w:val="Footer"/>
    <w:uiPriority w:val="99"/>
    <w:rsid w:val="009E524A"/>
    <w:rPr>
      <w:rFonts w:ascii="Arial" w:eastAsia="MS Mincho" w:hAnsi="Arial" w:cs="Arial"/>
      <w:sz w:val="16"/>
      <w:szCs w:val="32"/>
      <w:lang w:eastAsia="en-US"/>
    </w:rPr>
  </w:style>
  <w:style w:type="character" w:styleId="FootnoteReference">
    <w:name w:val="footnote reference"/>
    <w:uiPriority w:val="99"/>
    <w:unhideWhenUsed/>
    <w:rsid w:val="009E524A"/>
    <w:rPr>
      <w:rFonts w:ascii="Arial" w:hAnsi="Arial"/>
      <w:vertAlign w:val="superscript"/>
    </w:rPr>
  </w:style>
  <w:style w:type="paragraph" w:styleId="FootnoteText">
    <w:name w:val="footnote text"/>
    <w:basedOn w:val="Normal"/>
    <w:link w:val="FootnoteTextChar"/>
    <w:uiPriority w:val="99"/>
    <w:unhideWhenUsed/>
    <w:rsid w:val="009E524A"/>
    <w:pPr>
      <w:spacing w:after="60"/>
    </w:pPr>
    <w:rPr>
      <w:sz w:val="20"/>
    </w:rPr>
  </w:style>
  <w:style w:type="character" w:customStyle="1" w:styleId="FootnoteTextChar">
    <w:name w:val="Footnote Text Char"/>
    <w:link w:val="FootnoteText"/>
    <w:uiPriority w:val="99"/>
    <w:rsid w:val="009E524A"/>
    <w:rPr>
      <w:rFonts w:ascii="Arial" w:eastAsia="MS Mincho" w:hAnsi="Arial" w:cs="Arial"/>
      <w:sz w:val="20"/>
      <w:szCs w:val="32"/>
      <w:lang w:eastAsia="en-US"/>
    </w:rPr>
  </w:style>
  <w:style w:type="paragraph" w:styleId="Header">
    <w:name w:val="header"/>
    <w:basedOn w:val="Normal"/>
    <w:link w:val="HeaderChar"/>
    <w:uiPriority w:val="99"/>
    <w:unhideWhenUsed/>
    <w:rsid w:val="009E524A"/>
    <w:pPr>
      <w:tabs>
        <w:tab w:val="center" w:pos="4320"/>
        <w:tab w:val="right" w:pos="8640"/>
      </w:tabs>
    </w:pPr>
  </w:style>
  <w:style w:type="character" w:customStyle="1" w:styleId="HeaderChar">
    <w:name w:val="Header Char"/>
    <w:link w:val="Header"/>
    <w:uiPriority w:val="99"/>
    <w:rsid w:val="009E524A"/>
    <w:rPr>
      <w:rFonts w:ascii="Arial" w:eastAsia="MS Mincho" w:hAnsi="Arial" w:cs="Arial"/>
      <w:sz w:val="24"/>
      <w:szCs w:val="32"/>
      <w:lang w:eastAsia="en-US"/>
    </w:rPr>
  </w:style>
  <w:style w:type="character" w:customStyle="1" w:styleId="Heading1Char">
    <w:name w:val="Heading 1 Char"/>
    <w:link w:val="Heading1"/>
    <w:uiPriority w:val="9"/>
    <w:rsid w:val="000A0D95"/>
    <w:rPr>
      <w:rFonts w:ascii="Arial" w:eastAsia="MS Gothic" w:hAnsi="Arial" w:cs="Times New Roman"/>
      <w:b/>
      <w:bCs/>
      <w:sz w:val="36"/>
      <w:szCs w:val="32"/>
      <w:lang w:eastAsia="en-US"/>
    </w:rPr>
  </w:style>
  <w:style w:type="character" w:customStyle="1" w:styleId="Heading2Char">
    <w:name w:val="Heading 2 Char"/>
    <w:link w:val="Heading2"/>
    <w:uiPriority w:val="9"/>
    <w:rsid w:val="009E524A"/>
    <w:rPr>
      <w:rFonts w:ascii="Arial" w:eastAsia="MS Gothic" w:hAnsi="Arial" w:cs="Times New Roman"/>
      <w:b/>
      <w:bCs/>
      <w:sz w:val="32"/>
      <w:szCs w:val="26"/>
      <w:lang w:eastAsia="en-US"/>
    </w:rPr>
  </w:style>
  <w:style w:type="character" w:customStyle="1" w:styleId="Heading3Char">
    <w:name w:val="Heading 3 Char"/>
    <w:link w:val="Heading3"/>
    <w:uiPriority w:val="9"/>
    <w:rsid w:val="009E524A"/>
    <w:rPr>
      <w:rFonts w:ascii="Arial" w:eastAsia="MS Gothic" w:hAnsi="Arial" w:cs="Arial"/>
      <w:b/>
      <w:bCs/>
      <w:sz w:val="28"/>
      <w:szCs w:val="32"/>
      <w:lang w:eastAsia="en-US"/>
    </w:rPr>
  </w:style>
  <w:style w:type="character" w:customStyle="1" w:styleId="Heading4Char">
    <w:name w:val="Heading 4 Char"/>
    <w:link w:val="Heading4"/>
    <w:uiPriority w:val="9"/>
    <w:rsid w:val="009E524A"/>
    <w:rPr>
      <w:rFonts w:ascii="Arial" w:eastAsia="MS Gothic" w:hAnsi="Arial" w:cs="Arial"/>
      <w:b/>
      <w:bCs/>
      <w:iCs/>
      <w:sz w:val="24"/>
      <w:szCs w:val="32"/>
      <w:lang w:eastAsia="en-US"/>
    </w:rPr>
  </w:style>
  <w:style w:type="character" w:customStyle="1" w:styleId="Heading5Char">
    <w:name w:val="Heading 5 Char"/>
    <w:link w:val="Heading5"/>
    <w:uiPriority w:val="9"/>
    <w:rsid w:val="009E524A"/>
    <w:rPr>
      <w:rFonts w:ascii="Arial" w:eastAsia="MS Mincho" w:hAnsi="Arial" w:cs="Times New Roman"/>
      <w:b/>
      <w:bCs/>
      <w:iCs/>
      <w:sz w:val="24"/>
      <w:szCs w:val="26"/>
      <w:lang w:eastAsia="en-US"/>
    </w:rPr>
  </w:style>
  <w:style w:type="character" w:customStyle="1" w:styleId="Heading6Char">
    <w:name w:val="Heading 6 Char"/>
    <w:link w:val="Heading6"/>
    <w:uiPriority w:val="9"/>
    <w:rsid w:val="009E524A"/>
    <w:rPr>
      <w:rFonts w:ascii="Arial" w:eastAsia="Times New Roman" w:hAnsi="Arial" w:cs="Times New Roman"/>
      <w:b/>
      <w:bCs/>
      <w:sz w:val="18"/>
      <w:lang w:eastAsia="en-US"/>
    </w:rPr>
  </w:style>
  <w:style w:type="character" w:styleId="IntenseEmphasis">
    <w:name w:val="Intense Emphasis"/>
    <w:uiPriority w:val="21"/>
    <w:qFormat/>
    <w:rsid w:val="009E524A"/>
    <w:rPr>
      <w:rFonts w:ascii="Arial" w:hAnsi="Arial"/>
      <w:i/>
      <w:iCs/>
      <w:color w:val="5B9BD5"/>
    </w:rPr>
  </w:style>
  <w:style w:type="character" w:styleId="IntenseReference">
    <w:name w:val="Intense Reference"/>
    <w:uiPriority w:val="32"/>
    <w:qFormat/>
    <w:rsid w:val="009E524A"/>
    <w:rPr>
      <w:rFonts w:ascii="Arial" w:hAnsi="Arial"/>
      <w:b/>
      <w:bCs/>
      <w:smallCaps/>
      <w:color w:val="5B9BD5"/>
      <w:spacing w:val="5"/>
    </w:rPr>
  </w:style>
  <w:style w:type="paragraph" w:styleId="ListParagraph">
    <w:name w:val="List Paragraph"/>
    <w:basedOn w:val="Normal"/>
    <w:uiPriority w:val="34"/>
    <w:qFormat/>
    <w:rsid w:val="009E524A"/>
    <w:pPr>
      <w:numPr>
        <w:numId w:val="5"/>
      </w:numPr>
      <w:tabs>
        <w:tab w:val="left" w:pos="2180"/>
        <w:tab w:val="left" w:pos="2181"/>
      </w:tabs>
      <w:spacing w:after="140"/>
    </w:pPr>
    <w:rPr>
      <w:rFonts w:eastAsia="Times New Roman"/>
      <w:lang w:eastAsia="en-GB"/>
    </w:rPr>
  </w:style>
  <w:style w:type="paragraph" w:styleId="NormalWeb">
    <w:name w:val="Normal (Web)"/>
    <w:basedOn w:val="Normal"/>
    <w:uiPriority w:val="99"/>
    <w:semiHidden/>
    <w:unhideWhenUsed/>
    <w:rsid w:val="009E524A"/>
    <w:pPr>
      <w:spacing w:before="100" w:beforeAutospacing="1" w:after="100" w:afterAutospacing="1"/>
    </w:pPr>
    <w:rPr>
      <w:rFonts w:ascii="Times New Roman" w:eastAsia="Times New Roman" w:hAnsi="Times New Roman" w:cs="Times New Roman"/>
      <w:lang w:eastAsia="en-GB"/>
    </w:rPr>
  </w:style>
  <w:style w:type="paragraph" w:customStyle="1" w:styleId="Normalbeforebullets">
    <w:name w:val="Normal before bullets"/>
    <w:basedOn w:val="Normal"/>
    <w:qFormat/>
    <w:rsid w:val="009E524A"/>
    <w:pPr>
      <w:keepNext/>
      <w:spacing w:after="140"/>
    </w:pPr>
  </w:style>
  <w:style w:type="character" w:styleId="PageNumber">
    <w:name w:val="page number"/>
    <w:uiPriority w:val="99"/>
    <w:semiHidden/>
    <w:unhideWhenUsed/>
    <w:rsid w:val="009E524A"/>
  </w:style>
  <w:style w:type="paragraph" w:styleId="Subtitle">
    <w:name w:val="Subtitle"/>
    <w:basedOn w:val="Normal"/>
    <w:next w:val="Normal"/>
    <w:link w:val="SubtitleChar"/>
    <w:uiPriority w:val="11"/>
    <w:qFormat/>
    <w:rsid w:val="009E524A"/>
    <w:pPr>
      <w:spacing w:after="240"/>
      <w:outlineLvl w:val="1"/>
    </w:pPr>
    <w:rPr>
      <w:rFonts w:eastAsia="Times New Roman" w:cs="Times New Roman"/>
      <w:sz w:val="28"/>
      <w:szCs w:val="36"/>
    </w:rPr>
  </w:style>
  <w:style w:type="character" w:customStyle="1" w:styleId="SubtitleChar">
    <w:name w:val="Subtitle Char"/>
    <w:link w:val="Subtitle"/>
    <w:uiPriority w:val="11"/>
    <w:rsid w:val="009E524A"/>
    <w:rPr>
      <w:rFonts w:ascii="Arial" w:eastAsia="Times New Roman" w:hAnsi="Arial" w:cs="Times New Roman"/>
      <w:sz w:val="28"/>
      <w:szCs w:val="36"/>
      <w:lang w:eastAsia="en-US"/>
    </w:rPr>
  </w:style>
  <w:style w:type="paragraph" w:customStyle="1" w:styleId="TableCopy">
    <w:name w:val="Table Copy"/>
    <w:basedOn w:val="Normal"/>
    <w:qFormat/>
    <w:rsid w:val="009E524A"/>
    <w:pPr>
      <w:spacing w:after="140"/>
    </w:pPr>
  </w:style>
  <w:style w:type="paragraph" w:customStyle="1" w:styleId="TableBullet">
    <w:name w:val="Table Bullet"/>
    <w:basedOn w:val="TableCopy"/>
    <w:qFormat/>
    <w:rsid w:val="009E524A"/>
    <w:pPr>
      <w:numPr>
        <w:numId w:val="6"/>
      </w:numPr>
      <w:spacing w:before="60" w:after="60"/>
    </w:pPr>
    <w:rPr>
      <w:szCs w:val="22"/>
    </w:rPr>
  </w:style>
  <w:style w:type="paragraph" w:customStyle="1" w:styleId="TableHeading">
    <w:name w:val="Table Heading"/>
    <w:basedOn w:val="Normal"/>
    <w:qFormat/>
    <w:rsid w:val="009E524A"/>
    <w:pPr>
      <w:keepNext/>
      <w:spacing w:after="60"/>
    </w:pPr>
    <w:rPr>
      <w:b/>
      <w:lang w:eastAsia="en-GB"/>
    </w:rPr>
  </w:style>
  <w:style w:type="paragraph" w:customStyle="1" w:styleId="TableColumnHeading">
    <w:name w:val="Table Column Heading"/>
    <w:basedOn w:val="TableHeading"/>
    <w:qFormat/>
    <w:rsid w:val="009E524A"/>
    <w:pPr>
      <w:spacing w:before="80" w:after="80"/>
    </w:pPr>
    <w:rPr>
      <w:szCs w:val="36"/>
      <w:lang w:val="en-GB"/>
    </w:rPr>
  </w:style>
  <w:style w:type="table" w:styleId="TableGrid">
    <w:name w:val="Table Grid"/>
    <w:basedOn w:val="TableNormal"/>
    <w:uiPriority w:val="59"/>
    <w:rsid w:val="009E524A"/>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9E524A"/>
    <w:pPr>
      <w:widowControl w:val="0"/>
      <w:autoSpaceDE w:val="0"/>
      <w:autoSpaceDN w:val="0"/>
      <w:spacing w:after="0" w:line="240" w:lineRule="auto"/>
    </w:pPr>
    <w:rPr>
      <w:rFonts w:eastAsiaTheme="minorHAnsi"/>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Paragraph">
    <w:name w:val="Table Paragraph"/>
    <w:basedOn w:val="Normal"/>
    <w:uiPriority w:val="1"/>
    <w:qFormat/>
    <w:rsid w:val="009E524A"/>
    <w:pPr>
      <w:spacing w:after="140"/>
    </w:pPr>
    <w:rPr>
      <w:rFonts w:eastAsia="Arial"/>
      <w:szCs w:val="22"/>
      <w:lang w:eastAsia="en-GB"/>
    </w:rPr>
  </w:style>
  <w:style w:type="paragraph" w:styleId="Title">
    <w:name w:val="Title"/>
    <w:basedOn w:val="Normal"/>
    <w:next w:val="Normal"/>
    <w:link w:val="TitleChar"/>
    <w:uiPriority w:val="10"/>
    <w:qFormat/>
    <w:rsid w:val="009E524A"/>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9E524A"/>
    <w:rPr>
      <w:rFonts w:asciiTheme="majorHAnsi" w:eastAsiaTheme="majorEastAsia" w:hAnsiTheme="majorHAnsi" w:cstheme="majorBidi"/>
      <w:spacing w:val="-10"/>
      <w:kern w:val="28"/>
      <w:sz w:val="56"/>
      <w:szCs w:val="56"/>
      <w:lang w:val="en-US" w:eastAsia="en-US"/>
    </w:rPr>
  </w:style>
  <w:style w:type="paragraph" w:styleId="TOC1">
    <w:name w:val="toc 1"/>
    <w:basedOn w:val="Normal"/>
    <w:next w:val="Normal"/>
    <w:autoRedefine/>
    <w:uiPriority w:val="39"/>
    <w:unhideWhenUsed/>
    <w:rsid w:val="009F7A37"/>
    <w:pPr>
      <w:tabs>
        <w:tab w:val="left" w:pos="440"/>
        <w:tab w:val="right" w:leader="dot" w:pos="9628"/>
      </w:tabs>
      <w:spacing w:before="240" w:after="0"/>
    </w:pPr>
    <w:rPr>
      <w:b/>
    </w:rPr>
  </w:style>
  <w:style w:type="paragraph" w:styleId="TOC2">
    <w:name w:val="toc 2"/>
    <w:basedOn w:val="Normal"/>
    <w:next w:val="Normal"/>
    <w:autoRedefine/>
    <w:uiPriority w:val="39"/>
    <w:unhideWhenUsed/>
    <w:rsid w:val="009F7A37"/>
    <w:pPr>
      <w:tabs>
        <w:tab w:val="left" w:pos="1000"/>
        <w:tab w:val="right" w:leader="dot" w:pos="9628"/>
      </w:tabs>
      <w:spacing w:after="0"/>
      <w:ind w:left="442"/>
    </w:pPr>
    <w:rPr>
      <w:szCs w:val="22"/>
    </w:rPr>
  </w:style>
  <w:style w:type="paragraph" w:styleId="TOC4">
    <w:name w:val="toc 4"/>
    <w:basedOn w:val="Normal"/>
    <w:next w:val="Normal"/>
    <w:autoRedefine/>
    <w:uiPriority w:val="39"/>
    <w:semiHidden/>
    <w:unhideWhenUsed/>
    <w:rsid w:val="009E524A"/>
    <w:pPr>
      <w:spacing w:after="0"/>
      <w:ind w:left="600"/>
    </w:pPr>
    <w:rPr>
      <w:rFonts w:ascii="Cambria" w:hAnsi="Cambria"/>
      <w:szCs w:val="20"/>
    </w:rPr>
  </w:style>
  <w:style w:type="paragraph" w:styleId="TOC5">
    <w:name w:val="toc 5"/>
    <w:basedOn w:val="Normal"/>
    <w:next w:val="Normal"/>
    <w:autoRedefine/>
    <w:uiPriority w:val="39"/>
    <w:semiHidden/>
    <w:unhideWhenUsed/>
    <w:rsid w:val="009E524A"/>
    <w:pPr>
      <w:spacing w:after="0"/>
      <w:ind w:left="800"/>
    </w:pPr>
    <w:rPr>
      <w:rFonts w:ascii="Cambria" w:hAnsi="Cambria"/>
      <w:szCs w:val="20"/>
    </w:rPr>
  </w:style>
  <w:style w:type="paragraph" w:styleId="TOC6">
    <w:name w:val="toc 6"/>
    <w:basedOn w:val="Normal"/>
    <w:next w:val="Normal"/>
    <w:autoRedefine/>
    <w:uiPriority w:val="39"/>
    <w:semiHidden/>
    <w:unhideWhenUsed/>
    <w:rsid w:val="009E524A"/>
    <w:pPr>
      <w:spacing w:after="0"/>
      <w:ind w:left="1000"/>
    </w:pPr>
    <w:rPr>
      <w:rFonts w:ascii="Cambria" w:hAnsi="Cambria"/>
      <w:szCs w:val="20"/>
    </w:rPr>
  </w:style>
  <w:style w:type="paragraph" w:styleId="TOC7">
    <w:name w:val="toc 7"/>
    <w:basedOn w:val="Normal"/>
    <w:next w:val="Normal"/>
    <w:autoRedefine/>
    <w:uiPriority w:val="39"/>
    <w:semiHidden/>
    <w:unhideWhenUsed/>
    <w:rsid w:val="009E524A"/>
    <w:pPr>
      <w:spacing w:after="0"/>
      <w:ind w:left="1200"/>
    </w:pPr>
    <w:rPr>
      <w:rFonts w:ascii="Cambria" w:hAnsi="Cambria"/>
      <w:szCs w:val="20"/>
    </w:rPr>
  </w:style>
  <w:style w:type="paragraph" w:styleId="TOC8">
    <w:name w:val="toc 8"/>
    <w:basedOn w:val="Normal"/>
    <w:next w:val="Normal"/>
    <w:autoRedefine/>
    <w:uiPriority w:val="39"/>
    <w:semiHidden/>
    <w:unhideWhenUsed/>
    <w:rsid w:val="009E524A"/>
    <w:pPr>
      <w:spacing w:after="0"/>
      <w:ind w:left="1400"/>
    </w:pPr>
    <w:rPr>
      <w:rFonts w:ascii="Cambria" w:hAnsi="Cambria"/>
      <w:szCs w:val="20"/>
    </w:rPr>
  </w:style>
  <w:style w:type="paragraph" w:styleId="TOC9">
    <w:name w:val="toc 9"/>
    <w:basedOn w:val="Normal"/>
    <w:next w:val="Normal"/>
    <w:autoRedefine/>
    <w:uiPriority w:val="39"/>
    <w:semiHidden/>
    <w:unhideWhenUsed/>
    <w:rsid w:val="009E524A"/>
    <w:pPr>
      <w:spacing w:after="0"/>
      <w:ind w:left="1600"/>
    </w:pPr>
    <w:rPr>
      <w:rFonts w:ascii="Cambria" w:hAnsi="Cambria"/>
      <w:szCs w:val="20"/>
    </w:rPr>
  </w:style>
  <w:style w:type="paragraph" w:styleId="TOCHeading">
    <w:name w:val="TOC Heading"/>
    <w:basedOn w:val="Heading1"/>
    <w:next w:val="Normal"/>
    <w:uiPriority w:val="39"/>
    <w:unhideWhenUsed/>
    <w:qFormat/>
    <w:rsid w:val="009E524A"/>
    <w:pPr>
      <w:spacing w:line="360" w:lineRule="auto"/>
      <w:outlineLvl w:val="9"/>
    </w:pPr>
    <w:rPr>
      <w:sz w:val="32"/>
      <w:szCs w:val="28"/>
    </w:rPr>
  </w:style>
  <w:style w:type="paragraph" w:customStyle="1" w:styleId="Heading1-numbered">
    <w:name w:val="Heading 1 - numbered"/>
    <w:basedOn w:val="Heading1"/>
    <w:qFormat/>
    <w:rsid w:val="00E37E60"/>
    <w:pPr>
      <w:numPr>
        <w:numId w:val="7"/>
      </w:numPr>
    </w:pPr>
  </w:style>
  <w:style w:type="paragraph" w:customStyle="1" w:styleId="Heading2-numbered">
    <w:name w:val="Heading 2 - numbered"/>
    <w:basedOn w:val="Heading2"/>
    <w:qFormat/>
    <w:rsid w:val="000F5B64"/>
    <w:pPr>
      <w:numPr>
        <w:ilvl w:val="1"/>
        <w:numId w:val="7"/>
      </w:numPr>
    </w:pPr>
  </w:style>
  <w:style w:type="character" w:styleId="UnresolvedMention">
    <w:name w:val="Unresolved Mention"/>
    <w:basedOn w:val="DefaultParagraphFont"/>
    <w:uiPriority w:val="99"/>
    <w:semiHidden/>
    <w:unhideWhenUsed/>
    <w:rsid w:val="00D24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eativecommons.org/licenses/by/3.0/au/" TargetMode="External"/><Relationship Id="rId18" Type="http://schemas.openxmlformats.org/officeDocument/2006/relationships/hyperlink" Target="https://localjobsfirst.vic.gov.au/strategic-projects/lis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caljobsfirst.vic.gov.au/" TargetMode="External"/><Relationship Id="rId20" Type="http://schemas.openxmlformats.org/officeDocument/2006/relationships/hyperlink" Target="http://www.localjobsfirst.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e98561-183e-4de5-80c3-a793f40b4ede" xsi:nil="true"/>
    <lcf76f155ced4ddcb4097134ff3c332f xmlns="bd07834f-d95b-4883-aa18-4cf54a60a803">
      <Terms xmlns="http://schemas.microsoft.com/office/infopath/2007/PartnerControls"/>
    </lcf76f155ced4ddcb4097134ff3c332f>
    <pfeg xmlns="bd07834f-d95b-4883-aa18-4cf54a60a803" xsi:nil="true"/>
    <test xmlns="bd07834f-d95b-4883-aa18-4cf54a60a8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2B5021F6FA5748BD595AC6B2FEC278" ma:contentTypeVersion="20" ma:contentTypeDescription="Create a new document." ma:contentTypeScope="" ma:versionID="f95714c46ff48bc15963d334947cee9d">
  <xsd:schema xmlns:xsd="http://www.w3.org/2001/XMLSchema" xmlns:xs="http://www.w3.org/2001/XMLSchema" xmlns:p="http://schemas.microsoft.com/office/2006/metadata/properties" xmlns:ns2="32e98561-183e-4de5-80c3-a793f40b4ede" xmlns:ns3="bd07834f-d95b-4883-aa18-4cf54a60a803" targetNamespace="http://schemas.microsoft.com/office/2006/metadata/properties" ma:root="true" ma:fieldsID="a7b7c6a39d9110767faa221881c9c855" ns2:_="" ns3:_="">
    <xsd:import namespace="32e98561-183e-4de5-80c3-a793f40b4ede"/>
    <xsd:import namespace="bd07834f-d95b-4883-aa18-4cf54a60a8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pfeg" minOccurs="0"/>
                <xsd:element ref="ns3:tes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07834f-d95b-4883-aa18-4cf54a60a8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feg" ma:index="20" nillable="true" ma:displayName="Number" ma:internalName="pfeg">
      <xsd:simpleType>
        <xsd:restriction base="dms:Number"/>
      </xsd:simpleType>
    </xsd:element>
    <xsd:element name="test" ma:index="21" nillable="true" ma:displayName="test" ma:format="DateTime" ma:internalName="test">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59EDC-429F-460D-B9A6-A854789107B1}">
  <ds:schemaRefs>
    <ds:schemaRef ds:uri="http://purl.org/dc/terms/"/>
    <ds:schemaRef ds:uri="http://schemas.microsoft.com/office/infopath/2007/PartnerControls"/>
    <ds:schemaRef ds:uri="http://purl.org/dc/dcmitype/"/>
    <ds:schemaRef ds:uri="bd07834f-d95b-4883-aa18-4cf54a60a803"/>
    <ds:schemaRef ds:uri="http://purl.org/dc/elements/1.1/"/>
    <ds:schemaRef ds:uri="http://schemas.microsoft.com/office/2006/documentManagement/types"/>
    <ds:schemaRef ds:uri="http://schemas.openxmlformats.org/package/2006/metadata/core-properties"/>
    <ds:schemaRef ds:uri="32e98561-183e-4de5-80c3-a793f40b4ed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E9DC72-95E8-4A5B-8CAC-AF551990D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8561-183e-4de5-80c3-a793f40b4ede"/>
    <ds:schemaRef ds:uri="bd07834f-d95b-4883-aa18-4cf54a60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3C3F5-8CE2-4C7E-A5BC-CD3CB926D041}">
  <ds:schemaRefs>
    <ds:schemaRef ds:uri="http://schemas.openxmlformats.org/officeDocument/2006/bibliography"/>
  </ds:schemaRefs>
</ds:datastoreItem>
</file>

<file path=customXml/itemProps4.xml><?xml version="1.0" encoding="utf-8"?>
<ds:datastoreItem xmlns:ds="http://schemas.openxmlformats.org/officeDocument/2006/customXml" ds:itemID="{3F0A52AE-B61C-4FD5-84F9-C859D9C7DB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7295</Words>
  <Characters>41586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Local Jobs First Annual Report 2022–23</vt:lpstr>
    </vt:vector>
  </TitlesOfParts>
  <Company/>
  <LinksUpToDate>false</LinksUpToDate>
  <CharactersWithSpaces>48784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First Annual Report 2022–23</dc:title>
  <dc:subject/>
  <dc:creator>Samaa Kirby</dc:creator>
  <cp:keywords/>
  <dc:description/>
  <cp:lastModifiedBy>Kim K Grant (DJSIR)</cp:lastModifiedBy>
  <cp:revision>2</cp:revision>
  <dcterms:created xsi:type="dcterms:W3CDTF">2025-02-04T22:56:00Z</dcterms:created>
  <dcterms:modified xsi:type="dcterms:W3CDTF">2025-02-04T22:56:00Z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0x010100332B5021F6FA5748BD595AC6B2FEC278</vt:lpwstr>
  </property>
  <property fmtid="{D5CDD505-2E9C-101B-9397-08002B2CF9AE}" pid="3" name="ClassificationContentMarkingHeaderShapeIds">
    <vt:lpwstr>1,5,6</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7,8,9</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2023-12-05T22:16:35Z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a6d1056e-c40c-4940-ada4-be715a252bbf</vt:lpwstr>
  </property>
  <property fmtid="{D5CDD505-2E9C-101B-9397-08002B2CF9AE}" pid="15" name="MSIP_Label_d00a4df9-c942-4b09-b23a-6c1023f6de27_ContentBits">
    <vt:lpwstr>3</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ies>
</file>