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0"/>
        </w:rPr>
        <w:id w:val="1792633033"/>
        <w:docPartObj>
          <w:docPartGallery w:val="Cover Pages"/>
          <w:docPartUnique/>
        </w:docPartObj>
      </w:sdtPr>
      <w:sdtEndPr>
        <w:rPr>
          <w:color w:val="FFFFFF" w:themeColor="background1"/>
          <w:sz w:val="32"/>
          <w:szCs w:val="32"/>
        </w:rPr>
      </w:sdtEndPr>
      <w:sdtContent>
        <w:p w14:paraId="43C4B705" w14:textId="04B28C12" w:rsidR="005C4123" w:rsidRDefault="005C4123" w:rsidP="005C4123">
          <w:pPr>
            <w:jc w:val="right"/>
            <w:rPr>
              <w:rStyle w:val="TitleChar"/>
            </w:rPr>
          </w:pPr>
          <w:r>
            <w:rPr>
              <w:rStyle w:val="TitleChar"/>
            </w:rPr>
            <w:t xml:space="preserve">Local jobs first policy </w:t>
          </w:r>
        </w:p>
        <w:p w14:paraId="6CAE054B" w14:textId="2D8A864E" w:rsidR="005C4123" w:rsidRPr="0047003A" w:rsidRDefault="009D0838" w:rsidP="005C4123">
          <w:pPr>
            <w:jc w:val="right"/>
            <w:rPr>
              <w:rStyle w:val="TitleChar"/>
            </w:rPr>
          </w:pPr>
          <w:r>
            <w:rPr>
              <w:rStyle w:val="TitleChar"/>
            </w:rPr>
            <w:t>Supplier</w:t>
          </w:r>
          <w:r w:rsidR="005C4123">
            <w:rPr>
              <w:rStyle w:val="TitleChar"/>
            </w:rPr>
            <w:t xml:space="preserve"> Guidelines</w:t>
          </w:r>
        </w:p>
        <w:p w14:paraId="6B0DFD36" w14:textId="77777777" w:rsidR="005C4123" w:rsidRDefault="005C4123" w:rsidP="005C4123">
          <w:pPr>
            <w:pStyle w:val="Subtitle"/>
          </w:pPr>
          <w:r>
            <w:t xml:space="preserve">Under the Local Jobs First Act 2003 </w:t>
          </w:r>
        </w:p>
        <w:p w14:paraId="12B80146" w14:textId="0DFA39C5" w:rsidR="004371F6" w:rsidRPr="005C4123" w:rsidRDefault="00033108" w:rsidP="005C4123">
          <w:pPr>
            <w:jc w:val="right"/>
            <w:rPr>
              <w:color w:val="FFFFFF" w:themeColor="background1"/>
              <w:sz w:val="32"/>
              <w:szCs w:val="32"/>
            </w:rPr>
          </w:pPr>
          <w:r>
            <w:rPr>
              <w:color w:val="FFFFFF" w:themeColor="background1"/>
              <w:sz w:val="32"/>
              <w:szCs w:val="32"/>
            </w:rPr>
            <w:t>May</w:t>
          </w:r>
          <w:r w:rsidR="0063138C">
            <w:rPr>
              <w:color w:val="FFFFFF" w:themeColor="background1"/>
              <w:sz w:val="32"/>
              <w:szCs w:val="32"/>
            </w:rPr>
            <w:t xml:space="preserve"> 2020</w:t>
          </w:r>
        </w:p>
      </w:sdtContent>
    </w:sdt>
    <w:p w14:paraId="38158943" w14:textId="77777777" w:rsidR="004371F6" w:rsidRDefault="004371F6" w:rsidP="00D96C1E">
      <w:pPr>
        <w:rPr>
          <w:rFonts w:ascii="Verdana" w:hAnsi="Verdana"/>
        </w:rPr>
        <w:sectPr w:rsidR="004371F6" w:rsidSect="00D0537A">
          <w:headerReference w:type="default" r:id="rId11"/>
          <w:footerReference w:type="default" r:id="rId12"/>
          <w:headerReference w:type="first" r:id="rId13"/>
          <w:pgSz w:w="11906" w:h="16838"/>
          <w:pgMar w:top="3818" w:right="1440" w:bottom="1440" w:left="1440" w:header="703" w:footer="137" w:gutter="0"/>
          <w:pgNumType w:start="0"/>
          <w:cols w:space="708"/>
          <w:docGrid w:linePitch="360"/>
        </w:sectPr>
      </w:pPr>
    </w:p>
    <w:p w14:paraId="2D3F96F9" w14:textId="77777777" w:rsidR="004371F6" w:rsidRPr="00D96C1E" w:rsidRDefault="004371F6" w:rsidP="00D96C1E">
      <w:pPr>
        <w:pStyle w:val="TOCHeading"/>
      </w:pPr>
      <w:r w:rsidRPr="00D96C1E">
        <w:lastRenderedPageBreak/>
        <w:t>Table of contents</w:t>
      </w:r>
    </w:p>
    <w:p w14:paraId="0BD26994" w14:textId="7C856CBE" w:rsidR="00526B89" w:rsidRDefault="004371F6">
      <w:pPr>
        <w:pStyle w:val="TOC1"/>
        <w:tabs>
          <w:tab w:val="left" w:pos="600"/>
        </w:tabs>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lang w:eastAsia="en-AU"/>
        </w:rPr>
        <w:instrText xml:space="preserve"> TOC \o "1-3" \h \z \t "Appendices,4" </w:instrText>
      </w:r>
      <w:r>
        <w:rPr>
          <w:noProof/>
          <w:color w:val="auto"/>
          <w:lang w:eastAsia="en-AU"/>
        </w:rPr>
        <w:fldChar w:fldCharType="separate"/>
      </w:r>
      <w:hyperlink w:anchor="_Toc40369041" w:history="1">
        <w:r w:rsidR="00526B89" w:rsidRPr="006D5398">
          <w:rPr>
            <w:rStyle w:val="Hyperlink"/>
            <w:noProof/>
          </w:rPr>
          <w:t>1.</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Overview</w:t>
        </w:r>
        <w:r w:rsidR="00526B89">
          <w:rPr>
            <w:noProof/>
            <w:webHidden/>
          </w:rPr>
          <w:tab/>
        </w:r>
        <w:r w:rsidR="00526B89">
          <w:rPr>
            <w:noProof/>
            <w:webHidden/>
          </w:rPr>
          <w:fldChar w:fldCharType="begin"/>
        </w:r>
        <w:r w:rsidR="00526B89">
          <w:rPr>
            <w:noProof/>
            <w:webHidden/>
          </w:rPr>
          <w:instrText xml:space="preserve"> PAGEREF _Toc40369041 \h </w:instrText>
        </w:r>
        <w:r w:rsidR="00526B89">
          <w:rPr>
            <w:noProof/>
            <w:webHidden/>
          </w:rPr>
        </w:r>
        <w:r w:rsidR="00526B89">
          <w:rPr>
            <w:noProof/>
            <w:webHidden/>
          </w:rPr>
          <w:fldChar w:fldCharType="separate"/>
        </w:r>
        <w:r w:rsidR="00211649">
          <w:rPr>
            <w:noProof/>
            <w:webHidden/>
          </w:rPr>
          <w:t>2</w:t>
        </w:r>
        <w:r w:rsidR="00526B89">
          <w:rPr>
            <w:noProof/>
            <w:webHidden/>
          </w:rPr>
          <w:fldChar w:fldCharType="end"/>
        </w:r>
      </w:hyperlink>
    </w:p>
    <w:p w14:paraId="222913CE" w14:textId="3F796B16" w:rsidR="00526B89" w:rsidRDefault="0058723C">
      <w:pPr>
        <w:pStyle w:val="TOC1"/>
        <w:tabs>
          <w:tab w:val="left" w:pos="600"/>
        </w:tabs>
        <w:rPr>
          <w:rFonts w:asciiTheme="minorHAnsi" w:eastAsiaTheme="minorEastAsia" w:hAnsiTheme="minorHAnsi" w:cstheme="minorBidi"/>
          <w:noProof/>
          <w:color w:val="auto"/>
          <w:sz w:val="22"/>
          <w:szCs w:val="22"/>
          <w:lang w:eastAsia="en-AU"/>
        </w:rPr>
      </w:pPr>
      <w:hyperlink w:anchor="_Toc40369042" w:history="1">
        <w:r w:rsidR="00526B89" w:rsidRPr="006D5398">
          <w:rPr>
            <w:rStyle w:val="Hyperlink"/>
            <w:noProof/>
          </w:rPr>
          <w:t>2.</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Application</w:t>
        </w:r>
        <w:r w:rsidR="00526B89">
          <w:rPr>
            <w:noProof/>
            <w:webHidden/>
          </w:rPr>
          <w:tab/>
        </w:r>
        <w:r w:rsidR="00526B89">
          <w:rPr>
            <w:noProof/>
            <w:webHidden/>
          </w:rPr>
          <w:fldChar w:fldCharType="begin"/>
        </w:r>
        <w:r w:rsidR="00526B89">
          <w:rPr>
            <w:noProof/>
            <w:webHidden/>
          </w:rPr>
          <w:instrText xml:space="preserve"> PAGEREF _Toc40369042 \h </w:instrText>
        </w:r>
        <w:r w:rsidR="00526B89">
          <w:rPr>
            <w:noProof/>
            <w:webHidden/>
          </w:rPr>
        </w:r>
        <w:r w:rsidR="00526B89">
          <w:rPr>
            <w:noProof/>
            <w:webHidden/>
          </w:rPr>
          <w:fldChar w:fldCharType="separate"/>
        </w:r>
        <w:r w:rsidR="00211649">
          <w:rPr>
            <w:noProof/>
            <w:webHidden/>
          </w:rPr>
          <w:t>2</w:t>
        </w:r>
        <w:r w:rsidR="00526B89">
          <w:rPr>
            <w:noProof/>
            <w:webHidden/>
          </w:rPr>
          <w:fldChar w:fldCharType="end"/>
        </w:r>
      </w:hyperlink>
    </w:p>
    <w:p w14:paraId="1CE992CA" w14:textId="26EFF921" w:rsidR="00526B89" w:rsidRDefault="0058723C">
      <w:pPr>
        <w:pStyle w:val="TOC1"/>
        <w:tabs>
          <w:tab w:val="left" w:pos="600"/>
        </w:tabs>
        <w:rPr>
          <w:rFonts w:asciiTheme="minorHAnsi" w:eastAsiaTheme="minorEastAsia" w:hAnsiTheme="minorHAnsi" w:cstheme="minorBidi"/>
          <w:noProof/>
          <w:color w:val="auto"/>
          <w:sz w:val="22"/>
          <w:szCs w:val="22"/>
          <w:lang w:eastAsia="en-AU"/>
        </w:rPr>
      </w:pPr>
      <w:hyperlink w:anchor="_Toc40369043" w:history="1">
        <w:r w:rsidR="00526B89" w:rsidRPr="006D5398">
          <w:rPr>
            <w:rStyle w:val="Hyperlink"/>
            <w:noProof/>
          </w:rPr>
          <w:t>3.</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Victorian Local Jobs First Management Centre (VMC)</w:t>
        </w:r>
        <w:r w:rsidR="00526B89">
          <w:rPr>
            <w:noProof/>
            <w:webHidden/>
          </w:rPr>
          <w:tab/>
        </w:r>
        <w:r w:rsidR="00526B89">
          <w:rPr>
            <w:noProof/>
            <w:webHidden/>
          </w:rPr>
          <w:fldChar w:fldCharType="begin"/>
        </w:r>
        <w:r w:rsidR="00526B89">
          <w:rPr>
            <w:noProof/>
            <w:webHidden/>
          </w:rPr>
          <w:instrText xml:space="preserve"> PAGEREF _Toc40369043 \h </w:instrText>
        </w:r>
        <w:r w:rsidR="00526B89">
          <w:rPr>
            <w:noProof/>
            <w:webHidden/>
          </w:rPr>
        </w:r>
        <w:r w:rsidR="00526B89">
          <w:rPr>
            <w:noProof/>
            <w:webHidden/>
          </w:rPr>
          <w:fldChar w:fldCharType="separate"/>
        </w:r>
        <w:r w:rsidR="00211649">
          <w:rPr>
            <w:noProof/>
            <w:webHidden/>
          </w:rPr>
          <w:t>2</w:t>
        </w:r>
        <w:r w:rsidR="00526B89">
          <w:rPr>
            <w:noProof/>
            <w:webHidden/>
          </w:rPr>
          <w:fldChar w:fldCharType="end"/>
        </w:r>
      </w:hyperlink>
    </w:p>
    <w:p w14:paraId="47B117C3" w14:textId="13EEB146" w:rsidR="00526B89" w:rsidRDefault="0058723C">
      <w:pPr>
        <w:pStyle w:val="TOC1"/>
        <w:tabs>
          <w:tab w:val="left" w:pos="600"/>
        </w:tabs>
        <w:rPr>
          <w:rFonts w:asciiTheme="minorHAnsi" w:eastAsiaTheme="minorEastAsia" w:hAnsiTheme="minorHAnsi" w:cstheme="minorBidi"/>
          <w:noProof/>
          <w:color w:val="auto"/>
          <w:sz w:val="22"/>
          <w:szCs w:val="22"/>
          <w:lang w:eastAsia="en-AU"/>
        </w:rPr>
      </w:pPr>
      <w:hyperlink w:anchor="_Toc40369044" w:history="1">
        <w:r w:rsidR="00526B89" w:rsidRPr="006D5398">
          <w:rPr>
            <w:rStyle w:val="Hyperlink"/>
            <w:noProof/>
          </w:rPr>
          <w:t>4.</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ICN Gateway</w:t>
        </w:r>
        <w:r w:rsidR="00526B89">
          <w:rPr>
            <w:noProof/>
            <w:webHidden/>
          </w:rPr>
          <w:tab/>
        </w:r>
        <w:r w:rsidR="00526B89">
          <w:rPr>
            <w:noProof/>
            <w:webHidden/>
          </w:rPr>
          <w:fldChar w:fldCharType="begin"/>
        </w:r>
        <w:r w:rsidR="00526B89">
          <w:rPr>
            <w:noProof/>
            <w:webHidden/>
          </w:rPr>
          <w:instrText xml:space="preserve"> PAGEREF _Toc40369044 \h </w:instrText>
        </w:r>
        <w:r w:rsidR="00526B89">
          <w:rPr>
            <w:noProof/>
            <w:webHidden/>
          </w:rPr>
        </w:r>
        <w:r w:rsidR="00526B89">
          <w:rPr>
            <w:noProof/>
            <w:webHidden/>
          </w:rPr>
          <w:fldChar w:fldCharType="separate"/>
        </w:r>
        <w:r w:rsidR="00211649">
          <w:rPr>
            <w:noProof/>
            <w:webHidden/>
          </w:rPr>
          <w:t>2</w:t>
        </w:r>
        <w:r w:rsidR="00526B89">
          <w:rPr>
            <w:noProof/>
            <w:webHidden/>
          </w:rPr>
          <w:fldChar w:fldCharType="end"/>
        </w:r>
      </w:hyperlink>
    </w:p>
    <w:p w14:paraId="6FE97F82" w14:textId="558F33E3" w:rsidR="00526B89" w:rsidRDefault="0058723C">
      <w:pPr>
        <w:pStyle w:val="TOC1"/>
        <w:tabs>
          <w:tab w:val="left" w:pos="600"/>
        </w:tabs>
        <w:rPr>
          <w:rFonts w:asciiTheme="minorHAnsi" w:eastAsiaTheme="minorEastAsia" w:hAnsiTheme="minorHAnsi" w:cstheme="minorBidi"/>
          <w:noProof/>
          <w:color w:val="auto"/>
          <w:sz w:val="22"/>
          <w:szCs w:val="22"/>
          <w:lang w:eastAsia="en-AU"/>
        </w:rPr>
      </w:pPr>
      <w:hyperlink w:anchor="_Toc40369045" w:history="1">
        <w:r w:rsidR="00526B89" w:rsidRPr="006D5398">
          <w:rPr>
            <w:rStyle w:val="Hyperlink"/>
            <w:noProof/>
          </w:rPr>
          <w:t>5.</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Starting a Project</w:t>
        </w:r>
        <w:r w:rsidR="00526B89">
          <w:rPr>
            <w:noProof/>
            <w:webHidden/>
          </w:rPr>
          <w:tab/>
        </w:r>
        <w:r w:rsidR="00526B89">
          <w:rPr>
            <w:noProof/>
            <w:webHidden/>
          </w:rPr>
          <w:fldChar w:fldCharType="begin"/>
        </w:r>
        <w:r w:rsidR="00526B89">
          <w:rPr>
            <w:noProof/>
            <w:webHidden/>
          </w:rPr>
          <w:instrText xml:space="preserve"> PAGEREF _Toc40369045 \h </w:instrText>
        </w:r>
        <w:r w:rsidR="00526B89">
          <w:rPr>
            <w:noProof/>
            <w:webHidden/>
          </w:rPr>
        </w:r>
        <w:r w:rsidR="00526B89">
          <w:rPr>
            <w:noProof/>
            <w:webHidden/>
          </w:rPr>
          <w:fldChar w:fldCharType="separate"/>
        </w:r>
        <w:r w:rsidR="00211649">
          <w:rPr>
            <w:noProof/>
            <w:webHidden/>
          </w:rPr>
          <w:t>3</w:t>
        </w:r>
        <w:r w:rsidR="00526B89">
          <w:rPr>
            <w:noProof/>
            <w:webHidden/>
          </w:rPr>
          <w:fldChar w:fldCharType="end"/>
        </w:r>
      </w:hyperlink>
    </w:p>
    <w:p w14:paraId="6BCD9F1A" w14:textId="646844A7" w:rsidR="00526B89" w:rsidRDefault="0058723C">
      <w:pPr>
        <w:pStyle w:val="TOC1"/>
        <w:tabs>
          <w:tab w:val="left" w:pos="600"/>
        </w:tabs>
        <w:rPr>
          <w:rFonts w:asciiTheme="minorHAnsi" w:eastAsiaTheme="minorEastAsia" w:hAnsiTheme="minorHAnsi" w:cstheme="minorBidi"/>
          <w:noProof/>
          <w:color w:val="auto"/>
          <w:sz w:val="22"/>
          <w:szCs w:val="22"/>
          <w:lang w:eastAsia="en-AU"/>
        </w:rPr>
      </w:pPr>
      <w:hyperlink w:anchor="_Toc40369046" w:history="1">
        <w:r w:rsidR="00526B89" w:rsidRPr="006D5398">
          <w:rPr>
            <w:rStyle w:val="Hyperlink"/>
            <w:noProof/>
          </w:rPr>
          <w:t>6.</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Step by step process in applying Local Jobs First to Standard Projects</w:t>
        </w:r>
        <w:r w:rsidR="00526B89">
          <w:rPr>
            <w:noProof/>
            <w:webHidden/>
          </w:rPr>
          <w:tab/>
        </w:r>
        <w:r w:rsidR="00526B89">
          <w:rPr>
            <w:noProof/>
            <w:webHidden/>
          </w:rPr>
          <w:fldChar w:fldCharType="begin"/>
        </w:r>
        <w:r w:rsidR="00526B89">
          <w:rPr>
            <w:noProof/>
            <w:webHidden/>
          </w:rPr>
          <w:instrText xml:space="preserve"> PAGEREF _Toc40369046 \h </w:instrText>
        </w:r>
        <w:r w:rsidR="00526B89">
          <w:rPr>
            <w:noProof/>
            <w:webHidden/>
          </w:rPr>
        </w:r>
        <w:r w:rsidR="00526B89">
          <w:rPr>
            <w:noProof/>
            <w:webHidden/>
          </w:rPr>
          <w:fldChar w:fldCharType="separate"/>
        </w:r>
        <w:r w:rsidR="00211649">
          <w:rPr>
            <w:noProof/>
            <w:webHidden/>
          </w:rPr>
          <w:t>3</w:t>
        </w:r>
        <w:r w:rsidR="00526B89">
          <w:rPr>
            <w:noProof/>
            <w:webHidden/>
          </w:rPr>
          <w:fldChar w:fldCharType="end"/>
        </w:r>
      </w:hyperlink>
    </w:p>
    <w:p w14:paraId="4A5D9278" w14:textId="2395CC81" w:rsidR="00526B89" w:rsidRDefault="0058723C">
      <w:pPr>
        <w:pStyle w:val="TOC1"/>
        <w:tabs>
          <w:tab w:val="left" w:pos="600"/>
        </w:tabs>
        <w:rPr>
          <w:rFonts w:asciiTheme="minorHAnsi" w:eastAsiaTheme="minorEastAsia" w:hAnsiTheme="minorHAnsi" w:cstheme="minorBidi"/>
          <w:noProof/>
          <w:color w:val="auto"/>
          <w:sz w:val="22"/>
          <w:szCs w:val="22"/>
          <w:lang w:eastAsia="en-AU"/>
        </w:rPr>
      </w:pPr>
      <w:hyperlink w:anchor="_Toc40369047" w:history="1">
        <w:r w:rsidR="00526B89" w:rsidRPr="006D5398">
          <w:rPr>
            <w:rStyle w:val="Hyperlink"/>
            <w:noProof/>
          </w:rPr>
          <w:t>7.</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Step by step process in applying Local Jobs First to Major Projects Skills Guarantee Projects</w:t>
        </w:r>
        <w:r w:rsidR="00526B89">
          <w:rPr>
            <w:noProof/>
            <w:webHidden/>
          </w:rPr>
          <w:tab/>
        </w:r>
        <w:r w:rsidR="00526B89">
          <w:rPr>
            <w:noProof/>
            <w:webHidden/>
          </w:rPr>
          <w:fldChar w:fldCharType="begin"/>
        </w:r>
        <w:r w:rsidR="00526B89">
          <w:rPr>
            <w:noProof/>
            <w:webHidden/>
          </w:rPr>
          <w:instrText xml:space="preserve"> PAGEREF _Toc40369047 \h </w:instrText>
        </w:r>
        <w:r w:rsidR="00526B89">
          <w:rPr>
            <w:noProof/>
            <w:webHidden/>
          </w:rPr>
        </w:r>
        <w:r w:rsidR="00526B89">
          <w:rPr>
            <w:noProof/>
            <w:webHidden/>
          </w:rPr>
          <w:fldChar w:fldCharType="separate"/>
        </w:r>
        <w:r w:rsidR="00211649">
          <w:rPr>
            <w:noProof/>
            <w:webHidden/>
          </w:rPr>
          <w:t>7</w:t>
        </w:r>
        <w:r w:rsidR="00526B89">
          <w:rPr>
            <w:noProof/>
            <w:webHidden/>
          </w:rPr>
          <w:fldChar w:fldCharType="end"/>
        </w:r>
      </w:hyperlink>
    </w:p>
    <w:p w14:paraId="02C8E056" w14:textId="75145908" w:rsidR="00526B89" w:rsidRDefault="0058723C">
      <w:pPr>
        <w:pStyle w:val="TOC1"/>
        <w:tabs>
          <w:tab w:val="left" w:pos="600"/>
        </w:tabs>
        <w:rPr>
          <w:rFonts w:asciiTheme="minorHAnsi" w:eastAsiaTheme="minorEastAsia" w:hAnsiTheme="minorHAnsi" w:cstheme="minorBidi"/>
          <w:noProof/>
          <w:color w:val="auto"/>
          <w:sz w:val="22"/>
          <w:szCs w:val="22"/>
          <w:lang w:eastAsia="en-AU"/>
        </w:rPr>
      </w:pPr>
      <w:hyperlink w:anchor="_Toc40369048" w:history="1">
        <w:r w:rsidR="00526B89" w:rsidRPr="006D5398">
          <w:rPr>
            <w:rStyle w:val="Hyperlink"/>
            <w:noProof/>
          </w:rPr>
          <w:t>8.</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Applying Local Jobs First to Strategic Projects</w:t>
        </w:r>
        <w:r w:rsidR="00526B89">
          <w:rPr>
            <w:noProof/>
            <w:webHidden/>
          </w:rPr>
          <w:tab/>
        </w:r>
        <w:r w:rsidR="00526B89">
          <w:rPr>
            <w:noProof/>
            <w:webHidden/>
          </w:rPr>
          <w:fldChar w:fldCharType="begin"/>
        </w:r>
        <w:r w:rsidR="00526B89">
          <w:rPr>
            <w:noProof/>
            <w:webHidden/>
          </w:rPr>
          <w:instrText xml:space="preserve"> PAGEREF _Toc40369048 \h </w:instrText>
        </w:r>
        <w:r w:rsidR="00526B89">
          <w:rPr>
            <w:noProof/>
            <w:webHidden/>
          </w:rPr>
        </w:r>
        <w:r w:rsidR="00526B89">
          <w:rPr>
            <w:noProof/>
            <w:webHidden/>
          </w:rPr>
          <w:fldChar w:fldCharType="separate"/>
        </w:r>
        <w:r w:rsidR="00211649">
          <w:rPr>
            <w:noProof/>
            <w:webHidden/>
          </w:rPr>
          <w:t>13</w:t>
        </w:r>
        <w:r w:rsidR="00526B89">
          <w:rPr>
            <w:noProof/>
            <w:webHidden/>
          </w:rPr>
          <w:fldChar w:fldCharType="end"/>
        </w:r>
      </w:hyperlink>
    </w:p>
    <w:p w14:paraId="6F52F571" w14:textId="61ABCC40" w:rsidR="00526B89" w:rsidRDefault="0058723C">
      <w:pPr>
        <w:pStyle w:val="TOC1"/>
        <w:tabs>
          <w:tab w:val="left" w:pos="600"/>
        </w:tabs>
        <w:rPr>
          <w:rFonts w:asciiTheme="minorHAnsi" w:eastAsiaTheme="minorEastAsia" w:hAnsiTheme="minorHAnsi" w:cstheme="minorBidi"/>
          <w:noProof/>
          <w:color w:val="auto"/>
          <w:sz w:val="22"/>
          <w:szCs w:val="22"/>
          <w:lang w:eastAsia="en-AU"/>
        </w:rPr>
      </w:pPr>
      <w:hyperlink w:anchor="_Toc40369049" w:history="1">
        <w:r w:rsidR="00526B89" w:rsidRPr="006D5398">
          <w:rPr>
            <w:rStyle w:val="Hyperlink"/>
            <w:noProof/>
          </w:rPr>
          <w:t>9.</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Applying Local Jobs First to Market Led Proposals</w:t>
        </w:r>
        <w:r w:rsidR="00526B89">
          <w:rPr>
            <w:noProof/>
            <w:webHidden/>
          </w:rPr>
          <w:tab/>
        </w:r>
        <w:r w:rsidR="00526B89">
          <w:rPr>
            <w:noProof/>
            <w:webHidden/>
          </w:rPr>
          <w:fldChar w:fldCharType="begin"/>
        </w:r>
        <w:r w:rsidR="00526B89">
          <w:rPr>
            <w:noProof/>
            <w:webHidden/>
          </w:rPr>
          <w:instrText xml:space="preserve"> PAGEREF _Toc40369049 \h </w:instrText>
        </w:r>
        <w:r w:rsidR="00526B89">
          <w:rPr>
            <w:noProof/>
            <w:webHidden/>
          </w:rPr>
        </w:r>
        <w:r w:rsidR="00526B89">
          <w:rPr>
            <w:noProof/>
            <w:webHidden/>
          </w:rPr>
          <w:fldChar w:fldCharType="separate"/>
        </w:r>
        <w:r w:rsidR="00211649">
          <w:rPr>
            <w:noProof/>
            <w:webHidden/>
          </w:rPr>
          <w:t>21</w:t>
        </w:r>
        <w:r w:rsidR="00526B89">
          <w:rPr>
            <w:noProof/>
            <w:webHidden/>
          </w:rPr>
          <w:fldChar w:fldCharType="end"/>
        </w:r>
      </w:hyperlink>
    </w:p>
    <w:p w14:paraId="5C9EE4B7" w14:textId="00A1DB5A" w:rsidR="00526B89" w:rsidRDefault="0058723C">
      <w:pPr>
        <w:pStyle w:val="TOC1"/>
        <w:tabs>
          <w:tab w:val="left" w:pos="880"/>
        </w:tabs>
        <w:rPr>
          <w:rFonts w:asciiTheme="minorHAnsi" w:eastAsiaTheme="minorEastAsia" w:hAnsiTheme="minorHAnsi" w:cstheme="minorBidi"/>
          <w:noProof/>
          <w:color w:val="auto"/>
          <w:sz w:val="22"/>
          <w:szCs w:val="22"/>
          <w:lang w:eastAsia="en-AU"/>
        </w:rPr>
      </w:pPr>
      <w:hyperlink w:anchor="_Toc40369050" w:history="1">
        <w:r w:rsidR="00526B89" w:rsidRPr="006D5398">
          <w:rPr>
            <w:rStyle w:val="Hyperlink"/>
            <w:noProof/>
          </w:rPr>
          <w:t>10.</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Local Jobs First and Grants and loans</w:t>
        </w:r>
        <w:r w:rsidR="00526B89">
          <w:rPr>
            <w:noProof/>
            <w:webHidden/>
          </w:rPr>
          <w:tab/>
        </w:r>
        <w:r w:rsidR="00526B89">
          <w:rPr>
            <w:noProof/>
            <w:webHidden/>
          </w:rPr>
          <w:fldChar w:fldCharType="begin"/>
        </w:r>
        <w:r w:rsidR="00526B89">
          <w:rPr>
            <w:noProof/>
            <w:webHidden/>
          </w:rPr>
          <w:instrText xml:space="preserve"> PAGEREF _Toc40369050 \h </w:instrText>
        </w:r>
        <w:r w:rsidR="00526B89">
          <w:rPr>
            <w:noProof/>
            <w:webHidden/>
          </w:rPr>
        </w:r>
        <w:r w:rsidR="00526B89">
          <w:rPr>
            <w:noProof/>
            <w:webHidden/>
          </w:rPr>
          <w:fldChar w:fldCharType="separate"/>
        </w:r>
        <w:r w:rsidR="00211649">
          <w:rPr>
            <w:noProof/>
            <w:webHidden/>
          </w:rPr>
          <w:t>21</w:t>
        </w:r>
        <w:r w:rsidR="00526B89">
          <w:rPr>
            <w:noProof/>
            <w:webHidden/>
          </w:rPr>
          <w:fldChar w:fldCharType="end"/>
        </w:r>
      </w:hyperlink>
    </w:p>
    <w:p w14:paraId="56B92A34" w14:textId="372207B0" w:rsidR="00526B89" w:rsidRDefault="0058723C">
      <w:pPr>
        <w:pStyle w:val="TOC1"/>
        <w:tabs>
          <w:tab w:val="left" w:pos="880"/>
        </w:tabs>
        <w:rPr>
          <w:rFonts w:asciiTheme="minorHAnsi" w:eastAsiaTheme="minorEastAsia" w:hAnsiTheme="minorHAnsi" w:cstheme="minorBidi"/>
          <w:noProof/>
          <w:color w:val="auto"/>
          <w:sz w:val="22"/>
          <w:szCs w:val="22"/>
          <w:lang w:eastAsia="en-AU"/>
        </w:rPr>
      </w:pPr>
      <w:hyperlink w:anchor="_Toc40369051" w:history="1">
        <w:r w:rsidR="00526B89" w:rsidRPr="006D5398">
          <w:rPr>
            <w:rStyle w:val="Hyperlink"/>
            <w:noProof/>
          </w:rPr>
          <w:t>11.</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Applying Local Jobs First to Panels</w:t>
        </w:r>
        <w:r w:rsidR="00526B89">
          <w:rPr>
            <w:noProof/>
            <w:webHidden/>
          </w:rPr>
          <w:tab/>
        </w:r>
        <w:r w:rsidR="00526B89">
          <w:rPr>
            <w:noProof/>
            <w:webHidden/>
          </w:rPr>
          <w:fldChar w:fldCharType="begin"/>
        </w:r>
        <w:r w:rsidR="00526B89">
          <w:rPr>
            <w:noProof/>
            <w:webHidden/>
          </w:rPr>
          <w:instrText xml:space="preserve"> PAGEREF _Toc40369051 \h </w:instrText>
        </w:r>
        <w:r w:rsidR="00526B89">
          <w:rPr>
            <w:noProof/>
            <w:webHidden/>
          </w:rPr>
        </w:r>
        <w:r w:rsidR="00526B89">
          <w:rPr>
            <w:noProof/>
            <w:webHidden/>
          </w:rPr>
          <w:fldChar w:fldCharType="separate"/>
        </w:r>
        <w:r w:rsidR="00211649">
          <w:rPr>
            <w:noProof/>
            <w:webHidden/>
          </w:rPr>
          <w:t>22</w:t>
        </w:r>
        <w:r w:rsidR="00526B89">
          <w:rPr>
            <w:noProof/>
            <w:webHidden/>
          </w:rPr>
          <w:fldChar w:fldCharType="end"/>
        </w:r>
      </w:hyperlink>
    </w:p>
    <w:p w14:paraId="1894F20C" w14:textId="6B41A94B" w:rsidR="00526B89" w:rsidRDefault="0058723C">
      <w:pPr>
        <w:pStyle w:val="TOC1"/>
        <w:tabs>
          <w:tab w:val="left" w:pos="880"/>
        </w:tabs>
        <w:rPr>
          <w:rFonts w:asciiTheme="minorHAnsi" w:eastAsiaTheme="minorEastAsia" w:hAnsiTheme="minorHAnsi" w:cstheme="minorBidi"/>
          <w:noProof/>
          <w:color w:val="auto"/>
          <w:sz w:val="22"/>
          <w:szCs w:val="22"/>
          <w:lang w:eastAsia="en-AU"/>
        </w:rPr>
      </w:pPr>
      <w:hyperlink w:anchor="_Toc40369052" w:history="1">
        <w:r w:rsidR="00526B89" w:rsidRPr="006D5398">
          <w:rPr>
            <w:rStyle w:val="Hyperlink"/>
            <w:noProof/>
          </w:rPr>
          <w:t>12.</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Local Jobs First Monitoring Requirements</w:t>
        </w:r>
        <w:r w:rsidR="00526B89">
          <w:rPr>
            <w:noProof/>
            <w:webHidden/>
          </w:rPr>
          <w:tab/>
        </w:r>
        <w:r w:rsidR="00526B89">
          <w:rPr>
            <w:noProof/>
            <w:webHidden/>
          </w:rPr>
          <w:fldChar w:fldCharType="begin"/>
        </w:r>
        <w:r w:rsidR="00526B89">
          <w:rPr>
            <w:noProof/>
            <w:webHidden/>
          </w:rPr>
          <w:instrText xml:space="preserve"> PAGEREF _Toc40369052 \h </w:instrText>
        </w:r>
        <w:r w:rsidR="00526B89">
          <w:rPr>
            <w:noProof/>
            <w:webHidden/>
          </w:rPr>
        </w:r>
        <w:r w:rsidR="00526B89">
          <w:rPr>
            <w:noProof/>
            <w:webHidden/>
          </w:rPr>
          <w:fldChar w:fldCharType="separate"/>
        </w:r>
        <w:r w:rsidR="00211649">
          <w:rPr>
            <w:noProof/>
            <w:webHidden/>
          </w:rPr>
          <w:t>23</w:t>
        </w:r>
        <w:r w:rsidR="00526B89">
          <w:rPr>
            <w:noProof/>
            <w:webHidden/>
          </w:rPr>
          <w:fldChar w:fldCharType="end"/>
        </w:r>
      </w:hyperlink>
    </w:p>
    <w:p w14:paraId="25167214" w14:textId="4FC09064" w:rsidR="00526B89" w:rsidRDefault="0058723C">
      <w:pPr>
        <w:pStyle w:val="TOC1"/>
        <w:tabs>
          <w:tab w:val="left" w:pos="880"/>
        </w:tabs>
        <w:rPr>
          <w:rFonts w:asciiTheme="minorHAnsi" w:eastAsiaTheme="minorEastAsia" w:hAnsiTheme="minorHAnsi" w:cstheme="minorBidi"/>
          <w:noProof/>
          <w:color w:val="auto"/>
          <w:sz w:val="22"/>
          <w:szCs w:val="22"/>
          <w:lang w:eastAsia="en-AU"/>
        </w:rPr>
      </w:pPr>
      <w:hyperlink w:anchor="_Toc40369053" w:history="1">
        <w:r w:rsidR="00526B89" w:rsidRPr="006D5398">
          <w:rPr>
            <w:rStyle w:val="Hyperlink"/>
            <w:noProof/>
          </w:rPr>
          <w:t>13.</w:t>
        </w:r>
        <w:r w:rsidR="00526B89">
          <w:rPr>
            <w:rFonts w:asciiTheme="minorHAnsi" w:eastAsiaTheme="minorEastAsia" w:hAnsiTheme="minorHAnsi" w:cstheme="minorBidi"/>
            <w:noProof/>
            <w:color w:val="auto"/>
            <w:sz w:val="22"/>
            <w:szCs w:val="22"/>
            <w:lang w:eastAsia="en-AU"/>
          </w:rPr>
          <w:tab/>
        </w:r>
        <w:r w:rsidR="00526B89" w:rsidRPr="006D5398">
          <w:rPr>
            <w:rStyle w:val="Hyperlink"/>
            <w:noProof/>
          </w:rPr>
          <w:t>Compliance</w:t>
        </w:r>
        <w:r w:rsidR="00526B89">
          <w:rPr>
            <w:noProof/>
            <w:webHidden/>
          </w:rPr>
          <w:tab/>
        </w:r>
        <w:r w:rsidR="00526B89">
          <w:rPr>
            <w:noProof/>
            <w:webHidden/>
          </w:rPr>
          <w:fldChar w:fldCharType="begin"/>
        </w:r>
        <w:r w:rsidR="00526B89">
          <w:rPr>
            <w:noProof/>
            <w:webHidden/>
          </w:rPr>
          <w:instrText xml:space="preserve"> PAGEREF _Toc40369053 \h </w:instrText>
        </w:r>
        <w:r w:rsidR="00526B89">
          <w:rPr>
            <w:noProof/>
            <w:webHidden/>
          </w:rPr>
        </w:r>
        <w:r w:rsidR="00526B89">
          <w:rPr>
            <w:noProof/>
            <w:webHidden/>
          </w:rPr>
          <w:fldChar w:fldCharType="separate"/>
        </w:r>
        <w:r w:rsidR="00211649">
          <w:rPr>
            <w:noProof/>
            <w:webHidden/>
          </w:rPr>
          <w:t>24</w:t>
        </w:r>
        <w:r w:rsidR="00526B89">
          <w:rPr>
            <w:noProof/>
            <w:webHidden/>
          </w:rPr>
          <w:fldChar w:fldCharType="end"/>
        </w:r>
      </w:hyperlink>
    </w:p>
    <w:p w14:paraId="69233A30" w14:textId="4F1EA9AA" w:rsidR="00526B89" w:rsidRDefault="0058723C">
      <w:pPr>
        <w:pStyle w:val="TOC1"/>
        <w:rPr>
          <w:rFonts w:asciiTheme="minorHAnsi" w:eastAsiaTheme="minorEastAsia" w:hAnsiTheme="minorHAnsi" w:cstheme="minorBidi"/>
          <w:noProof/>
          <w:color w:val="auto"/>
          <w:sz w:val="22"/>
          <w:szCs w:val="22"/>
          <w:lang w:eastAsia="en-AU"/>
        </w:rPr>
      </w:pPr>
      <w:hyperlink w:anchor="_Toc40369054" w:history="1">
        <w:r w:rsidR="00526B89" w:rsidRPr="006D5398">
          <w:rPr>
            <w:rStyle w:val="Hyperlink"/>
            <w:noProof/>
          </w:rPr>
          <w:t>Appendices</w:t>
        </w:r>
        <w:r w:rsidR="00526B89">
          <w:rPr>
            <w:noProof/>
            <w:webHidden/>
          </w:rPr>
          <w:tab/>
        </w:r>
        <w:r w:rsidR="00526B89">
          <w:rPr>
            <w:noProof/>
            <w:webHidden/>
          </w:rPr>
          <w:fldChar w:fldCharType="begin"/>
        </w:r>
        <w:r w:rsidR="00526B89">
          <w:rPr>
            <w:noProof/>
            <w:webHidden/>
          </w:rPr>
          <w:instrText xml:space="preserve"> PAGEREF _Toc40369054 \h </w:instrText>
        </w:r>
        <w:r w:rsidR="00526B89">
          <w:rPr>
            <w:noProof/>
            <w:webHidden/>
          </w:rPr>
        </w:r>
        <w:r w:rsidR="00526B89">
          <w:rPr>
            <w:noProof/>
            <w:webHidden/>
          </w:rPr>
          <w:fldChar w:fldCharType="separate"/>
        </w:r>
        <w:r w:rsidR="00211649">
          <w:rPr>
            <w:noProof/>
            <w:webHidden/>
          </w:rPr>
          <w:t>25</w:t>
        </w:r>
        <w:r w:rsidR="00526B89">
          <w:rPr>
            <w:noProof/>
            <w:webHidden/>
          </w:rPr>
          <w:fldChar w:fldCharType="end"/>
        </w:r>
      </w:hyperlink>
    </w:p>
    <w:p w14:paraId="077C23E0" w14:textId="7F370E66" w:rsidR="00526B89" w:rsidRDefault="0058723C">
      <w:pPr>
        <w:pStyle w:val="TOC2"/>
        <w:rPr>
          <w:rFonts w:asciiTheme="minorHAnsi" w:eastAsiaTheme="minorEastAsia" w:hAnsiTheme="minorHAnsi" w:cstheme="minorBidi"/>
          <w:noProof/>
          <w:color w:val="auto"/>
          <w:sz w:val="22"/>
          <w:szCs w:val="22"/>
          <w:lang w:eastAsia="en-AU"/>
        </w:rPr>
      </w:pPr>
      <w:hyperlink w:anchor="_Toc40369055" w:history="1">
        <w:r w:rsidR="00526B89" w:rsidRPr="006D5398">
          <w:rPr>
            <w:rStyle w:val="Hyperlink"/>
            <w:noProof/>
          </w:rPr>
          <w:t>Appendix 1: Glossary</w:t>
        </w:r>
        <w:r w:rsidR="00526B89">
          <w:rPr>
            <w:noProof/>
            <w:webHidden/>
          </w:rPr>
          <w:tab/>
        </w:r>
        <w:r w:rsidR="00526B89">
          <w:rPr>
            <w:noProof/>
            <w:webHidden/>
          </w:rPr>
          <w:fldChar w:fldCharType="begin"/>
        </w:r>
        <w:r w:rsidR="00526B89">
          <w:rPr>
            <w:noProof/>
            <w:webHidden/>
          </w:rPr>
          <w:instrText xml:space="preserve"> PAGEREF _Toc40369055 \h </w:instrText>
        </w:r>
        <w:r w:rsidR="00526B89">
          <w:rPr>
            <w:noProof/>
            <w:webHidden/>
          </w:rPr>
        </w:r>
        <w:r w:rsidR="00526B89">
          <w:rPr>
            <w:noProof/>
            <w:webHidden/>
          </w:rPr>
          <w:fldChar w:fldCharType="separate"/>
        </w:r>
        <w:r w:rsidR="00211649">
          <w:rPr>
            <w:noProof/>
            <w:webHidden/>
          </w:rPr>
          <w:t>25</w:t>
        </w:r>
        <w:r w:rsidR="00526B89">
          <w:rPr>
            <w:noProof/>
            <w:webHidden/>
          </w:rPr>
          <w:fldChar w:fldCharType="end"/>
        </w:r>
      </w:hyperlink>
    </w:p>
    <w:p w14:paraId="4078F316" w14:textId="22024A72" w:rsidR="00526B89" w:rsidRDefault="0058723C">
      <w:pPr>
        <w:pStyle w:val="TOC2"/>
        <w:rPr>
          <w:rFonts w:asciiTheme="minorHAnsi" w:eastAsiaTheme="minorEastAsia" w:hAnsiTheme="minorHAnsi" w:cstheme="minorBidi"/>
          <w:noProof/>
          <w:color w:val="auto"/>
          <w:sz w:val="22"/>
          <w:szCs w:val="22"/>
          <w:lang w:eastAsia="en-AU"/>
        </w:rPr>
      </w:pPr>
      <w:hyperlink w:anchor="_Toc40369056" w:history="1">
        <w:r w:rsidR="00526B89" w:rsidRPr="006D5398">
          <w:rPr>
            <w:rStyle w:val="Hyperlink"/>
            <w:noProof/>
          </w:rPr>
          <w:t>Appendix 2: Monitoring and Reporting Table</w:t>
        </w:r>
        <w:r w:rsidR="00526B89">
          <w:rPr>
            <w:noProof/>
            <w:webHidden/>
          </w:rPr>
          <w:tab/>
        </w:r>
        <w:r w:rsidR="00526B89">
          <w:rPr>
            <w:noProof/>
            <w:webHidden/>
          </w:rPr>
          <w:fldChar w:fldCharType="begin"/>
        </w:r>
        <w:r w:rsidR="00526B89">
          <w:rPr>
            <w:noProof/>
            <w:webHidden/>
          </w:rPr>
          <w:instrText xml:space="preserve"> PAGEREF _Toc40369056 \h </w:instrText>
        </w:r>
        <w:r w:rsidR="00526B89">
          <w:rPr>
            <w:noProof/>
            <w:webHidden/>
          </w:rPr>
        </w:r>
        <w:r w:rsidR="00526B89">
          <w:rPr>
            <w:noProof/>
            <w:webHidden/>
          </w:rPr>
          <w:fldChar w:fldCharType="separate"/>
        </w:r>
        <w:r w:rsidR="00211649">
          <w:rPr>
            <w:noProof/>
            <w:webHidden/>
          </w:rPr>
          <w:t>28</w:t>
        </w:r>
        <w:r w:rsidR="00526B89">
          <w:rPr>
            <w:noProof/>
            <w:webHidden/>
          </w:rPr>
          <w:fldChar w:fldCharType="end"/>
        </w:r>
      </w:hyperlink>
    </w:p>
    <w:p w14:paraId="3DBC4280" w14:textId="17E6C9A4" w:rsidR="00D96C1E" w:rsidRDefault="004371F6" w:rsidP="00D96C1E">
      <w:pPr>
        <w:rPr>
          <w:noProof/>
        </w:rPr>
      </w:pPr>
      <w:r>
        <w:rPr>
          <w:noProof/>
        </w:rPr>
        <w:fldChar w:fldCharType="end"/>
      </w:r>
    </w:p>
    <w:p w14:paraId="7A500BB4" w14:textId="77777777" w:rsidR="00D96C1E" w:rsidRDefault="00D96C1E" w:rsidP="00D96C1E">
      <w:pPr>
        <w:rPr>
          <w:noProof/>
        </w:rPr>
      </w:pPr>
    </w:p>
    <w:p w14:paraId="6BDDE51C" w14:textId="6EBE9780" w:rsidR="004371F6" w:rsidRDefault="004371F6" w:rsidP="00D96C1E">
      <w:r>
        <w:br w:type="page"/>
      </w:r>
    </w:p>
    <w:p w14:paraId="3AAB5297" w14:textId="77777777" w:rsidR="005C4123" w:rsidRDefault="005C4123" w:rsidP="00D40534">
      <w:pPr>
        <w:pStyle w:val="Heading1"/>
        <w:ind w:left="426" w:hanging="578"/>
      </w:pPr>
      <w:bookmarkStart w:id="0" w:name="_Toc40369041"/>
      <w:bookmarkStart w:id="1" w:name="_Toc314821338"/>
      <w:bookmarkStart w:id="2" w:name="_Toc314822260"/>
      <w:bookmarkStart w:id="3" w:name="_Toc315765090"/>
      <w:r w:rsidRPr="00C91A54">
        <w:lastRenderedPageBreak/>
        <w:t>Overview</w:t>
      </w:r>
      <w:bookmarkEnd w:id="0"/>
      <w:r>
        <w:t xml:space="preserve"> </w:t>
      </w:r>
      <w:bookmarkEnd w:id="1"/>
      <w:bookmarkEnd w:id="2"/>
      <w:bookmarkEnd w:id="3"/>
    </w:p>
    <w:p w14:paraId="7D92A6B8" w14:textId="54BF9C37" w:rsidR="00550F9E" w:rsidRDefault="008A51EA" w:rsidP="000577B8">
      <w:pPr>
        <w:spacing w:line="276" w:lineRule="auto"/>
        <w:jc w:val="both"/>
        <w:rPr>
          <w:rFonts w:asciiTheme="minorHAnsi" w:hAnsiTheme="minorHAnsi" w:cstheme="minorHAnsi"/>
          <w:szCs w:val="18"/>
        </w:rPr>
      </w:pPr>
      <w:r w:rsidRPr="00A00B17">
        <w:rPr>
          <w:rFonts w:asciiTheme="minorHAnsi" w:hAnsiTheme="minorHAnsi" w:cstheme="minorHAnsi"/>
          <w:szCs w:val="18"/>
        </w:rPr>
        <w:t xml:space="preserve">These </w:t>
      </w:r>
      <w:r w:rsidR="00974DF9">
        <w:rPr>
          <w:rFonts w:asciiTheme="minorHAnsi" w:hAnsiTheme="minorHAnsi" w:cstheme="minorHAnsi"/>
          <w:szCs w:val="18"/>
        </w:rPr>
        <w:t>G</w:t>
      </w:r>
      <w:r w:rsidRPr="00A00B17">
        <w:rPr>
          <w:rFonts w:asciiTheme="minorHAnsi" w:hAnsiTheme="minorHAnsi" w:cstheme="minorHAnsi"/>
          <w:szCs w:val="18"/>
        </w:rPr>
        <w:t xml:space="preserve">uidelines are issued by the </w:t>
      </w:r>
      <w:r w:rsidR="00391152">
        <w:rPr>
          <w:rFonts w:asciiTheme="minorHAnsi" w:hAnsiTheme="minorHAnsi" w:cstheme="minorHAnsi"/>
          <w:szCs w:val="18"/>
        </w:rPr>
        <w:t>Minister for Jobs, Innovation and Trade</w:t>
      </w:r>
      <w:r w:rsidRPr="00A00B17">
        <w:rPr>
          <w:rFonts w:asciiTheme="minorHAnsi" w:hAnsiTheme="minorHAnsi" w:cstheme="minorHAnsi"/>
          <w:szCs w:val="18"/>
        </w:rPr>
        <w:t xml:space="preserve"> to </w:t>
      </w:r>
      <w:r w:rsidR="002C2A66">
        <w:rPr>
          <w:rFonts w:asciiTheme="minorHAnsi" w:hAnsiTheme="minorHAnsi" w:cstheme="minorHAnsi"/>
          <w:szCs w:val="18"/>
        </w:rPr>
        <w:t>h</w:t>
      </w:r>
      <w:r w:rsidR="00EF7139">
        <w:rPr>
          <w:rFonts w:asciiTheme="minorHAnsi" w:hAnsiTheme="minorHAnsi" w:cstheme="minorHAnsi"/>
          <w:szCs w:val="18"/>
        </w:rPr>
        <w:t>elp</w:t>
      </w:r>
      <w:r w:rsidR="002C2A66" w:rsidRPr="00A00B17">
        <w:rPr>
          <w:rFonts w:asciiTheme="minorHAnsi" w:hAnsiTheme="minorHAnsi" w:cstheme="minorHAnsi"/>
          <w:szCs w:val="18"/>
        </w:rPr>
        <w:t xml:space="preserve"> </w:t>
      </w:r>
      <w:r w:rsidR="00E30781">
        <w:rPr>
          <w:rFonts w:asciiTheme="minorHAnsi" w:hAnsiTheme="minorHAnsi" w:cstheme="minorHAnsi"/>
          <w:szCs w:val="18"/>
        </w:rPr>
        <w:t>suppliers</w:t>
      </w:r>
      <w:r w:rsidRPr="00A00B17">
        <w:rPr>
          <w:rFonts w:asciiTheme="minorHAnsi" w:hAnsiTheme="minorHAnsi" w:cstheme="minorHAnsi"/>
          <w:szCs w:val="18"/>
        </w:rPr>
        <w:t xml:space="preserve"> in the application of the Local Jobs First Policy and </w:t>
      </w:r>
      <w:r w:rsidRPr="00A00B17">
        <w:rPr>
          <w:rFonts w:asciiTheme="minorHAnsi" w:hAnsiTheme="minorHAnsi" w:cstheme="minorHAnsi"/>
          <w:i/>
          <w:szCs w:val="18"/>
        </w:rPr>
        <w:t xml:space="preserve">Local Jobs First Act </w:t>
      </w:r>
      <w:r w:rsidR="006C6B66" w:rsidRPr="00A00B17">
        <w:rPr>
          <w:rFonts w:asciiTheme="minorHAnsi" w:hAnsiTheme="minorHAnsi" w:cstheme="minorHAnsi"/>
          <w:i/>
          <w:szCs w:val="18"/>
        </w:rPr>
        <w:t>2003</w:t>
      </w:r>
      <w:r w:rsidR="00550F9E" w:rsidRPr="00A00B17">
        <w:rPr>
          <w:rFonts w:asciiTheme="minorHAnsi" w:hAnsiTheme="minorHAnsi" w:cstheme="minorHAnsi"/>
          <w:szCs w:val="18"/>
        </w:rPr>
        <w:t xml:space="preserve">. </w:t>
      </w:r>
    </w:p>
    <w:p w14:paraId="2A4AFFBF" w14:textId="78C5F67B" w:rsidR="005D244B" w:rsidRPr="00E30781" w:rsidRDefault="002715B1" w:rsidP="000577B8">
      <w:pPr>
        <w:spacing w:line="276" w:lineRule="auto"/>
        <w:jc w:val="both"/>
        <w:rPr>
          <w:rFonts w:asciiTheme="minorHAnsi" w:hAnsiTheme="minorHAnsi" w:cstheme="minorHAnsi"/>
          <w:szCs w:val="18"/>
        </w:rPr>
      </w:pPr>
      <w:r>
        <w:rPr>
          <w:rFonts w:asciiTheme="minorHAnsi" w:hAnsiTheme="minorHAnsi" w:cstheme="minorHAnsi"/>
          <w:szCs w:val="18"/>
        </w:rPr>
        <w:t xml:space="preserve">Suppliers to government projects where Local Jobs First applies must follow these </w:t>
      </w:r>
      <w:r w:rsidR="00974DF9">
        <w:rPr>
          <w:rFonts w:asciiTheme="minorHAnsi" w:hAnsiTheme="minorHAnsi" w:cstheme="minorHAnsi"/>
          <w:szCs w:val="18"/>
        </w:rPr>
        <w:t>G</w:t>
      </w:r>
      <w:r>
        <w:rPr>
          <w:rFonts w:asciiTheme="minorHAnsi" w:hAnsiTheme="minorHAnsi" w:cstheme="minorHAnsi"/>
          <w:szCs w:val="18"/>
        </w:rPr>
        <w:t xml:space="preserve">uidelines. </w:t>
      </w:r>
    </w:p>
    <w:p w14:paraId="75C9AB9C" w14:textId="0DCB4F6C" w:rsidR="005C4123" w:rsidRDefault="005C4123" w:rsidP="00D40534">
      <w:pPr>
        <w:pStyle w:val="Heading1"/>
        <w:ind w:left="426" w:hanging="578"/>
      </w:pPr>
      <w:bookmarkStart w:id="4" w:name="_Toc40369042"/>
      <w:r>
        <w:t>Application</w:t>
      </w:r>
      <w:bookmarkEnd w:id="4"/>
      <w:r>
        <w:t xml:space="preserve"> </w:t>
      </w:r>
    </w:p>
    <w:p w14:paraId="54C968F2" w14:textId="2EC68D58" w:rsidR="008A51EA" w:rsidRDefault="008A51EA" w:rsidP="000577B8">
      <w:pPr>
        <w:spacing w:line="276" w:lineRule="auto"/>
        <w:jc w:val="both"/>
        <w:rPr>
          <w:rFonts w:asciiTheme="minorHAnsi" w:hAnsiTheme="minorHAnsi" w:cstheme="minorHAnsi"/>
          <w:szCs w:val="18"/>
        </w:rPr>
      </w:pPr>
      <w:r w:rsidRPr="00A00B17">
        <w:rPr>
          <w:rFonts w:asciiTheme="minorHAnsi" w:hAnsiTheme="minorHAnsi" w:cstheme="minorHAnsi"/>
          <w:szCs w:val="18"/>
        </w:rPr>
        <w:t xml:space="preserve">The Local Jobs First Policy </w:t>
      </w:r>
      <w:r w:rsidR="00B41B87" w:rsidRPr="00A00B17">
        <w:rPr>
          <w:rFonts w:asciiTheme="minorHAnsi" w:hAnsiTheme="minorHAnsi" w:cstheme="minorHAnsi"/>
          <w:szCs w:val="18"/>
        </w:rPr>
        <w:t>appl</w:t>
      </w:r>
      <w:r w:rsidR="004033C4">
        <w:rPr>
          <w:rFonts w:asciiTheme="minorHAnsi" w:hAnsiTheme="minorHAnsi" w:cstheme="minorHAnsi"/>
          <w:szCs w:val="18"/>
        </w:rPr>
        <w:t>ies</w:t>
      </w:r>
      <w:r w:rsidR="00B41B87" w:rsidRPr="00A00B17">
        <w:rPr>
          <w:rFonts w:asciiTheme="minorHAnsi" w:hAnsiTheme="minorHAnsi" w:cstheme="minorHAnsi"/>
          <w:szCs w:val="18"/>
        </w:rPr>
        <w:t xml:space="preserve"> </w:t>
      </w:r>
      <w:r w:rsidRPr="00A00B17">
        <w:rPr>
          <w:rFonts w:asciiTheme="minorHAnsi" w:hAnsiTheme="minorHAnsi" w:cstheme="minorHAnsi"/>
          <w:szCs w:val="18"/>
        </w:rPr>
        <w:t xml:space="preserve">to all </w:t>
      </w:r>
      <w:r w:rsidR="00CC750D">
        <w:rPr>
          <w:rFonts w:asciiTheme="minorHAnsi" w:hAnsiTheme="minorHAnsi" w:cstheme="minorHAnsi"/>
          <w:szCs w:val="18"/>
        </w:rPr>
        <w:t>projects funded by the Victorian Government that meet the thresholds</w:t>
      </w:r>
      <w:r w:rsidR="00191D95">
        <w:rPr>
          <w:rFonts w:asciiTheme="minorHAnsi" w:hAnsiTheme="minorHAnsi" w:cstheme="minorHAnsi"/>
          <w:szCs w:val="18"/>
        </w:rPr>
        <w:t xml:space="preserve"> of a total project value of $1 million or more </w:t>
      </w:r>
      <w:r w:rsidR="002956EE">
        <w:rPr>
          <w:rFonts w:asciiTheme="minorHAnsi" w:hAnsiTheme="minorHAnsi" w:cstheme="minorHAnsi"/>
          <w:szCs w:val="18"/>
        </w:rPr>
        <w:t xml:space="preserve">in regional Victoria, or $3 million in </w:t>
      </w:r>
      <w:r w:rsidR="006F20F3">
        <w:rPr>
          <w:rFonts w:asciiTheme="minorHAnsi" w:hAnsiTheme="minorHAnsi" w:cstheme="minorHAnsi"/>
          <w:szCs w:val="18"/>
        </w:rPr>
        <w:t>metropolitan</w:t>
      </w:r>
      <w:r w:rsidR="002956EE">
        <w:rPr>
          <w:rFonts w:asciiTheme="minorHAnsi" w:hAnsiTheme="minorHAnsi" w:cstheme="minorHAnsi"/>
          <w:szCs w:val="18"/>
        </w:rPr>
        <w:t xml:space="preserve"> Melbourne or state-wide projects. </w:t>
      </w:r>
      <w:r w:rsidR="00CC750D">
        <w:rPr>
          <w:rFonts w:asciiTheme="minorHAnsi" w:hAnsiTheme="minorHAnsi" w:cstheme="minorHAnsi"/>
          <w:szCs w:val="18"/>
        </w:rPr>
        <w:t xml:space="preserve"> </w:t>
      </w:r>
      <w:r w:rsidRPr="00A00B17">
        <w:rPr>
          <w:rFonts w:asciiTheme="minorHAnsi" w:hAnsiTheme="minorHAnsi" w:cstheme="minorHAnsi"/>
          <w:szCs w:val="18"/>
        </w:rPr>
        <w:t xml:space="preserve">  </w:t>
      </w:r>
    </w:p>
    <w:p w14:paraId="500F5DBF" w14:textId="77777777" w:rsidR="00416967" w:rsidRPr="00A00B17" w:rsidRDefault="00416967" w:rsidP="00416967">
      <w:pPr>
        <w:spacing w:before="0"/>
        <w:jc w:val="both"/>
        <w:rPr>
          <w:rFonts w:asciiTheme="minorHAnsi" w:hAnsiTheme="minorHAnsi" w:cstheme="minorHAnsi"/>
          <w:szCs w:val="18"/>
        </w:rPr>
      </w:pPr>
      <w:r>
        <w:rPr>
          <w:rFonts w:asciiTheme="minorHAnsi" w:hAnsiTheme="minorHAnsi" w:cstheme="minorHAnsi"/>
          <w:szCs w:val="18"/>
        </w:rPr>
        <w:t xml:space="preserve">Advice regarding transitional </w:t>
      </w:r>
      <w:r w:rsidRPr="00B10F82">
        <w:rPr>
          <w:rFonts w:cs="Arial"/>
          <w:szCs w:val="18"/>
        </w:rPr>
        <w:t>arrangements</w:t>
      </w:r>
      <w:r>
        <w:rPr>
          <w:rFonts w:asciiTheme="minorHAnsi" w:hAnsiTheme="minorHAnsi" w:cstheme="minorHAnsi"/>
          <w:szCs w:val="18"/>
        </w:rPr>
        <w:t xml:space="preserve"> for projects started under the former </w:t>
      </w:r>
      <w:r w:rsidRPr="0002578D">
        <w:rPr>
          <w:rFonts w:asciiTheme="minorHAnsi" w:hAnsiTheme="minorHAnsi" w:cstheme="minorHAnsi"/>
          <w:i/>
          <w:szCs w:val="18"/>
        </w:rPr>
        <w:t>Victorian Industry Participation</w:t>
      </w:r>
      <w:r>
        <w:rPr>
          <w:rFonts w:asciiTheme="minorHAnsi" w:hAnsiTheme="minorHAnsi" w:cstheme="minorHAnsi"/>
          <w:i/>
          <w:szCs w:val="18"/>
        </w:rPr>
        <w:t xml:space="preserve"> Policy</w:t>
      </w:r>
      <w:r w:rsidRPr="0002578D">
        <w:rPr>
          <w:rFonts w:asciiTheme="minorHAnsi" w:hAnsiTheme="minorHAnsi" w:cstheme="minorHAnsi"/>
          <w:i/>
          <w:szCs w:val="18"/>
        </w:rPr>
        <w:t xml:space="preserve"> Act 2003</w:t>
      </w:r>
      <w:r>
        <w:rPr>
          <w:rFonts w:asciiTheme="minorHAnsi" w:hAnsiTheme="minorHAnsi" w:cstheme="minorHAnsi"/>
          <w:szCs w:val="18"/>
        </w:rPr>
        <w:t xml:space="preserve"> are outlined on the </w:t>
      </w:r>
      <w:hyperlink r:id="rId14" w:history="1">
        <w:r w:rsidRPr="0065047F">
          <w:rPr>
            <w:rStyle w:val="Hyperlink"/>
            <w:rFonts w:asciiTheme="minorHAnsi" w:hAnsiTheme="minorHAnsi" w:cstheme="minorHAnsi"/>
            <w:szCs w:val="18"/>
          </w:rPr>
          <w:t>Local Jobs First</w:t>
        </w:r>
      </w:hyperlink>
      <w:r>
        <w:rPr>
          <w:rFonts w:asciiTheme="minorHAnsi" w:hAnsiTheme="minorHAnsi" w:cstheme="minorHAnsi"/>
          <w:szCs w:val="18"/>
        </w:rPr>
        <w:t xml:space="preserve"> website. </w:t>
      </w:r>
    </w:p>
    <w:p w14:paraId="0D057B2A" w14:textId="129B38B4" w:rsidR="00AC4925" w:rsidRPr="00AC4925" w:rsidRDefault="004033C4" w:rsidP="00D40534">
      <w:pPr>
        <w:pStyle w:val="Heading1"/>
        <w:ind w:left="426" w:hanging="578"/>
      </w:pPr>
      <w:bookmarkStart w:id="5" w:name="_Toc40369043"/>
      <w:bookmarkStart w:id="6" w:name="_Hlk30755513"/>
      <w:r>
        <w:t xml:space="preserve">Victorian </w:t>
      </w:r>
      <w:r w:rsidR="00AC4925">
        <w:t>Local Jobs First Management Centre (</w:t>
      </w:r>
      <w:r>
        <w:t>V</w:t>
      </w:r>
      <w:r w:rsidRPr="00AC4925">
        <w:t>MC</w:t>
      </w:r>
      <w:r w:rsidR="00AC4925" w:rsidRPr="00AC4925">
        <w:t>)</w:t>
      </w:r>
      <w:bookmarkEnd w:id="5"/>
    </w:p>
    <w:bookmarkEnd w:id="6"/>
    <w:p w14:paraId="2C79516A" w14:textId="3D01F0D2" w:rsidR="009C27E2" w:rsidRDefault="00AC4925" w:rsidP="000577B8">
      <w:pPr>
        <w:spacing w:line="276" w:lineRule="auto"/>
        <w:jc w:val="both"/>
        <w:rPr>
          <w:rFonts w:asciiTheme="minorHAnsi" w:hAnsiTheme="minorHAnsi" w:cstheme="minorHAnsi"/>
          <w:szCs w:val="18"/>
        </w:rPr>
      </w:pPr>
      <w:r w:rsidRPr="00AC4925">
        <w:rPr>
          <w:rFonts w:asciiTheme="minorHAnsi" w:hAnsiTheme="minorHAnsi" w:cstheme="minorHAnsi"/>
          <w:szCs w:val="18"/>
        </w:rPr>
        <w:t xml:space="preserve">The </w:t>
      </w:r>
      <w:r w:rsidR="00043A61">
        <w:rPr>
          <w:rFonts w:asciiTheme="minorHAnsi" w:hAnsiTheme="minorHAnsi" w:cstheme="minorHAnsi"/>
          <w:szCs w:val="18"/>
        </w:rPr>
        <w:t xml:space="preserve">Victorian </w:t>
      </w:r>
      <w:r w:rsidRPr="00AC4925">
        <w:rPr>
          <w:rFonts w:asciiTheme="minorHAnsi" w:hAnsiTheme="minorHAnsi" w:cstheme="minorHAnsi"/>
          <w:szCs w:val="18"/>
        </w:rPr>
        <w:t>Local Jobs First Management Centre (</w:t>
      </w:r>
      <w:r w:rsidR="00043A61">
        <w:rPr>
          <w:rFonts w:asciiTheme="minorHAnsi" w:hAnsiTheme="minorHAnsi" w:cstheme="minorHAnsi"/>
          <w:szCs w:val="18"/>
        </w:rPr>
        <w:t>V</w:t>
      </w:r>
      <w:r w:rsidRPr="00AC4925">
        <w:rPr>
          <w:rFonts w:asciiTheme="minorHAnsi" w:hAnsiTheme="minorHAnsi" w:cstheme="minorHAnsi"/>
          <w:szCs w:val="18"/>
        </w:rPr>
        <w:t xml:space="preserve">MC) is the online system developed to manage the application of </w:t>
      </w:r>
      <w:r>
        <w:rPr>
          <w:rFonts w:asciiTheme="minorHAnsi" w:hAnsiTheme="minorHAnsi" w:cstheme="minorHAnsi"/>
          <w:szCs w:val="18"/>
        </w:rPr>
        <w:t xml:space="preserve">Local Jobs First </w:t>
      </w:r>
      <w:r w:rsidRPr="00AC4925">
        <w:rPr>
          <w:rFonts w:asciiTheme="minorHAnsi" w:hAnsiTheme="minorHAnsi" w:cstheme="minorHAnsi"/>
          <w:szCs w:val="18"/>
        </w:rPr>
        <w:t xml:space="preserve">by bidders and Government agencies and can be accessed at </w:t>
      </w:r>
      <w:hyperlink r:id="rId15" w:history="1">
        <w:r w:rsidR="007F6572" w:rsidRPr="002E63A2">
          <w:rPr>
            <w:rStyle w:val="Hyperlink"/>
          </w:rPr>
          <w:t>www.icnforce.com</w:t>
        </w:r>
      </w:hyperlink>
      <w:r w:rsidR="00D96F39" w:rsidRPr="006C6B66">
        <w:t xml:space="preserve">. The VMC is the </w:t>
      </w:r>
      <w:r w:rsidR="00797D25" w:rsidRPr="006C6B66">
        <w:t>portal where bidders submit their Local Industry Development Plan (LIDP).</w:t>
      </w:r>
      <w:r w:rsidR="00797D25">
        <w:rPr>
          <w:rStyle w:val="Hyperlink"/>
          <w:rFonts w:asciiTheme="minorHAnsi" w:hAnsiTheme="minorHAnsi" w:cstheme="minorHAnsi"/>
          <w:szCs w:val="18"/>
        </w:rPr>
        <w:t xml:space="preserve"> </w:t>
      </w:r>
    </w:p>
    <w:p w14:paraId="166B7852" w14:textId="1BCF12E0" w:rsidR="006F16A0" w:rsidRPr="006F16A0" w:rsidRDefault="006F16A0" w:rsidP="006F16A0">
      <w:pPr>
        <w:pStyle w:val="Heading1"/>
        <w:ind w:left="426" w:hanging="578"/>
      </w:pPr>
      <w:bookmarkStart w:id="7" w:name="_Toc40369044"/>
      <w:r>
        <w:t>ICN Gateway</w:t>
      </w:r>
      <w:bookmarkEnd w:id="7"/>
    </w:p>
    <w:p w14:paraId="29D3D2C3" w14:textId="250B79C2" w:rsidR="00AC4925" w:rsidRDefault="00AC4925" w:rsidP="000577B8">
      <w:pPr>
        <w:spacing w:line="276" w:lineRule="auto"/>
        <w:jc w:val="both"/>
        <w:rPr>
          <w:rFonts w:asciiTheme="minorHAnsi" w:hAnsiTheme="minorHAnsi" w:cstheme="minorHAnsi"/>
          <w:szCs w:val="18"/>
        </w:rPr>
      </w:pPr>
      <w:r w:rsidRPr="00AC4925">
        <w:rPr>
          <w:rFonts w:asciiTheme="minorHAnsi" w:hAnsiTheme="minorHAnsi" w:cstheme="minorHAnsi"/>
          <w:szCs w:val="18"/>
        </w:rPr>
        <w:t xml:space="preserve">If your </w:t>
      </w:r>
      <w:r w:rsidR="000A31CB">
        <w:rPr>
          <w:rFonts w:asciiTheme="minorHAnsi" w:hAnsiTheme="minorHAnsi" w:cstheme="minorHAnsi"/>
          <w:szCs w:val="18"/>
        </w:rPr>
        <w:t xml:space="preserve">business </w:t>
      </w:r>
      <w:r w:rsidRPr="00AC4925">
        <w:rPr>
          <w:rFonts w:asciiTheme="minorHAnsi" w:hAnsiTheme="minorHAnsi" w:cstheme="minorHAnsi"/>
          <w:szCs w:val="18"/>
        </w:rPr>
        <w:t xml:space="preserve">has not already registered its capability with the </w:t>
      </w:r>
      <w:r w:rsidR="004A30A4">
        <w:rPr>
          <w:rFonts w:asciiTheme="minorHAnsi" w:hAnsiTheme="minorHAnsi" w:cstheme="minorHAnsi"/>
          <w:szCs w:val="18"/>
        </w:rPr>
        <w:t>Industry Capability Network (</w:t>
      </w:r>
      <w:r w:rsidRPr="00AC4925">
        <w:rPr>
          <w:rFonts w:asciiTheme="minorHAnsi" w:hAnsiTheme="minorHAnsi" w:cstheme="minorHAnsi"/>
          <w:szCs w:val="18"/>
        </w:rPr>
        <w:t>ICN</w:t>
      </w:r>
      <w:r w:rsidR="004A30A4">
        <w:rPr>
          <w:rFonts w:asciiTheme="minorHAnsi" w:hAnsiTheme="minorHAnsi" w:cstheme="minorHAnsi"/>
          <w:szCs w:val="18"/>
        </w:rPr>
        <w:t>)</w:t>
      </w:r>
      <w:r w:rsidRPr="00AC4925">
        <w:rPr>
          <w:rFonts w:asciiTheme="minorHAnsi" w:hAnsiTheme="minorHAnsi" w:cstheme="minorHAnsi"/>
          <w:szCs w:val="18"/>
        </w:rPr>
        <w:t xml:space="preserve"> Gateway, this is your first step. You should ensure that you have indicated your areas of interest and described your capabilities to ensure that you are alerted to relevant project</w:t>
      </w:r>
      <w:r w:rsidR="00774E13">
        <w:rPr>
          <w:rFonts w:asciiTheme="minorHAnsi" w:hAnsiTheme="minorHAnsi" w:cstheme="minorHAnsi"/>
          <w:szCs w:val="18"/>
        </w:rPr>
        <w:t xml:space="preserve"> opportunities</w:t>
      </w:r>
      <w:r w:rsidR="00634067">
        <w:rPr>
          <w:rFonts w:asciiTheme="minorHAnsi" w:hAnsiTheme="minorHAnsi" w:cstheme="minorHAnsi"/>
          <w:szCs w:val="18"/>
        </w:rPr>
        <w:t xml:space="preserve">. </w:t>
      </w:r>
      <w:r w:rsidR="000577B8">
        <w:rPr>
          <w:rFonts w:asciiTheme="minorHAnsi" w:hAnsiTheme="minorHAnsi" w:cstheme="minorHAnsi"/>
          <w:szCs w:val="18"/>
        </w:rPr>
        <w:t xml:space="preserve">ICN Gateway can be accessed at </w:t>
      </w:r>
      <w:r w:rsidR="000577B8" w:rsidRPr="000577B8">
        <w:rPr>
          <w:rFonts w:asciiTheme="minorHAnsi" w:hAnsiTheme="minorHAnsi" w:cstheme="minorHAnsi"/>
          <w:szCs w:val="18"/>
        </w:rPr>
        <w:t>gateway.icn.org.au</w:t>
      </w:r>
      <w:r w:rsidR="00105604">
        <w:rPr>
          <w:rFonts w:asciiTheme="minorHAnsi" w:hAnsiTheme="minorHAnsi" w:cstheme="minorHAnsi"/>
          <w:szCs w:val="18"/>
        </w:rPr>
        <w:t>.</w:t>
      </w:r>
    </w:p>
    <w:p w14:paraId="5B213A43" w14:textId="4C849A9D" w:rsidR="00774E13" w:rsidRDefault="000577B8" w:rsidP="00AC4925">
      <w:pPr>
        <w:spacing w:line="276" w:lineRule="auto"/>
        <w:rPr>
          <w:rFonts w:asciiTheme="minorHAnsi" w:hAnsiTheme="minorHAnsi" w:cstheme="minorHAnsi"/>
          <w:szCs w:val="18"/>
        </w:rPr>
      </w:pPr>
      <w:r w:rsidRPr="00774E13">
        <w:rPr>
          <w:rFonts w:asciiTheme="minorHAnsi" w:hAnsiTheme="minorHAnsi" w:cstheme="minorHAnsi"/>
          <w:noProof/>
          <w:szCs w:val="18"/>
        </w:rPr>
        <mc:AlternateContent>
          <mc:Choice Requires="wps">
            <w:drawing>
              <wp:inline distT="0" distB="0" distL="0" distR="0" wp14:anchorId="7093B911" wp14:editId="4F3100B1">
                <wp:extent cx="5791200" cy="1404620"/>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282E9FDF" w14:textId="48E462C3" w:rsidR="006C6B66" w:rsidRDefault="006C6B66" w:rsidP="000577B8">
                            <w:pPr>
                              <w:jc w:val="center"/>
                            </w:pPr>
                            <w:r>
                              <w:t xml:space="preserve">Register your </w:t>
                            </w:r>
                            <w:r>
                              <w:rPr>
                                <w:rFonts w:asciiTheme="minorHAnsi" w:hAnsiTheme="minorHAnsi" w:cstheme="minorHAnsi"/>
                                <w:szCs w:val="18"/>
                              </w:rPr>
                              <w:t xml:space="preserve">business </w:t>
                            </w:r>
                            <w:r>
                              <w:t xml:space="preserve">capabilities on </w:t>
                            </w:r>
                            <w:r w:rsidR="00EF636F" w:rsidRPr="0011440C">
                              <w:t xml:space="preserve">the </w:t>
                            </w:r>
                            <w:r>
                              <w:t>ICN Gateway to be alerted to project opportunities.</w:t>
                            </w:r>
                          </w:p>
                        </w:txbxContent>
                      </wps:txbx>
                      <wps:bodyPr rot="0" vert="horz" wrap="square" lIns="91440" tIns="45720" rIns="91440" bIns="45720" anchor="t" anchorCtr="0">
                        <a:spAutoFit/>
                      </wps:bodyPr>
                    </wps:wsp>
                  </a:graphicData>
                </a:graphic>
              </wp:inline>
            </w:drawing>
          </mc:Choice>
          <mc:Fallback>
            <w:pict>
              <v:shapetype w14:anchorId="7093B911" id="_x0000_t202" coordsize="21600,21600" o:spt="202" path="m,l,21600r21600,l21600,xe">
                <v:stroke joinstyle="miter"/>
                <v:path gradientshapeok="t" o:connecttype="rect"/>
              </v:shapetype>
              <v:shape id="Text Box 2" o:spid="_x0000_s1026" type="#_x0000_t202" style="width:4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1EoFbdsAAAAFAQAADwAAAGRycy9kb3ducmV2LnhtbEyP&#10;wU7DMBBE70j8g7VI3KiTSCAIcSpE1TOlVELcHHsbR43XIXbTlK9n4QKXkUazmnlbLWffiwnH2AVS&#10;kC8yEEgm2I5aBbu39c09iJg0Wd0HQgVnjLCsLy8qXdpwolectqkVXEKx1ApcSkMpZTQOvY6LMCBx&#10;tg+j14nt2Eo76hOX+14WWXYnve6IF5we8NmhOWyPXkFcbT4Hs980B2fPXy+r6da8rz+Uur6anx5B&#10;JJzT3zH84DM61MzUhCPZKHoF/Ej6Vc4e8oJto6Ao8gJkXcn/9PU3AAAA//8DAFBLAQItABQABgAI&#10;AAAAIQC2gziS/gAAAOEBAAATAAAAAAAAAAAAAAAAAAAAAABbQ29udGVudF9UeXBlc10ueG1sUEsB&#10;Ai0AFAAGAAgAAAAhADj9If/WAAAAlAEAAAsAAAAAAAAAAAAAAAAALwEAAF9yZWxzLy5yZWxzUEsB&#10;Ai0AFAAGAAgAAAAhADjdESAkAgAARwQAAA4AAAAAAAAAAAAAAAAALgIAAGRycy9lMm9Eb2MueG1s&#10;UEsBAi0AFAAGAAgAAAAhANRKBW3bAAAABQEAAA8AAAAAAAAAAAAAAAAAfgQAAGRycy9kb3ducmV2&#10;LnhtbFBLBQYAAAAABAAEAPMAAACGBQAAAAA=&#10;">
                <v:textbox style="mso-fit-shape-to-text:t">
                  <w:txbxContent>
                    <w:p w14:paraId="282E9FDF" w14:textId="48E462C3" w:rsidR="006C6B66" w:rsidRDefault="006C6B66" w:rsidP="000577B8">
                      <w:pPr>
                        <w:jc w:val="center"/>
                      </w:pPr>
                      <w:r>
                        <w:t xml:space="preserve">Register your </w:t>
                      </w:r>
                      <w:r>
                        <w:rPr>
                          <w:rFonts w:asciiTheme="minorHAnsi" w:hAnsiTheme="minorHAnsi" w:cstheme="minorHAnsi"/>
                          <w:szCs w:val="18"/>
                        </w:rPr>
                        <w:t xml:space="preserve">business </w:t>
                      </w:r>
                      <w:r>
                        <w:t xml:space="preserve">capabilities on </w:t>
                      </w:r>
                      <w:r w:rsidR="00EF636F" w:rsidRPr="0011440C">
                        <w:t xml:space="preserve">the </w:t>
                      </w:r>
                      <w:r>
                        <w:t>ICN Gateway to be alerted to project opportunities.</w:t>
                      </w:r>
                    </w:p>
                  </w:txbxContent>
                </v:textbox>
                <w10:anchorlock/>
              </v:shape>
            </w:pict>
          </mc:Fallback>
        </mc:AlternateContent>
      </w:r>
    </w:p>
    <w:p w14:paraId="162C5F04" w14:textId="75800109" w:rsidR="00581272" w:rsidRDefault="00581272" w:rsidP="00AC4925">
      <w:pPr>
        <w:spacing w:line="276" w:lineRule="auto"/>
        <w:rPr>
          <w:rFonts w:asciiTheme="minorHAnsi" w:hAnsiTheme="minorHAnsi" w:cstheme="minorHAnsi"/>
          <w:szCs w:val="18"/>
        </w:rPr>
      </w:pPr>
    </w:p>
    <w:p w14:paraId="4AB49AD3" w14:textId="77777777" w:rsidR="00581272" w:rsidRPr="00A00B17" w:rsidRDefault="00581272" w:rsidP="00AC4925">
      <w:pPr>
        <w:spacing w:line="276" w:lineRule="auto"/>
        <w:rPr>
          <w:rFonts w:asciiTheme="minorHAnsi" w:hAnsiTheme="minorHAnsi" w:cstheme="minorHAnsi"/>
          <w:szCs w:val="18"/>
        </w:rPr>
      </w:pPr>
    </w:p>
    <w:p w14:paraId="2CF48E22" w14:textId="37BFF0E9" w:rsidR="0091151B" w:rsidRDefault="0091151B" w:rsidP="00D40534">
      <w:pPr>
        <w:pStyle w:val="Heading1"/>
        <w:ind w:left="426" w:hanging="578"/>
      </w:pPr>
      <w:bookmarkStart w:id="8" w:name="_Toc522892279"/>
      <w:bookmarkStart w:id="9" w:name="_Toc522892285"/>
      <w:bookmarkStart w:id="10" w:name="_Toc522892297"/>
      <w:bookmarkStart w:id="11" w:name="_Toc522892301"/>
      <w:bookmarkStart w:id="12" w:name="_Toc522892302"/>
      <w:bookmarkStart w:id="13" w:name="_Toc522892303"/>
      <w:bookmarkStart w:id="14" w:name="_Toc522892304"/>
      <w:bookmarkStart w:id="15" w:name="_Toc522892307"/>
      <w:bookmarkStart w:id="16" w:name="_Toc522892311"/>
      <w:bookmarkStart w:id="17" w:name="_Toc522892314"/>
      <w:bookmarkStart w:id="18" w:name="_Toc522892315"/>
      <w:bookmarkStart w:id="19" w:name="_Toc522892320"/>
      <w:bookmarkStart w:id="20" w:name="_Toc522892321"/>
      <w:bookmarkStart w:id="21" w:name="_Toc522892323"/>
      <w:bookmarkStart w:id="22" w:name="_Toc522892324"/>
      <w:bookmarkStart w:id="23" w:name="_Toc522892328"/>
      <w:bookmarkStart w:id="24" w:name="_Toc522892335"/>
      <w:bookmarkStart w:id="25" w:name="_Toc522892336"/>
      <w:bookmarkStart w:id="26" w:name="_Toc4036904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lastRenderedPageBreak/>
        <w:t xml:space="preserve">Starting </w:t>
      </w:r>
      <w:r w:rsidR="00351206">
        <w:t>a</w:t>
      </w:r>
      <w:r>
        <w:t xml:space="preserve"> Project</w:t>
      </w:r>
      <w:bookmarkEnd w:id="26"/>
      <w:r>
        <w:t xml:space="preserve"> </w:t>
      </w:r>
    </w:p>
    <w:p w14:paraId="63614A5B" w14:textId="6C30DD2A" w:rsidR="004371F6" w:rsidRDefault="008213C9" w:rsidP="001E04C5">
      <w:pPr>
        <w:pStyle w:val="ListParagraph"/>
        <w:numPr>
          <w:ilvl w:val="0"/>
          <w:numId w:val="6"/>
        </w:numPr>
        <w:jc w:val="both"/>
        <w:rPr>
          <w:rFonts w:asciiTheme="minorHAnsi" w:hAnsiTheme="minorHAnsi" w:cstheme="minorHAnsi"/>
          <w:sz w:val="18"/>
          <w:szCs w:val="18"/>
          <w:lang w:eastAsia="en-US"/>
        </w:rPr>
      </w:pPr>
      <w:r w:rsidRPr="008213C9">
        <w:rPr>
          <w:rFonts w:asciiTheme="minorHAnsi" w:hAnsiTheme="minorHAnsi" w:cstheme="minorHAnsi"/>
          <w:sz w:val="18"/>
          <w:szCs w:val="18"/>
          <w:lang w:eastAsia="en-US"/>
        </w:rPr>
        <w:t xml:space="preserve">The following steps apply to all Local Jobs First Standard and Strategic </w:t>
      </w:r>
      <w:r w:rsidR="00581272">
        <w:rPr>
          <w:rFonts w:asciiTheme="minorHAnsi" w:hAnsiTheme="minorHAnsi" w:cstheme="minorHAnsi"/>
          <w:sz w:val="18"/>
          <w:szCs w:val="18"/>
          <w:lang w:eastAsia="en-US"/>
        </w:rPr>
        <w:t>P</w:t>
      </w:r>
      <w:r w:rsidRPr="008213C9">
        <w:rPr>
          <w:rFonts w:asciiTheme="minorHAnsi" w:hAnsiTheme="minorHAnsi" w:cstheme="minorHAnsi"/>
          <w:sz w:val="18"/>
          <w:szCs w:val="18"/>
          <w:lang w:eastAsia="en-US"/>
        </w:rPr>
        <w:t xml:space="preserve">rojects as outlined in the Local Jobs First </w:t>
      </w:r>
      <w:r w:rsidR="004A30A4">
        <w:rPr>
          <w:rFonts w:asciiTheme="minorHAnsi" w:hAnsiTheme="minorHAnsi" w:cstheme="minorHAnsi"/>
          <w:sz w:val="18"/>
          <w:szCs w:val="18"/>
          <w:lang w:eastAsia="en-US"/>
        </w:rPr>
        <w:t xml:space="preserve">(LJF) </w:t>
      </w:r>
      <w:r w:rsidRPr="008213C9">
        <w:rPr>
          <w:rFonts w:asciiTheme="minorHAnsi" w:hAnsiTheme="minorHAnsi" w:cstheme="minorHAnsi"/>
          <w:sz w:val="18"/>
          <w:szCs w:val="18"/>
          <w:lang w:eastAsia="en-US"/>
        </w:rPr>
        <w:t>Policy, except for panel</w:t>
      </w:r>
      <w:r w:rsidR="00F94C4C">
        <w:rPr>
          <w:rFonts w:asciiTheme="minorHAnsi" w:hAnsiTheme="minorHAnsi" w:cstheme="minorHAnsi"/>
          <w:sz w:val="18"/>
          <w:szCs w:val="18"/>
          <w:lang w:eastAsia="en-US"/>
        </w:rPr>
        <w:t>s, market led proposals</w:t>
      </w:r>
      <w:r w:rsidRPr="008213C9">
        <w:rPr>
          <w:rFonts w:asciiTheme="minorHAnsi" w:hAnsiTheme="minorHAnsi" w:cstheme="minorHAnsi"/>
          <w:sz w:val="18"/>
          <w:szCs w:val="18"/>
          <w:lang w:eastAsia="en-US"/>
        </w:rPr>
        <w:t xml:space="preserve"> and gran</w:t>
      </w:r>
      <w:r w:rsidR="000A31CB">
        <w:rPr>
          <w:rFonts w:asciiTheme="minorHAnsi" w:hAnsiTheme="minorHAnsi" w:cstheme="minorHAnsi"/>
          <w:sz w:val="18"/>
          <w:szCs w:val="18"/>
          <w:lang w:eastAsia="en-US"/>
        </w:rPr>
        <w:t>t</w:t>
      </w:r>
      <w:r w:rsidRPr="008213C9">
        <w:rPr>
          <w:rFonts w:asciiTheme="minorHAnsi" w:hAnsiTheme="minorHAnsi" w:cstheme="minorHAnsi"/>
          <w:sz w:val="18"/>
          <w:szCs w:val="18"/>
          <w:lang w:eastAsia="en-US"/>
        </w:rPr>
        <w:t xml:space="preserve"> contracts.</w:t>
      </w:r>
      <w:r>
        <w:rPr>
          <w:rFonts w:asciiTheme="minorHAnsi" w:hAnsiTheme="minorHAnsi" w:cstheme="minorHAnsi"/>
          <w:sz w:val="18"/>
          <w:szCs w:val="18"/>
          <w:lang w:eastAsia="en-US"/>
        </w:rPr>
        <w:t xml:space="preserve"> These are outlined in a separate section. </w:t>
      </w:r>
    </w:p>
    <w:p w14:paraId="178A8B39" w14:textId="77777777" w:rsidR="00913BD5" w:rsidRDefault="00913BD5" w:rsidP="001E04C5">
      <w:pPr>
        <w:pStyle w:val="ListParagraph"/>
        <w:ind w:left="360"/>
        <w:jc w:val="both"/>
        <w:rPr>
          <w:rFonts w:asciiTheme="minorHAnsi" w:hAnsiTheme="minorHAnsi" w:cstheme="minorHAnsi"/>
          <w:sz w:val="18"/>
          <w:szCs w:val="18"/>
          <w:lang w:eastAsia="en-US"/>
        </w:rPr>
      </w:pPr>
    </w:p>
    <w:p w14:paraId="5766E375" w14:textId="692E826E" w:rsidR="00913BD5" w:rsidRDefault="00913BD5" w:rsidP="000A31CB">
      <w:pPr>
        <w:pStyle w:val="ListParagraph"/>
        <w:numPr>
          <w:ilvl w:val="0"/>
          <w:numId w:val="6"/>
        </w:numPr>
        <w:jc w:val="both"/>
        <w:rPr>
          <w:rFonts w:asciiTheme="minorHAnsi" w:hAnsiTheme="minorHAnsi" w:cstheme="minorHAnsi"/>
          <w:sz w:val="18"/>
          <w:szCs w:val="18"/>
          <w:lang w:eastAsia="en-US"/>
        </w:rPr>
      </w:pPr>
      <w:r>
        <w:rPr>
          <w:rFonts w:asciiTheme="minorHAnsi" w:hAnsiTheme="minorHAnsi" w:cstheme="minorHAnsi"/>
          <w:sz w:val="18"/>
          <w:szCs w:val="18"/>
          <w:lang w:eastAsia="en-US"/>
        </w:rPr>
        <w:t xml:space="preserve">You will be notified by the </w:t>
      </w:r>
      <w:r w:rsidR="00204263">
        <w:rPr>
          <w:rFonts w:asciiTheme="minorHAnsi" w:hAnsiTheme="minorHAnsi" w:cstheme="minorHAnsi"/>
          <w:sz w:val="18"/>
          <w:szCs w:val="18"/>
          <w:lang w:eastAsia="en-US"/>
        </w:rPr>
        <w:t>delivery</w:t>
      </w:r>
      <w:r w:rsidR="00222CCC">
        <w:rPr>
          <w:rFonts w:asciiTheme="minorHAnsi" w:hAnsiTheme="minorHAnsi" w:cstheme="minorHAnsi"/>
          <w:sz w:val="18"/>
          <w:szCs w:val="18"/>
          <w:lang w:eastAsia="en-US"/>
        </w:rPr>
        <w:t xml:space="preserve"> agency</w:t>
      </w:r>
      <w:r>
        <w:rPr>
          <w:rFonts w:asciiTheme="minorHAnsi" w:hAnsiTheme="minorHAnsi" w:cstheme="minorHAnsi"/>
          <w:sz w:val="18"/>
          <w:szCs w:val="18"/>
          <w:lang w:eastAsia="en-US"/>
        </w:rPr>
        <w:t xml:space="preserve"> as to</w:t>
      </w:r>
      <w:r w:rsidR="004A30A4">
        <w:rPr>
          <w:rFonts w:asciiTheme="minorHAnsi" w:hAnsiTheme="minorHAnsi" w:cstheme="minorHAnsi"/>
          <w:sz w:val="18"/>
          <w:szCs w:val="18"/>
          <w:lang w:eastAsia="en-US"/>
        </w:rPr>
        <w:t xml:space="preserve"> the</w:t>
      </w:r>
      <w:r>
        <w:rPr>
          <w:rFonts w:asciiTheme="minorHAnsi" w:hAnsiTheme="minorHAnsi" w:cstheme="minorHAnsi"/>
          <w:sz w:val="18"/>
          <w:szCs w:val="18"/>
          <w:lang w:eastAsia="en-US"/>
        </w:rPr>
        <w:t xml:space="preserve"> type of </w:t>
      </w:r>
      <w:r w:rsidR="00581272">
        <w:rPr>
          <w:rFonts w:asciiTheme="minorHAnsi" w:hAnsiTheme="minorHAnsi" w:cstheme="minorHAnsi"/>
          <w:sz w:val="18"/>
          <w:szCs w:val="18"/>
          <w:lang w:eastAsia="en-US"/>
        </w:rPr>
        <w:t>LJF</w:t>
      </w:r>
      <w:r>
        <w:rPr>
          <w:rFonts w:asciiTheme="minorHAnsi" w:hAnsiTheme="minorHAnsi" w:cstheme="minorHAnsi"/>
          <w:sz w:val="18"/>
          <w:szCs w:val="18"/>
          <w:lang w:eastAsia="en-US"/>
        </w:rPr>
        <w:t xml:space="preserve"> project you are interested in bidding </w:t>
      </w:r>
      <w:r w:rsidR="004A30A4">
        <w:rPr>
          <w:rFonts w:asciiTheme="minorHAnsi" w:hAnsiTheme="minorHAnsi" w:cstheme="minorHAnsi"/>
          <w:sz w:val="18"/>
          <w:szCs w:val="18"/>
          <w:lang w:eastAsia="en-US"/>
        </w:rPr>
        <w:t>for</w:t>
      </w:r>
      <w:r w:rsidR="00FE78E2">
        <w:rPr>
          <w:rFonts w:asciiTheme="minorHAnsi" w:hAnsiTheme="minorHAnsi" w:cstheme="minorHAnsi"/>
          <w:color w:val="FF0000"/>
          <w:sz w:val="18"/>
          <w:szCs w:val="18"/>
          <w:lang w:eastAsia="en-US"/>
        </w:rPr>
        <w:t xml:space="preserve"> </w:t>
      </w:r>
      <w:r w:rsidR="00FE78E2" w:rsidRPr="0027105F">
        <w:rPr>
          <w:rFonts w:asciiTheme="minorHAnsi" w:hAnsiTheme="minorHAnsi" w:cstheme="minorHAnsi"/>
          <w:sz w:val="18"/>
          <w:szCs w:val="18"/>
          <w:lang w:eastAsia="en-US"/>
        </w:rPr>
        <w:t xml:space="preserve">and </w:t>
      </w:r>
      <w:r w:rsidR="00084A17">
        <w:rPr>
          <w:rFonts w:asciiTheme="minorHAnsi" w:hAnsiTheme="minorHAnsi" w:cstheme="minorHAnsi"/>
          <w:sz w:val="18"/>
          <w:szCs w:val="18"/>
          <w:lang w:eastAsia="en-US"/>
        </w:rPr>
        <w:t xml:space="preserve">of the specific </w:t>
      </w:r>
      <w:r w:rsidR="00F30CCA">
        <w:rPr>
          <w:rFonts w:asciiTheme="minorHAnsi" w:hAnsiTheme="minorHAnsi" w:cstheme="minorHAnsi"/>
          <w:sz w:val="18"/>
          <w:szCs w:val="18"/>
          <w:lang w:eastAsia="en-US"/>
        </w:rPr>
        <w:t>Local Jobs First requirements</w:t>
      </w:r>
      <w:r w:rsidR="00577361">
        <w:rPr>
          <w:rFonts w:asciiTheme="minorHAnsi" w:hAnsiTheme="minorHAnsi" w:cstheme="minorHAnsi"/>
          <w:sz w:val="18"/>
          <w:szCs w:val="18"/>
          <w:lang w:eastAsia="en-US"/>
        </w:rPr>
        <w:t>.</w:t>
      </w:r>
    </w:p>
    <w:p w14:paraId="06F9BA9B" w14:textId="77777777" w:rsidR="00321DC3" w:rsidRPr="00321DC3" w:rsidRDefault="00321DC3" w:rsidP="001E04C5">
      <w:pPr>
        <w:pStyle w:val="ListParagraph"/>
        <w:jc w:val="both"/>
        <w:rPr>
          <w:rFonts w:asciiTheme="minorHAnsi" w:hAnsiTheme="minorHAnsi" w:cstheme="minorHAnsi"/>
          <w:sz w:val="18"/>
          <w:szCs w:val="18"/>
          <w:lang w:eastAsia="en-US"/>
        </w:rPr>
      </w:pPr>
    </w:p>
    <w:p w14:paraId="7EE95980" w14:textId="13DC28DC" w:rsidR="006F16A0" w:rsidRDefault="004A30A4" w:rsidP="00213764">
      <w:pPr>
        <w:pStyle w:val="ListParagraph"/>
        <w:numPr>
          <w:ilvl w:val="0"/>
          <w:numId w:val="6"/>
        </w:numPr>
        <w:jc w:val="both"/>
        <w:rPr>
          <w:rFonts w:asciiTheme="minorHAnsi" w:hAnsiTheme="minorHAnsi" w:cstheme="minorHAnsi"/>
          <w:sz w:val="18"/>
          <w:szCs w:val="18"/>
          <w:lang w:eastAsia="en-US"/>
        </w:rPr>
      </w:pPr>
      <w:r>
        <w:rPr>
          <w:rFonts w:asciiTheme="minorHAnsi" w:hAnsiTheme="minorHAnsi" w:cstheme="minorHAnsi"/>
          <w:sz w:val="18"/>
          <w:szCs w:val="18"/>
          <w:lang w:eastAsia="en-US"/>
        </w:rPr>
        <w:t xml:space="preserve">Strategic Projects </w:t>
      </w:r>
      <w:r w:rsidR="00CA1F08">
        <w:rPr>
          <w:rFonts w:asciiTheme="minorHAnsi" w:hAnsiTheme="minorHAnsi" w:cstheme="minorHAnsi"/>
          <w:sz w:val="18"/>
          <w:szCs w:val="18"/>
          <w:lang w:eastAsia="en-US"/>
        </w:rPr>
        <w:t>are differen</w:t>
      </w:r>
      <w:r w:rsidR="00072676">
        <w:rPr>
          <w:rFonts w:asciiTheme="minorHAnsi" w:hAnsiTheme="minorHAnsi" w:cstheme="minorHAnsi"/>
          <w:sz w:val="18"/>
          <w:szCs w:val="18"/>
          <w:lang w:eastAsia="en-US"/>
        </w:rPr>
        <w:t>t</w:t>
      </w:r>
      <w:r w:rsidR="00CA1F08">
        <w:rPr>
          <w:rFonts w:asciiTheme="minorHAnsi" w:hAnsiTheme="minorHAnsi" w:cstheme="minorHAnsi"/>
          <w:sz w:val="18"/>
          <w:szCs w:val="18"/>
          <w:lang w:eastAsia="en-US"/>
        </w:rPr>
        <w:t xml:space="preserve"> to</w:t>
      </w:r>
      <w:r w:rsidR="00072676">
        <w:rPr>
          <w:rFonts w:asciiTheme="minorHAnsi" w:hAnsiTheme="minorHAnsi" w:cstheme="minorHAnsi"/>
          <w:sz w:val="18"/>
          <w:szCs w:val="18"/>
          <w:lang w:eastAsia="en-US"/>
        </w:rPr>
        <w:t xml:space="preserve"> </w:t>
      </w:r>
      <w:r w:rsidR="00CA1F08">
        <w:rPr>
          <w:rFonts w:asciiTheme="minorHAnsi" w:hAnsiTheme="minorHAnsi" w:cstheme="minorHAnsi"/>
          <w:sz w:val="18"/>
          <w:szCs w:val="18"/>
          <w:lang w:eastAsia="en-US"/>
        </w:rPr>
        <w:t xml:space="preserve">Standard Projects </w:t>
      </w:r>
      <w:r w:rsidR="00072676">
        <w:rPr>
          <w:rFonts w:asciiTheme="minorHAnsi" w:hAnsiTheme="minorHAnsi" w:cstheme="minorHAnsi"/>
          <w:sz w:val="18"/>
          <w:szCs w:val="18"/>
          <w:lang w:eastAsia="en-US"/>
        </w:rPr>
        <w:t xml:space="preserve">because they have a mandated </w:t>
      </w:r>
      <w:r w:rsidR="007E747A">
        <w:rPr>
          <w:rFonts w:asciiTheme="minorHAnsi" w:hAnsiTheme="minorHAnsi" w:cstheme="minorHAnsi"/>
          <w:sz w:val="18"/>
          <w:szCs w:val="18"/>
          <w:lang w:eastAsia="en-US"/>
        </w:rPr>
        <w:t>minimum</w:t>
      </w:r>
      <w:r w:rsidR="00072676">
        <w:rPr>
          <w:rFonts w:asciiTheme="minorHAnsi" w:hAnsiTheme="minorHAnsi" w:cstheme="minorHAnsi"/>
          <w:sz w:val="18"/>
          <w:szCs w:val="18"/>
          <w:lang w:eastAsia="en-US"/>
        </w:rPr>
        <w:t xml:space="preserve"> local content requirement that the </w:t>
      </w:r>
      <w:r w:rsidR="00204263">
        <w:rPr>
          <w:rFonts w:asciiTheme="minorHAnsi" w:hAnsiTheme="minorHAnsi" w:cstheme="minorHAnsi"/>
          <w:sz w:val="18"/>
          <w:szCs w:val="18"/>
          <w:lang w:eastAsia="en-US"/>
        </w:rPr>
        <w:t>delivery</w:t>
      </w:r>
      <w:r w:rsidR="00222CCC">
        <w:rPr>
          <w:rFonts w:asciiTheme="minorHAnsi" w:hAnsiTheme="minorHAnsi" w:cstheme="minorHAnsi"/>
          <w:sz w:val="18"/>
          <w:szCs w:val="18"/>
          <w:lang w:eastAsia="en-US"/>
        </w:rPr>
        <w:t xml:space="preserve"> agency</w:t>
      </w:r>
      <w:r w:rsidR="00072676">
        <w:rPr>
          <w:rFonts w:asciiTheme="minorHAnsi" w:hAnsiTheme="minorHAnsi" w:cstheme="minorHAnsi"/>
          <w:sz w:val="18"/>
          <w:szCs w:val="18"/>
          <w:lang w:eastAsia="en-US"/>
        </w:rPr>
        <w:t xml:space="preserve"> must meet</w:t>
      </w:r>
      <w:r w:rsidR="00084F7B">
        <w:rPr>
          <w:rFonts w:asciiTheme="minorHAnsi" w:hAnsiTheme="minorHAnsi" w:cstheme="minorHAnsi"/>
          <w:sz w:val="18"/>
          <w:szCs w:val="18"/>
          <w:lang w:eastAsia="en-US"/>
        </w:rPr>
        <w:t xml:space="preserve"> </w:t>
      </w:r>
      <w:r w:rsidR="00072676">
        <w:rPr>
          <w:rFonts w:asciiTheme="minorHAnsi" w:hAnsiTheme="minorHAnsi" w:cstheme="minorHAnsi"/>
          <w:sz w:val="18"/>
          <w:szCs w:val="18"/>
          <w:lang w:eastAsia="en-US"/>
        </w:rPr>
        <w:t xml:space="preserve">and may include other conditions as determined by the Minister for Jobs, </w:t>
      </w:r>
      <w:r w:rsidR="00BA1E78">
        <w:rPr>
          <w:rFonts w:asciiTheme="minorHAnsi" w:hAnsiTheme="minorHAnsi" w:cstheme="minorHAnsi"/>
          <w:sz w:val="18"/>
          <w:szCs w:val="18"/>
          <w:lang w:eastAsia="en-US"/>
        </w:rPr>
        <w:t>I</w:t>
      </w:r>
      <w:r w:rsidR="00072676">
        <w:rPr>
          <w:rFonts w:asciiTheme="minorHAnsi" w:hAnsiTheme="minorHAnsi" w:cstheme="minorHAnsi"/>
          <w:sz w:val="18"/>
          <w:szCs w:val="18"/>
          <w:lang w:eastAsia="en-US"/>
        </w:rPr>
        <w:t xml:space="preserve">nnovation and Trade. </w:t>
      </w:r>
      <w:r w:rsidR="00267FB6" w:rsidRPr="00213764">
        <w:rPr>
          <w:rFonts w:asciiTheme="minorHAnsi" w:hAnsiTheme="minorHAnsi" w:cstheme="minorHAnsi"/>
          <w:sz w:val="18"/>
          <w:szCs w:val="18"/>
          <w:lang w:eastAsia="en-US"/>
        </w:rPr>
        <w:t xml:space="preserve">Under the </w:t>
      </w:r>
      <w:r w:rsidR="00267FB6" w:rsidRPr="006F16A0">
        <w:rPr>
          <w:rFonts w:asciiTheme="minorHAnsi" w:hAnsiTheme="minorHAnsi" w:cstheme="minorHAnsi"/>
          <w:i/>
          <w:sz w:val="18"/>
          <w:szCs w:val="18"/>
          <w:lang w:eastAsia="en-US"/>
        </w:rPr>
        <w:t>Local Jobs First Act 2003</w:t>
      </w:r>
      <w:r w:rsidR="00267FB6" w:rsidRPr="00213764">
        <w:rPr>
          <w:rFonts w:asciiTheme="minorHAnsi" w:hAnsiTheme="minorHAnsi" w:cstheme="minorHAnsi"/>
          <w:sz w:val="18"/>
          <w:szCs w:val="18"/>
          <w:lang w:eastAsia="en-US"/>
        </w:rPr>
        <w:t xml:space="preserve"> the </w:t>
      </w:r>
      <w:r w:rsidR="00924AD0" w:rsidRPr="00213764">
        <w:rPr>
          <w:rFonts w:asciiTheme="minorHAnsi" w:hAnsiTheme="minorHAnsi" w:cstheme="minorHAnsi"/>
          <w:sz w:val="18"/>
          <w:szCs w:val="18"/>
          <w:lang w:eastAsia="en-US"/>
        </w:rPr>
        <w:t>Minister for Jobs, Innovation and Trade</w:t>
      </w:r>
      <w:r w:rsidR="00267FB6" w:rsidRPr="00213764">
        <w:rPr>
          <w:rFonts w:asciiTheme="minorHAnsi" w:hAnsiTheme="minorHAnsi" w:cstheme="minorHAnsi"/>
          <w:sz w:val="18"/>
          <w:szCs w:val="18"/>
          <w:lang w:eastAsia="en-US"/>
        </w:rPr>
        <w:t xml:space="preserve"> is responsible for setting local content requirements for a Strategic Project. The </w:t>
      </w:r>
      <w:r w:rsidR="00924AD0" w:rsidRPr="00213764">
        <w:rPr>
          <w:rFonts w:asciiTheme="minorHAnsi" w:hAnsiTheme="minorHAnsi" w:cstheme="minorHAnsi"/>
          <w:sz w:val="18"/>
          <w:szCs w:val="18"/>
          <w:lang w:eastAsia="en-US"/>
        </w:rPr>
        <w:t>Department of Jobs, Precincts and Regions</w:t>
      </w:r>
      <w:r w:rsidRPr="00213764">
        <w:rPr>
          <w:rFonts w:asciiTheme="minorHAnsi" w:hAnsiTheme="minorHAnsi" w:cstheme="minorHAnsi"/>
          <w:sz w:val="18"/>
          <w:szCs w:val="18"/>
          <w:lang w:eastAsia="en-US"/>
        </w:rPr>
        <w:t xml:space="preserve"> (</w:t>
      </w:r>
      <w:r w:rsidR="00924AD0" w:rsidRPr="00213764">
        <w:rPr>
          <w:rFonts w:asciiTheme="minorHAnsi" w:hAnsiTheme="minorHAnsi" w:cstheme="minorHAnsi"/>
          <w:sz w:val="18"/>
          <w:szCs w:val="18"/>
          <w:lang w:eastAsia="en-US"/>
        </w:rPr>
        <w:t>DJPR</w:t>
      </w:r>
      <w:r w:rsidRPr="00213764">
        <w:rPr>
          <w:rFonts w:asciiTheme="minorHAnsi" w:hAnsiTheme="minorHAnsi" w:cstheme="minorHAnsi"/>
          <w:sz w:val="18"/>
          <w:szCs w:val="18"/>
          <w:lang w:eastAsia="en-US"/>
        </w:rPr>
        <w:t xml:space="preserve">) </w:t>
      </w:r>
      <w:r w:rsidR="00267FB6" w:rsidRPr="00213764">
        <w:rPr>
          <w:rFonts w:asciiTheme="minorHAnsi" w:hAnsiTheme="minorHAnsi" w:cstheme="minorHAnsi"/>
          <w:sz w:val="18"/>
          <w:szCs w:val="18"/>
          <w:lang w:eastAsia="en-US"/>
        </w:rPr>
        <w:t xml:space="preserve">advises the Minister of the local content requirements, which may be informed by a </w:t>
      </w:r>
      <w:r w:rsidR="006F16A0">
        <w:rPr>
          <w:rFonts w:asciiTheme="minorHAnsi" w:hAnsiTheme="minorHAnsi" w:cstheme="minorHAnsi"/>
          <w:sz w:val="18"/>
          <w:szCs w:val="18"/>
          <w:lang w:eastAsia="en-US"/>
        </w:rPr>
        <w:t>contestability</w:t>
      </w:r>
      <w:r w:rsidR="00CB381D">
        <w:rPr>
          <w:rFonts w:asciiTheme="minorHAnsi" w:hAnsiTheme="minorHAnsi" w:cstheme="minorHAnsi"/>
          <w:sz w:val="18"/>
          <w:szCs w:val="18"/>
          <w:lang w:eastAsia="en-US"/>
        </w:rPr>
        <w:t xml:space="preserve"> </w:t>
      </w:r>
      <w:r w:rsidR="00267FB6" w:rsidRPr="00213764">
        <w:rPr>
          <w:rFonts w:asciiTheme="minorHAnsi" w:hAnsiTheme="minorHAnsi" w:cstheme="minorHAnsi"/>
          <w:sz w:val="18"/>
          <w:szCs w:val="18"/>
          <w:lang w:eastAsia="en-US"/>
        </w:rPr>
        <w:t>assessment undertaken by the ICN.</w:t>
      </w:r>
      <w:r w:rsidR="00241EF6" w:rsidRPr="00213764">
        <w:rPr>
          <w:rFonts w:asciiTheme="minorHAnsi" w:hAnsiTheme="minorHAnsi" w:cstheme="minorHAnsi"/>
          <w:sz w:val="18"/>
          <w:szCs w:val="18"/>
          <w:lang w:eastAsia="en-US"/>
        </w:rPr>
        <w:t xml:space="preserve"> </w:t>
      </w:r>
    </w:p>
    <w:p w14:paraId="591B80B4" w14:textId="77777777" w:rsidR="006F16A0" w:rsidRPr="006F16A0" w:rsidRDefault="006F16A0" w:rsidP="006F16A0">
      <w:pPr>
        <w:pStyle w:val="ListParagraph"/>
        <w:rPr>
          <w:rFonts w:asciiTheme="minorHAnsi" w:hAnsiTheme="minorHAnsi" w:cstheme="minorHAnsi"/>
          <w:sz w:val="18"/>
          <w:szCs w:val="18"/>
          <w:lang w:eastAsia="en-US"/>
        </w:rPr>
      </w:pPr>
    </w:p>
    <w:p w14:paraId="27006B05" w14:textId="1D863C60" w:rsidR="006F16A0" w:rsidRPr="006F16A0" w:rsidRDefault="006F16A0" w:rsidP="006F16A0">
      <w:pPr>
        <w:pStyle w:val="ListParagraph"/>
        <w:numPr>
          <w:ilvl w:val="0"/>
          <w:numId w:val="6"/>
        </w:numPr>
        <w:jc w:val="both"/>
        <w:rPr>
          <w:rFonts w:asciiTheme="minorHAnsi" w:hAnsiTheme="minorHAnsi" w:cstheme="minorHAnsi"/>
          <w:sz w:val="18"/>
          <w:szCs w:val="18"/>
          <w:lang w:eastAsia="en-US"/>
        </w:rPr>
      </w:pPr>
      <w:r w:rsidRPr="006F16A0">
        <w:rPr>
          <w:rFonts w:asciiTheme="minorHAnsi" w:hAnsiTheme="minorHAnsi" w:cstheme="minorHAnsi"/>
          <w:noProof/>
          <w:sz w:val="18"/>
          <w:szCs w:val="18"/>
          <w:lang w:eastAsia="en-US"/>
        </w:rPr>
        <mc:AlternateContent>
          <mc:Choice Requires="wps">
            <w:drawing>
              <wp:anchor distT="45720" distB="45720" distL="114300" distR="114300" simplePos="0" relativeHeight="251654656" behindDoc="0" locked="0" layoutInCell="1" allowOverlap="1" wp14:anchorId="7F4B4661" wp14:editId="0CAE9E71">
                <wp:simplePos x="0" y="0"/>
                <wp:positionH relativeFrom="column">
                  <wp:posOffset>43180</wp:posOffset>
                </wp:positionH>
                <wp:positionV relativeFrom="paragraph">
                  <wp:posOffset>673735</wp:posOffset>
                </wp:positionV>
                <wp:extent cx="5800090" cy="1404620"/>
                <wp:effectExtent l="0" t="0" r="1016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4620"/>
                        </a:xfrm>
                        <a:prstGeom prst="rect">
                          <a:avLst/>
                        </a:prstGeom>
                        <a:solidFill>
                          <a:srgbClr val="FFFFFF"/>
                        </a:solidFill>
                        <a:ln w="6350">
                          <a:solidFill>
                            <a:srgbClr val="000000"/>
                          </a:solidFill>
                          <a:miter lim="800000"/>
                          <a:headEnd/>
                          <a:tailEnd/>
                        </a:ln>
                      </wps:spPr>
                      <wps:txbx>
                        <w:txbxContent>
                          <w:p w14:paraId="00A0243B" w14:textId="51CAA956" w:rsidR="006C6B66" w:rsidRPr="00BA1E78" w:rsidRDefault="006C6B66">
                            <w:pPr>
                              <w:rPr>
                                <w:rFonts w:cs="Arial"/>
                                <w:szCs w:val="18"/>
                              </w:rPr>
                            </w:pPr>
                            <w:r w:rsidRPr="006C6B66">
                              <w:rPr>
                                <w:rFonts w:cs="Arial"/>
                                <w:b/>
                                <w:bCs/>
                                <w:szCs w:val="18"/>
                                <w:lang w:eastAsia="en-AU"/>
                              </w:rPr>
                              <w:t xml:space="preserve">Local Content – </w:t>
                            </w:r>
                            <w:r w:rsidRPr="006C6B66">
                              <w:rPr>
                                <w:rFonts w:cs="Arial"/>
                                <w:szCs w:val="18"/>
                                <w:lang w:eastAsia="en-AU"/>
                              </w:rPr>
                              <w:t>The term local content covers all suppliers producing Australian or New Zealand (ANZ) goods or services or when they have added value to imported items. Local content means goods that are produced by local industr</w:t>
                            </w:r>
                            <w:r w:rsidR="00662D2C">
                              <w:rPr>
                                <w:rFonts w:cs="Arial"/>
                                <w:szCs w:val="18"/>
                                <w:lang w:eastAsia="en-AU"/>
                              </w:rPr>
                              <w:t xml:space="preserve">y, </w:t>
                            </w:r>
                            <w:r w:rsidRPr="006C6B66">
                              <w:rPr>
                                <w:rFonts w:cs="Arial"/>
                                <w:szCs w:val="18"/>
                                <w:lang w:eastAsia="en-AU"/>
                              </w:rPr>
                              <w:t>services that are supplied by local industry</w:t>
                            </w:r>
                            <w:r w:rsidR="00662D2C">
                              <w:rPr>
                                <w:rFonts w:cs="Arial"/>
                                <w:szCs w:val="18"/>
                                <w:lang w:eastAsia="en-AU"/>
                              </w:rPr>
                              <w:t>,</w:t>
                            </w:r>
                            <w:r w:rsidRPr="006C6B66">
                              <w:rPr>
                                <w:rFonts w:cs="Arial"/>
                                <w:szCs w:val="18"/>
                                <w:lang w:eastAsia="en-AU"/>
                              </w:rPr>
                              <w:t xml:space="preserve"> or construction activities carried out by local industry. Local assembly of imported materials, transport of goods, and local labour are all examples of local content or local added 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B4661" id="_x0000_s1027" type="#_x0000_t202" style="position:absolute;left:0;text-align:left;margin-left:3.4pt;margin-top:53.05pt;width:456.7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geJwIAAEwEAAAOAAAAZHJzL2Uyb0RvYy54bWysVNtu2zAMfR+wfxD0vtjJkqw14hRdugwD&#10;ugvQ7gNoWY6FyaImKbG7ry8lp2nQbS/D/CCIInV0eEh6dTV0mh2k8wpNyaeTnDNpBNbK7Er+/X77&#10;5oIzH8DUoNHIkj9Iz6/Wr1+telvIGbaoa+kYgRhf9LbkbQi2yDIvWtmBn6CVhpwNug4CmW6X1Q56&#10;Qu90NsvzZdajq61DIb2n05vRydcJv2mkCF+bxsvAdMmJW0irS2sV12y9gmLnwLZKHGnAP7DoQBl6&#10;9AR1AwHY3qnfoDolHHpswkRgl2HTKCFTDpTNNH+RzV0LVqZcSBxvTzL5/wcrvhy+Oabqks84M9BR&#10;ie7lENh7HNgsqtNbX1DQnaWwMNAxVTll6u0tih+eGdy0YHby2jnsWwk1sZvGm9nZ1RHHR5Cq/4w1&#10;PQP7gAloaFwXpSMxGKFTlR5OlYlUBB0uLvI8vySXIN90ns+Xs1S7DIqn69b58FFix+Km5I5Kn+Dh&#10;cOtDpAPFU0h8zaNW9VZpnQy3qzbasQNQm2zTlzJ4EaYN60u+fLvIRwX+CkFk6fsTRKcC9btWXclj&#10;SmMQFFG3D6ZO3RhA6XFPlLU5Chm1G1UMQzWkiiWVo8gV1g+krMOxvWkcadOi+8VZT61dcv9zD05y&#10;pj8Zqs7ldD6Ps5CM+eIdScncuac694ARBFXywNm43YQ0P0k3e01V3Kqk7zOTI2Vq2ST7cbziTJzb&#10;Ker5J7B+BAAA//8DAFBLAwQUAAYACAAAACEAc2gFDt8AAAAJAQAADwAAAGRycy9kb3ducmV2Lnht&#10;bEyPQU+DQBCF7yb+h82YeLO7gEFFlqap4eClTdFEvW1hBCI7S9htwX/veNLjvPfy3jf5erGDOOPk&#10;e0caopUCgVS7pqdWw+tLeXMPwgdDjRkcoYZv9LAuLi9ykzVupgOeq9AKLiGfGQ1dCGMmpa87tMav&#10;3IjE3qebrAl8Tq1sJjNzuR1krFQqremJFzoz4rbD+qs6WQ3VR7S7Lctos9ujeZ+3T4l83r9pfX21&#10;bB5BBFzCXxh+8RkdCmY6uhM1XgwaUgYPLKs0AsH+Q6xiEEcNSXyXgCxy+f+D4gcAAP//AwBQSwEC&#10;LQAUAAYACAAAACEAtoM4kv4AAADhAQAAEwAAAAAAAAAAAAAAAAAAAAAAW0NvbnRlbnRfVHlwZXNd&#10;LnhtbFBLAQItABQABgAIAAAAIQA4/SH/1gAAAJQBAAALAAAAAAAAAAAAAAAAAC8BAABfcmVscy8u&#10;cmVsc1BLAQItABQABgAIAAAAIQAAacgeJwIAAEwEAAAOAAAAAAAAAAAAAAAAAC4CAABkcnMvZTJv&#10;RG9jLnhtbFBLAQItABQABgAIAAAAIQBzaAUO3wAAAAkBAAAPAAAAAAAAAAAAAAAAAIEEAABkcnMv&#10;ZG93bnJldi54bWxQSwUGAAAAAAQABADzAAAAjQUAAAAA&#10;" strokeweight=".5pt">
                <v:textbox style="mso-fit-shape-to-text:t">
                  <w:txbxContent>
                    <w:p w14:paraId="00A0243B" w14:textId="51CAA956" w:rsidR="006C6B66" w:rsidRPr="00BA1E78" w:rsidRDefault="006C6B66">
                      <w:pPr>
                        <w:rPr>
                          <w:rFonts w:cs="Arial"/>
                          <w:szCs w:val="18"/>
                        </w:rPr>
                      </w:pPr>
                      <w:r w:rsidRPr="006C6B66">
                        <w:rPr>
                          <w:rFonts w:cs="Arial"/>
                          <w:b/>
                          <w:bCs/>
                          <w:szCs w:val="18"/>
                          <w:lang w:eastAsia="en-AU"/>
                        </w:rPr>
                        <w:t xml:space="preserve">Local Content – </w:t>
                      </w:r>
                      <w:r w:rsidRPr="006C6B66">
                        <w:rPr>
                          <w:rFonts w:cs="Arial"/>
                          <w:szCs w:val="18"/>
                          <w:lang w:eastAsia="en-AU"/>
                        </w:rPr>
                        <w:t>The term local content covers all suppliers producing Australian or New Zealand (ANZ) goods or services or when they have added value to imported items. Local content means goods that are produced by local industr</w:t>
                      </w:r>
                      <w:r w:rsidR="00662D2C">
                        <w:rPr>
                          <w:rFonts w:cs="Arial"/>
                          <w:szCs w:val="18"/>
                          <w:lang w:eastAsia="en-AU"/>
                        </w:rPr>
                        <w:t xml:space="preserve">y, </w:t>
                      </w:r>
                      <w:r w:rsidRPr="006C6B66">
                        <w:rPr>
                          <w:rFonts w:cs="Arial"/>
                          <w:szCs w:val="18"/>
                          <w:lang w:eastAsia="en-AU"/>
                        </w:rPr>
                        <w:t>services that are supplied by local industry</w:t>
                      </w:r>
                      <w:r w:rsidR="00662D2C">
                        <w:rPr>
                          <w:rFonts w:cs="Arial"/>
                          <w:szCs w:val="18"/>
                          <w:lang w:eastAsia="en-AU"/>
                        </w:rPr>
                        <w:t>,</w:t>
                      </w:r>
                      <w:r w:rsidRPr="006C6B66">
                        <w:rPr>
                          <w:rFonts w:cs="Arial"/>
                          <w:szCs w:val="18"/>
                          <w:lang w:eastAsia="en-AU"/>
                        </w:rPr>
                        <w:t xml:space="preserve"> or construction activities carried out by local industry. Local assembly of imported materials, transport of goods, and local labour are all examples of local content or local added value</w:t>
                      </w:r>
                    </w:p>
                  </w:txbxContent>
                </v:textbox>
                <w10:wrap type="square"/>
              </v:shape>
            </w:pict>
          </mc:Fallback>
        </mc:AlternateContent>
      </w:r>
      <w:r w:rsidR="00E23FBC" w:rsidRPr="00213764">
        <w:rPr>
          <w:rFonts w:asciiTheme="minorHAnsi" w:hAnsiTheme="minorHAnsi" w:cstheme="minorHAnsi"/>
          <w:sz w:val="18"/>
          <w:szCs w:val="18"/>
          <w:lang w:eastAsia="en-US"/>
        </w:rPr>
        <w:t xml:space="preserve">A </w:t>
      </w:r>
      <w:r>
        <w:rPr>
          <w:rFonts w:asciiTheme="minorHAnsi" w:hAnsiTheme="minorHAnsi" w:cstheme="minorHAnsi"/>
          <w:sz w:val="18"/>
          <w:szCs w:val="18"/>
          <w:lang w:eastAsia="en-US"/>
        </w:rPr>
        <w:t>contestability</w:t>
      </w:r>
      <w:r w:rsidR="00CB381D">
        <w:rPr>
          <w:rFonts w:asciiTheme="minorHAnsi" w:hAnsiTheme="minorHAnsi" w:cstheme="minorHAnsi"/>
          <w:sz w:val="18"/>
          <w:szCs w:val="18"/>
          <w:lang w:eastAsia="en-US"/>
        </w:rPr>
        <w:t xml:space="preserve"> </w:t>
      </w:r>
      <w:r w:rsidR="004A49F9" w:rsidRPr="00213764">
        <w:rPr>
          <w:rFonts w:asciiTheme="minorHAnsi" w:hAnsiTheme="minorHAnsi" w:cstheme="minorHAnsi"/>
          <w:sz w:val="18"/>
          <w:szCs w:val="18"/>
          <w:lang w:eastAsia="en-US"/>
        </w:rPr>
        <w:t xml:space="preserve">assessment refers to the process where the ICN assesses whether items and services are available </w:t>
      </w:r>
      <w:r w:rsidR="001A57F5" w:rsidRPr="00213764">
        <w:rPr>
          <w:rFonts w:asciiTheme="minorHAnsi" w:hAnsiTheme="minorHAnsi" w:cstheme="minorHAnsi"/>
          <w:sz w:val="18"/>
          <w:szCs w:val="18"/>
          <w:lang w:eastAsia="en-US"/>
        </w:rPr>
        <w:t xml:space="preserve">competitively </w:t>
      </w:r>
      <w:r w:rsidR="004A49F9" w:rsidRPr="00213764">
        <w:rPr>
          <w:rFonts w:asciiTheme="minorHAnsi" w:hAnsiTheme="minorHAnsi" w:cstheme="minorHAnsi"/>
          <w:sz w:val="18"/>
          <w:szCs w:val="18"/>
          <w:lang w:eastAsia="en-US"/>
        </w:rPr>
        <w:t>locally.</w:t>
      </w:r>
      <w:r w:rsidR="00585E05" w:rsidRPr="00213764">
        <w:rPr>
          <w:rFonts w:asciiTheme="minorHAnsi" w:hAnsiTheme="minorHAnsi" w:cstheme="minorHAnsi"/>
          <w:sz w:val="18"/>
          <w:szCs w:val="18"/>
          <w:lang w:eastAsia="en-US"/>
        </w:rPr>
        <w:t xml:space="preserve"> </w:t>
      </w:r>
      <w:r w:rsidR="00E958C7" w:rsidRPr="00213764">
        <w:rPr>
          <w:rFonts w:asciiTheme="minorHAnsi" w:hAnsiTheme="minorHAnsi" w:cstheme="minorHAnsi"/>
          <w:sz w:val="18"/>
          <w:szCs w:val="18"/>
          <w:lang w:eastAsia="en-US"/>
        </w:rPr>
        <w:t>A</w:t>
      </w:r>
      <w:r w:rsidR="00D10F0D" w:rsidRPr="00213764">
        <w:rPr>
          <w:rFonts w:asciiTheme="minorHAnsi" w:hAnsiTheme="minorHAnsi" w:cstheme="minorHAnsi"/>
          <w:sz w:val="18"/>
          <w:szCs w:val="18"/>
          <w:lang w:eastAsia="en-US"/>
        </w:rPr>
        <w:t xml:space="preserve"> list </w:t>
      </w:r>
      <w:r w:rsidR="00015556" w:rsidRPr="00213764">
        <w:rPr>
          <w:rFonts w:asciiTheme="minorHAnsi" w:hAnsiTheme="minorHAnsi" w:cstheme="minorHAnsi"/>
          <w:sz w:val="18"/>
          <w:szCs w:val="18"/>
          <w:lang w:eastAsia="en-US"/>
        </w:rPr>
        <w:t>of contestable (those items available both locally and internationally) and non-contestable item</w:t>
      </w:r>
      <w:r w:rsidR="00B74454" w:rsidRPr="005C5457">
        <w:rPr>
          <w:rFonts w:asciiTheme="minorHAnsi" w:hAnsiTheme="minorHAnsi" w:cstheme="minorHAnsi"/>
          <w:sz w:val="18"/>
          <w:szCs w:val="18"/>
          <w:lang w:eastAsia="en-US"/>
        </w:rPr>
        <w:t>s</w:t>
      </w:r>
      <w:r w:rsidR="00015556" w:rsidRPr="00213764">
        <w:rPr>
          <w:rFonts w:asciiTheme="minorHAnsi" w:hAnsiTheme="minorHAnsi" w:cstheme="minorHAnsi"/>
          <w:sz w:val="18"/>
          <w:szCs w:val="18"/>
          <w:lang w:eastAsia="en-US"/>
        </w:rPr>
        <w:t xml:space="preserve"> (those items f</w:t>
      </w:r>
      <w:r w:rsidR="00E958C7" w:rsidRPr="00213764">
        <w:rPr>
          <w:rFonts w:asciiTheme="minorHAnsi" w:hAnsiTheme="minorHAnsi" w:cstheme="minorHAnsi"/>
          <w:sz w:val="18"/>
          <w:szCs w:val="18"/>
          <w:lang w:eastAsia="en-US"/>
        </w:rPr>
        <w:t>o</w:t>
      </w:r>
      <w:r w:rsidR="00015556" w:rsidRPr="00213764">
        <w:rPr>
          <w:rFonts w:asciiTheme="minorHAnsi" w:hAnsiTheme="minorHAnsi" w:cstheme="minorHAnsi"/>
          <w:sz w:val="18"/>
          <w:szCs w:val="18"/>
          <w:lang w:eastAsia="en-US"/>
        </w:rPr>
        <w:t xml:space="preserve">und to be available either only locally </w:t>
      </w:r>
      <w:r w:rsidR="00E958C7" w:rsidRPr="00213764">
        <w:rPr>
          <w:rFonts w:asciiTheme="minorHAnsi" w:hAnsiTheme="minorHAnsi" w:cstheme="minorHAnsi"/>
          <w:sz w:val="18"/>
          <w:szCs w:val="18"/>
          <w:lang w:eastAsia="en-US"/>
        </w:rPr>
        <w:t>or only international) will be included in the LIDP for your benefit.</w:t>
      </w:r>
    </w:p>
    <w:p w14:paraId="2936E130" w14:textId="1C929956" w:rsidR="00D1280E" w:rsidRPr="00213764" w:rsidRDefault="00F840E9" w:rsidP="00D2177F">
      <w:pPr>
        <w:pStyle w:val="ListParagraph"/>
        <w:numPr>
          <w:ilvl w:val="0"/>
          <w:numId w:val="6"/>
        </w:numPr>
        <w:jc w:val="both"/>
        <w:rPr>
          <w:rFonts w:asciiTheme="minorHAnsi" w:hAnsiTheme="minorHAnsi" w:cstheme="minorHAnsi"/>
          <w:sz w:val="18"/>
          <w:szCs w:val="18"/>
          <w:lang w:eastAsia="en-US"/>
        </w:rPr>
      </w:pPr>
      <w:r w:rsidRPr="00213764">
        <w:rPr>
          <w:rFonts w:asciiTheme="minorHAnsi" w:hAnsiTheme="minorHAnsi" w:cstheme="minorHAnsi"/>
          <w:sz w:val="18"/>
          <w:szCs w:val="18"/>
          <w:lang w:eastAsia="en-US"/>
        </w:rPr>
        <w:t>The tender and/or expression of interest documents released by the delivery agency will outline these Local Jobs First requirements.</w:t>
      </w:r>
    </w:p>
    <w:p w14:paraId="07B7BB83" w14:textId="77777777" w:rsidR="00D1280E" w:rsidRPr="00D2177F" w:rsidRDefault="00D1280E" w:rsidP="00D2177F">
      <w:pPr>
        <w:pStyle w:val="ListParagraph"/>
        <w:ind w:left="360"/>
        <w:jc w:val="both"/>
        <w:rPr>
          <w:rFonts w:asciiTheme="minorHAnsi" w:hAnsiTheme="minorHAnsi" w:cstheme="minorHAnsi"/>
          <w:sz w:val="18"/>
          <w:szCs w:val="18"/>
          <w:lang w:eastAsia="en-US"/>
        </w:rPr>
      </w:pPr>
    </w:p>
    <w:p w14:paraId="1CA7C315" w14:textId="124DA4EF" w:rsidR="00267FB6" w:rsidRPr="00350D38" w:rsidRDefault="00DB1822" w:rsidP="00664592">
      <w:pPr>
        <w:pBdr>
          <w:top w:val="single" w:sz="4" w:space="1" w:color="auto"/>
          <w:left w:val="single" w:sz="4" w:space="4" w:color="auto"/>
          <w:bottom w:val="single" w:sz="4" w:space="1" w:color="auto"/>
          <w:right w:val="single" w:sz="4" w:space="4" w:color="auto"/>
        </w:pBdr>
        <w:spacing w:before="0" w:after="0"/>
        <w:ind w:left="720"/>
        <w:jc w:val="both"/>
        <w:rPr>
          <w:rFonts w:ascii="Calibri" w:hAnsi="Calibri"/>
          <w:szCs w:val="18"/>
        </w:rPr>
      </w:pPr>
      <w:r>
        <w:rPr>
          <w:rFonts w:eastAsia="MS Mincho" w:cs="Arial"/>
          <w:szCs w:val="18"/>
        </w:rPr>
        <w:t>T</w:t>
      </w:r>
      <w:r w:rsidR="00267FB6" w:rsidRPr="00350D38">
        <w:rPr>
          <w:rFonts w:eastAsia="MS Mincho" w:cs="Arial"/>
          <w:szCs w:val="18"/>
        </w:rPr>
        <w:t xml:space="preserve">he </w:t>
      </w:r>
      <w:r w:rsidR="00391152">
        <w:rPr>
          <w:rFonts w:eastAsia="MS Mincho" w:cs="Arial"/>
          <w:szCs w:val="18"/>
        </w:rPr>
        <w:t>Minister for Jobs, Innovation and Trade</w:t>
      </w:r>
      <w:r w:rsidR="00267FB6">
        <w:rPr>
          <w:rFonts w:eastAsia="MS Mincho" w:cs="Arial"/>
          <w:szCs w:val="18"/>
        </w:rPr>
        <w:t xml:space="preserve"> </w:t>
      </w:r>
      <w:r w:rsidR="00267FB6" w:rsidRPr="00350D38">
        <w:rPr>
          <w:rFonts w:eastAsia="MS Mincho" w:cs="Arial"/>
          <w:szCs w:val="18"/>
        </w:rPr>
        <w:t xml:space="preserve">must set </w:t>
      </w:r>
      <w:r w:rsidR="00267FB6">
        <w:rPr>
          <w:rFonts w:eastAsia="MS Mincho" w:cs="Arial"/>
          <w:szCs w:val="18"/>
        </w:rPr>
        <w:t>local content requirements at no less than:</w:t>
      </w:r>
    </w:p>
    <w:p w14:paraId="6AF3B798" w14:textId="55B2438A" w:rsidR="00267FB6" w:rsidRPr="00350D38" w:rsidRDefault="00267FB6" w:rsidP="00DE7CD3">
      <w:pPr>
        <w:pStyle w:val="ListParagraph"/>
        <w:numPr>
          <w:ilvl w:val="0"/>
          <w:numId w:val="11"/>
        </w:numPr>
        <w:pBdr>
          <w:top w:val="single" w:sz="4" w:space="1" w:color="auto"/>
          <w:left w:val="single" w:sz="4" w:space="4" w:color="auto"/>
          <w:bottom w:val="single" w:sz="4" w:space="1" w:color="auto"/>
          <w:right w:val="single" w:sz="4" w:space="4" w:color="auto"/>
        </w:pBdr>
        <w:spacing w:after="200"/>
        <w:ind w:left="1080"/>
        <w:rPr>
          <w:rFonts w:ascii="Arial" w:hAnsi="Arial" w:cs="Arial"/>
          <w:sz w:val="18"/>
          <w:szCs w:val="18"/>
        </w:rPr>
      </w:pPr>
      <w:r w:rsidRPr="00350D38">
        <w:rPr>
          <w:rFonts w:ascii="Arial" w:eastAsia="MS Mincho" w:hAnsi="Arial" w:cs="Arial"/>
          <w:sz w:val="18"/>
          <w:szCs w:val="18"/>
        </w:rPr>
        <w:t xml:space="preserve">90% for a </w:t>
      </w:r>
      <w:r w:rsidR="004043AD">
        <w:rPr>
          <w:rFonts w:ascii="Arial" w:eastAsia="MS Mincho" w:hAnsi="Arial" w:cs="Arial"/>
          <w:sz w:val="18"/>
          <w:szCs w:val="18"/>
        </w:rPr>
        <w:t>S</w:t>
      </w:r>
      <w:r w:rsidRPr="00350D38">
        <w:rPr>
          <w:rFonts w:ascii="Arial" w:eastAsia="MS Mincho" w:hAnsi="Arial" w:cs="Arial"/>
          <w:sz w:val="18"/>
          <w:szCs w:val="18"/>
        </w:rPr>
        <w:t xml:space="preserve">trategic </w:t>
      </w:r>
      <w:r w:rsidR="004043AD">
        <w:rPr>
          <w:rFonts w:ascii="Arial" w:eastAsia="MS Mincho" w:hAnsi="Arial" w:cs="Arial"/>
          <w:sz w:val="18"/>
          <w:szCs w:val="18"/>
        </w:rPr>
        <w:t>P</w:t>
      </w:r>
      <w:r w:rsidRPr="00350D38">
        <w:rPr>
          <w:rFonts w:ascii="Arial" w:eastAsia="MS Mincho" w:hAnsi="Arial" w:cs="Arial"/>
          <w:sz w:val="18"/>
          <w:szCs w:val="18"/>
        </w:rPr>
        <w:t>roject that is a construction project</w:t>
      </w:r>
    </w:p>
    <w:p w14:paraId="22D7408D" w14:textId="53925896" w:rsidR="00267FB6" w:rsidRPr="00350D38" w:rsidRDefault="00267FB6" w:rsidP="00DE7CD3">
      <w:pPr>
        <w:pStyle w:val="ListParagraph"/>
        <w:numPr>
          <w:ilvl w:val="0"/>
          <w:numId w:val="11"/>
        </w:numPr>
        <w:pBdr>
          <w:top w:val="single" w:sz="4" w:space="1" w:color="auto"/>
          <w:left w:val="single" w:sz="4" w:space="4" w:color="auto"/>
          <w:bottom w:val="single" w:sz="4" w:space="1" w:color="auto"/>
          <w:right w:val="single" w:sz="4" w:space="4" w:color="auto"/>
        </w:pBdr>
        <w:spacing w:after="200"/>
        <w:ind w:left="1080"/>
        <w:rPr>
          <w:rFonts w:ascii="Arial" w:hAnsi="Arial" w:cs="Arial"/>
          <w:sz w:val="18"/>
          <w:szCs w:val="18"/>
        </w:rPr>
      </w:pPr>
      <w:r w:rsidRPr="00350D38">
        <w:rPr>
          <w:rFonts w:ascii="Arial" w:eastAsia="MS Mincho" w:hAnsi="Arial" w:cs="Arial"/>
          <w:sz w:val="18"/>
          <w:szCs w:val="18"/>
        </w:rPr>
        <w:t xml:space="preserve">80% for a </w:t>
      </w:r>
      <w:r w:rsidR="004043AD">
        <w:rPr>
          <w:rFonts w:ascii="Arial" w:eastAsia="MS Mincho" w:hAnsi="Arial" w:cs="Arial"/>
          <w:sz w:val="18"/>
          <w:szCs w:val="18"/>
        </w:rPr>
        <w:t>S</w:t>
      </w:r>
      <w:r w:rsidRPr="00350D38">
        <w:rPr>
          <w:rFonts w:ascii="Arial" w:eastAsia="MS Mincho" w:hAnsi="Arial" w:cs="Arial"/>
          <w:sz w:val="18"/>
          <w:szCs w:val="18"/>
        </w:rPr>
        <w:t xml:space="preserve">trategic </w:t>
      </w:r>
      <w:r w:rsidR="00BD1B21">
        <w:rPr>
          <w:rFonts w:ascii="Arial" w:eastAsia="MS Mincho" w:hAnsi="Arial" w:cs="Arial"/>
          <w:sz w:val="18"/>
          <w:szCs w:val="18"/>
        </w:rPr>
        <w:t>P</w:t>
      </w:r>
      <w:r w:rsidRPr="00350D38">
        <w:rPr>
          <w:rFonts w:ascii="Arial" w:eastAsia="MS Mincho" w:hAnsi="Arial" w:cs="Arial"/>
          <w:sz w:val="18"/>
          <w:szCs w:val="18"/>
        </w:rPr>
        <w:t>roject that is a services or maintenance con</w:t>
      </w:r>
      <w:r>
        <w:rPr>
          <w:rFonts w:ascii="Arial" w:eastAsia="MS Mincho" w:hAnsi="Arial" w:cs="Arial"/>
          <w:sz w:val="18"/>
          <w:szCs w:val="18"/>
        </w:rPr>
        <w:t>tract</w:t>
      </w:r>
    </w:p>
    <w:p w14:paraId="36D41E4A" w14:textId="1F43B9D9" w:rsidR="00267FB6" w:rsidRPr="006153DB" w:rsidRDefault="00267FB6" w:rsidP="00DE7CD3">
      <w:pPr>
        <w:pStyle w:val="ListParagraph"/>
        <w:numPr>
          <w:ilvl w:val="0"/>
          <w:numId w:val="11"/>
        </w:numPr>
        <w:pBdr>
          <w:top w:val="single" w:sz="4" w:space="1" w:color="auto"/>
          <w:left w:val="single" w:sz="4" w:space="4" w:color="auto"/>
          <w:bottom w:val="single" w:sz="4" w:space="1" w:color="auto"/>
          <w:right w:val="single" w:sz="4" w:space="4" w:color="auto"/>
        </w:pBdr>
        <w:spacing w:after="200"/>
        <w:ind w:left="1080"/>
        <w:rPr>
          <w:sz w:val="18"/>
          <w:szCs w:val="18"/>
        </w:rPr>
      </w:pPr>
      <w:r w:rsidRPr="00350D38">
        <w:rPr>
          <w:rFonts w:ascii="Arial" w:hAnsi="Arial" w:cs="Arial"/>
          <w:sz w:val="18"/>
          <w:szCs w:val="18"/>
        </w:rPr>
        <w:t xml:space="preserve">80% for the maintenance or </w:t>
      </w:r>
      <w:r w:rsidRPr="006153DB">
        <w:rPr>
          <w:rFonts w:ascii="Arial" w:hAnsi="Arial" w:cs="Arial"/>
          <w:sz w:val="18"/>
          <w:szCs w:val="18"/>
        </w:rPr>
        <w:t xml:space="preserve">operations phase of a </w:t>
      </w:r>
      <w:r w:rsidR="00537646">
        <w:rPr>
          <w:rFonts w:ascii="Arial" w:hAnsi="Arial" w:cs="Arial"/>
          <w:sz w:val="18"/>
          <w:szCs w:val="18"/>
        </w:rPr>
        <w:t>S</w:t>
      </w:r>
      <w:r w:rsidRPr="006153DB">
        <w:rPr>
          <w:rFonts w:ascii="Arial" w:hAnsi="Arial" w:cs="Arial"/>
          <w:sz w:val="18"/>
          <w:szCs w:val="18"/>
        </w:rPr>
        <w:t xml:space="preserve">trategic </w:t>
      </w:r>
      <w:r w:rsidR="00537646">
        <w:rPr>
          <w:rFonts w:ascii="Arial" w:hAnsi="Arial" w:cs="Arial"/>
          <w:sz w:val="18"/>
          <w:szCs w:val="18"/>
        </w:rPr>
        <w:t>P</w:t>
      </w:r>
      <w:r w:rsidRPr="006153DB">
        <w:rPr>
          <w:rFonts w:ascii="Arial" w:hAnsi="Arial" w:cs="Arial"/>
          <w:sz w:val="18"/>
          <w:szCs w:val="18"/>
        </w:rPr>
        <w:t>roject.</w:t>
      </w:r>
    </w:p>
    <w:p w14:paraId="347A5474" w14:textId="156FABAC" w:rsidR="00664592" w:rsidRDefault="00DB1822" w:rsidP="00664592">
      <w:pPr>
        <w:pBdr>
          <w:top w:val="single" w:sz="4" w:space="1" w:color="auto"/>
          <w:left w:val="single" w:sz="4" w:space="4" w:color="auto"/>
          <w:bottom w:val="single" w:sz="4" w:space="1" w:color="auto"/>
          <w:right w:val="single" w:sz="4" w:space="4" w:color="auto"/>
        </w:pBdr>
        <w:spacing w:before="0" w:after="0"/>
        <w:ind w:left="720"/>
        <w:jc w:val="both"/>
        <w:rPr>
          <w:rFonts w:cs="Arial"/>
          <w:szCs w:val="18"/>
        </w:rPr>
      </w:pPr>
      <w:r>
        <w:rPr>
          <w:rFonts w:cs="Arial"/>
          <w:szCs w:val="18"/>
        </w:rPr>
        <w:t>T</w:t>
      </w:r>
      <w:r w:rsidR="00664592" w:rsidRPr="0061408A">
        <w:rPr>
          <w:rFonts w:cs="Arial"/>
          <w:szCs w:val="18"/>
        </w:rPr>
        <w:t xml:space="preserve">he </w:t>
      </w:r>
      <w:r w:rsidR="004355A3" w:rsidRPr="0061408A">
        <w:rPr>
          <w:rFonts w:cs="Arial"/>
          <w:szCs w:val="18"/>
        </w:rPr>
        <w:t>Major Projects Skills Guarantee (</w:t>
      </w:r>
      <w:r w:rsidR="00664592" w:rsidRPr="007C1B93">
        <w:rPr>
          <w:rFonts w:cs="Arial"/>
          <w:szCs w:val="18"/>
        </w:rPr>
        <w:t>MPSG</w:t>
      </w:r>
      <w:r w:rsidR="004355A3" w:rsidRPr="007C1B93">
        <w:rPr>
          <w:rFonts w:cs="Arial"/>
          <w:szCs w:val="18"/>
        </w:rPr>
        <w:t xml:space="preserve">) </w:t>
      </w:r>
      <w:r w:rsidR="00664592" w:rsidRPr="007C1B93">
        <w:rPr>
          <w:rFonts w:cs="Arial"/>
          <w:szCs w:val="18"/>
        </w:rPr>
        <w:t>applies</w:t>
      </w:r>
      <w:r w:rsidR="00664592" w:rsidRPr="00664592">
        <w:rPr>
          <w:rFonts w:cs="Arial"/>
          <w:szCs w:val="18"/>
        </w:rPr>
        <w:t xml:space="preserve"> to projects that are construction projects with a budget of $20 million or more</w:t>
      </w:r>
      <w:r w:rsidR="00486566">
        <w:rPr>
          <w:rFonts w:cs="Arial"/>
          <w:szCs w:val="18"/>
        </w:rPr>
        <w:t xml:space="preserve">. The MPSG may apply to both </w:t>
      </w:r>
      <w:r w:rsidR="00BA1E78">
        <w:rPr>
          <w:rFonts w:cs="Arial"/>
          <w:szCs w:val="18"/>
        </w:rPr>
        <w:t>S</w:t>
      </w:r>
      <w:r w:rsidR="00486566">
        <w:rPr>
          <w:rFonts w:cs="Arial"/>
          <w:szCs w:val="18"/>
        </w:rPr>
        <w:t xml:space="preserve">tandard and </w:t>
      </w:r>
      <w:r w:rsidR="00BA1E78">
        <w:rPr>
          <w:rFonts w:cs="Arial"/>
          <w:szCs w:val="18"/>
        </w:rPr>
        <w:t>S</w:t>
      </w:r>
      <w:r w:rsidR="00486566">
        <w:rPr>
          <w:rFonts w:cs="Arial"/>
          <w:szCs w:val="18"/>
        </w:rPr>
        <w:t>trategic projects.</w:t>
      </w:r>
    </w:p>
    <w:p w14:paraId="6A2E97DC" w14:textId="77777777" w:rsidR="00664592" w:rsidRDefault="00664592" w:rsidP="00955490">
      <w:pPr>
        <w:pBdr>
          <w:top w:val="single" w:sz="4" w:space="1" w:color="auto"/>
          <w:left w:val="single" w:sz="4" w:space="4" w:color="auto"/>
          <w:bottom w:val="single" w:sz="4" w:space="1" w:color="auto"/>
          <w:right w:val="single" w:sz="4" w:space="4" w:color="auto"/>
        </w:pBdr>
        <w:spacing w:before="0" w:after="0"/>
        <w:ind w:left="720"/>
        <w:jc w:val="both"/>
        <w:rPr>
          <w:rFonts w:cs="Arial"/>
          <w:szCs w:val="18"/>
        </w:rPr>
      </w:pPr>
    </w:p>
    <w:p w14:paraId="029AD826" w14:textId="65EFEA45" w:rsidR="00267FB6" w:rsidRPr="001C767B" w:rsidRDefault="00DB1822" w:rsidP="00A6777A">
      <w:pPr>
        <w:pBdr>
          <w:top w:val="single" w:sz="4" w:space="1" w:color="auto"/>
          <w:left w:val="single" w:sz="4" w:space="4" w:color="auto"/>
          <w:bottom w:val="single" w:sz="4" w:space="1" w:color="auto"/>
          <w:right w:val="single" w:sz="4" w:space="4" w:color="auto"/>
        </w:pBdr>
        <w:spacing w:before="0" w:after="0"/>
        <w:ind w:left="720"/>
        <w:jc w:val="both"/>
        <w:rPr>
          <w:rFonts w:cs="Arial"/>
          <w:szCs w:val="18"/>
        </w:rPr>
      </w:pPr>
      <w:r>
        <w:rPr>
          <w:rFonts w:cs="Arial"/>
          <w:szCs w:val="18"/>
        </w:rPr>
        <w:t>T</w:t>
      </w:r>
      <w:r w:rsidR="00267FB6" w:rsidRPr="001C767B">
        <w:rPr>
          <w:rFonts w:cs="Arial"/>
          <w:szCs w:val="18"/>
        </w:rPr>
        <w:t xml:space="preserve">he Minister may determine other </w:t>
      </w:r>
      <w:r w:rsidR="002545CF">
        <w:rPr>
          <w:rFonts w:cs="Arial"/>
          <w:szCs w:val="18"/>
        </w:rPr>
        <w:t>outcomes for</w:t>
      </w:r>
      <w:r w:rsidR="00267FB6" w:rsidRPr="001C767B">
        <w:rPr>
          <w:rFonts w:cs="Arial"/>
          <w:szCs w:val="18"/>
        </w:rPr>
        <w:t xml:space="preserve"> </w:t>
      </w:r>
      <w:r w:rsidR="00267FB6">
        <w:rPr>
          <w:rFonts w:cs="Arial"/>
          <w:szCs w:val="18"/>
        </w:rPr>
        <w:t>S</w:t>
      </w:r>
      <w:r w:rsidR="00267FB6" w:rsidRPr="001C767B">
        <w:rPr>
          <w:rFonts w:cs="Arial"/>
          <w:szCs w:val="18"/>
        </w:rPr>
        <w:t xml:space="preserve">trategic </w:t>
      </w:r>
      <w:r w:rsidR="00267FB6">
        <w:rPr>
          <w:rFonts w:cs="Arial"/>
          <w:szCs w:val="18"/>
        </w:rPr>
        <w:t>P</w:t>
      </w:r>
      <w:r w:rsidR="00267FB6" w:rsidRPr="001C767B">
        <w:rPr>
          <w:rFonts w:cs="Arial"/>
          <w:szCs w:val="18"/>
        </w:rPr>
        <w:t>roject</w:t>
      </w:r>
      <w:r w:rsidR="00267FB6">
        <w:rPr>
          <w:rFonts w:cs="Arial"/>
          <w:szCs w:val="18"/>
        </w:rPr>
        <w:t>s, including but not limited to:</w:t>
      </w:r>
    </w:p>
    <w:p w14:paraId="0962E66D" w14:textId="05972858" w:rsidR="00267FB6" w:rsidRPr="007E6417" w:rsidRDefault="00267FB6" w:rsidP="00DE7CD3">
      <w:pPr>
        <w:pStyle w:val="ListParagraph"/>
        <w:numPr>
          <w:ilvl w:val="0"/>
          <w:numId w:val="11"/>
        </w:numPr>
        <w:pBdr>
          <w:top w:val="single" w:sz="4" w:space="1" w:color="auto"/>
          <w:left w:val="single" w:sz="4" w:space="4" w:color="auto"/>
          <w:bottom w:val="single" w:sz="4" w:space="1" w:color="auto"/>
          <w:right w:val="single" w:sz="4" w:space="4" w:color="auto"/>
        </w:pBdr>
        <w:spacing w:after="200"/>
        <w:ind w:left="1080"/>
        <w:rPr>
          <w:rFonts w:ascii="Arial" w:eastAsia="MS Mincho" w:hAnsi="Arial" w:cs="Arial"/>
          <w:sz w:val="18"/>
          <w:szCs w:val="18"/>
        </w:rPr>
      </w:pPr>
      <w:r w:rsidRPr="001C767B">
        <w:rPr>
          <w:rFonts w:asciiTheme="minorHAnsi" w:hAnsiTheme="minorHAnsi" w:cstheme="minorHAnsi"/>
          <w:sz w:val="18"/>
          <w:szCs w:val="18"/>
        </w:rPr>
        <w:t xml:space="preserve">requirements to </w:t>
      </w:r>
      <w:r w:rsidRPr="007E6417">
        <w:rPr>
          <w:rFonts w:ascii="Arial" w:eastAsia="MS Mincho" w:hAnsi="Arial" w:cs="Arial"/>
          <w:sz w:val="18"/>
          <w:szCs w:val="18"/>
        </w:rPr>
        <w:t>maximise</w:t>
      </w:r>
      <w:r>
        <w:rPr>
          <w:rFonts w:ascii="Arial" w:eastAsia="MS Mincho" w:hAnsi="Arial" w:cs="Arial"/>
          <w:sz w:val="18"/>
          <w:szCs w:val="18"/>
        </w:rPr>
        <w:t xml:space="preserve"> or specify</w:t>
      </w:r>
      <w:r w:rsidRPr="007E6417">
        <w:rPr>
          <w:rFonts w:ascii="Arial" w:eastAsia="MS Mincho" w:hAnsi="Arial" w:cs="Arial"/>
          <w:sz w:val="18"/>
          <w:szCs w:val="18"/>
        </w:rPr>
        <w:t xml:space="preserve"> the use of steel products produced by </w:t>
      </w:r>
      <w:r w:rsidR="002545CF">
        <w:rPr>
          <w:rFonts w:ascii="Arial" w:eastAsia="MS Mincho" w:hAnsi="Arial" w:cs="Arial"/>
          <w:sz w:val="18"/>
          <w:szCs w:val="18"/>
        </w:rPr>
        <w:t xml:space="preserve">the </w:t>
      </w:r>
      <w:r w:rsidRPr="007E6417">
        <w:rPr>
          <w:rFonts w:ascii="Arial" w:eastAsia="MS Mincho" w:hAnsi="Arial" w:cs="Arial"/>
          <w:sz w:val="18"/>
          <w:szCs w:val="18"/>
        </w:rPr>
        <w:t>local i</w:t>
      </w:r>
      <w:r>
        <w:rPr>
          <w:rFonts w:ascii="Arial" w:eastAsia="MS Mincho" w:hAnsi="Arial" w:cs="Arial"/>
          <w:sz w:val="18"/>
          <w:szCs w:val="18"/>
        </w:rPr>
        <w:t>ndustry</w:t>
      </w:r>
    </w:p>
    <w:p w14:paraId="322E950E" w14:textId="5B1F52D7" w:rsidR="00267FB6" w:rsidRPr="007E6417" w:rsidRDefault="00267FB6" w:rsidP="00DE7CD3">
      <w:pPr>
        <w:pStyle w:val="ListParagraph"/>
        <w:numPr>
          <w:ilvl w:val="0"/>
          <w:numId w:val="11"/>
        </w:numPr>
        <w:pBdr>
          <w:top w:val="single" w:sz="4" w:space="1" w:color="auto"/>
          <w:left w:val="single" w:sz="4" w:space="4" w:color="auto"/>
          <w:bottom w:val="single" w:sz="4" w:space="1" w:color="auto"/>
          <w:right w:val="single" w:sz="4" w:space="4" w:color="auto"/>
        </w:pBdr>
        <w:spacing w:after="200"/>
        <w:ind w:left="1080"/>
        <w:rPr>
          <w:rFonts w:ascii="Arial" w:eastAsia="MS Mincho" w:hAnsi="Arial" w:cs="Arial"/>
          <w:sz w:val="18"/>
          <w:szCs w:val="18"/>
        </w:rPr>
      </w:pPr>
      <w:r w:rsidRPr="007E6417">
        <w:rPr>
          <w:rFonts w:ascii="Arial" w:eastAsia="MS Mincho" w:hAnsi="Arial" w:cs="Arial"/>
          <w:sz w:val="18"/>
          <w:szCs w:val="18"/>
        </w:rPr>
        <w:t>requirements to maximise the use of uniform</w:t>
      </w:r>
      <w:r w:rsidR="002545CF">
        <w:rPr>
          <w:rFonts w:ascii="Arial" w:eastAsia="MS Mincho" w:hAnsi="Arial" w:cs="Arial"/>
          <w:sz w:val="18"/>
          <w:szCs w:val="18"/>
        </w:rPr>
        <w:t>s</w:t>
      </w:r>
      <w:r w:rsidRPr="007E6417">
        <w:rPr>
          <w:rFonts w:ascii="Arial" w:eastAsia="MS Mincho" w:hAnsi="Arial" w:cs="Arial"/>
          <w:sz w:val="18"/>
          <w:szCs w:val="18"/>
        </w:rPr>
        <w:t xml:space="preserve"> and personal protective equip</w:t>
      </w:r>
      <w:r>
        <w:rPr>
          <w:rFonts w:ascii="Arial" w:eastAsia="MS Mincho" w:hAnsi="Arial" w:cs="Arial"/>
          <w:sz w:val="18"/>
          <w:szCs w:val="18"/>
        </w:rPr>
        <w:t>ment (PPE) produced by</w:t>
      </w:r>
      <w:r w:rsidR="00996825">
        <w:rPr>
          <w:rFonts w:ascii="Arial" w:eastAsia="MS Mincho" w:hAnsi="Arial" w:cs="Arial"/>
          <w:sz w:val="18"/>
          <w:szCs w:val="18"/>
        </w:rPr>
        <w:t xml:space="preserve"> the</w:t>
      </w:r>
      <w:r>
        <w:rPr>
          <w:rFonts w:ascii="Arial" w:eastAsia="MS Mincho" w:hAnsi="Arial" w:cs="Arial"/>
          <w:sz w:val="18"/>
          <w:szCs w:val="18"/>
        </w:rPr>
        <w:t xml:space="preserve"> local industry</w:t>
      </w:r>
    </w:p>
    <w:p w14:paraId="6C46B9CD" w14:textId="64F52710" w:rsidR="00267FB6" w:rsidRPr="00664592" w:rsidRDefault="00267FB6" w:rsidP="00DE7CD3">
      <w:pPr>
        <w:pStyle w:val="ListParagraph"/>
        <w:numPr>
          <w:ilvl w:val="0"/>
          <w:numId w:val="11"/>
        </w:numPr>
        <w:pBdr>
          <w:top w:val="single" w:sz="4" w:space="1" w:color="auto"/>
          <w:left w:val="single" w:sz="4" w:space="4" w:color="auto"/>
          <w:bottom w:val="single" w:sz="4" w:space="1" w:color="auto"/>
          <w:right w:val="single" w:sz="4" w:space="4" w:color="auto"/>
        </w:pBdr>
        <w:spacing w:after="200"/>
        <w:ind w:left="1080"/>
        <w:rPr>
          <w:rFonts w:ascii="Arial" w:eastAsia="MS Mincho" w:hAnsi="Arial" w:cs="Arial"/>
          <w:sz w:val="18"/>
          <w:szCs w:val="18"/>
        </w:rPr>
      </w:pPr>
      <w:r w:rsidRPr="007E6417">
        <w:rPr>
          <w:rFonts w:ascii="Arial" w:eastAsia="MS Mincho" w:hAnsi="Arial" w:cs="Arial"/>
          <w:sz w:val="18"/>
          <w:szCs w:val="18"/>
        </w:rPr>
        <w:t>any other requirements or conditions.</w:t>
      </w:r>
    </w:p>
    <w:p w14:paraId="36B00612" w14:textId="1EC9DA70" w:rsidR="00B32573" w:rsidRPr="00E40075" w:rsidRDefault="00B32573" w:rsidP="00DA63F8">
      <w:pPr>
        <w:pStyle w:val="Heading1"/>
        <w:ind w:left="426" w:hanging="578"/>
      </w:pPr>
      <w:bookmarkStart w:id="27" w:name="_Toc40369046"/>
      <w:bookmarkStart w:id="28" w:name="_Hlk14272611"/>
      <w:r w:rsidRPr="00E40075">
        <w:t xml:space="preserve">Step by step process in applying Local Jobs First to </w:t>
      </w:r>
      <w:r w:rsidR="0077109F">
        <w:t xml:space="preserve">Standard </w:t>
      </w:r>
      <w:r w:rsidR="00267FB6" w:rsidRPr="00E40075">
        <w:t>Projects</w:t>
      </w:r>
      <w:bookmarkEnd w:id="27"/>
      <w:r w:rsidR="00267FB6" w:rsidRPr="00E40075">
        <w:t xml:space="preserve"> </w:t>
      </w:r>
    </w:p>
    <w:p w14:paraId="7B095AD9" w14:textId="2F7BBB00" w:rsidR="00913BD5" w:rsidRPr="00077CDB" w:rsidRDefault="00913BD5" w:rsidP="001E04C5">
      <w:pPr>
        <w:jc w:val="both"/>
        <w:rPr>
          <w:b/>
          <w:sz w:val="20"/>
        </w:rPr>
      </w:pPr>
      <w:bookmarkStart w:id="29" w:name="_Hlk29909432"/>
      <w:bookmarkStart w:id="30" w:name="_Hlk29819272"/>
      <w:bookmarkStart w:id="31" w:name="_Hlk15030553"/>
      <w:bookmarkEnd w:id="28"/>
      <w:r w:rsidRPr="00077CDB">
        <w:rPr>
          <w:b/>
          <w:sz w:val="20"/>
        </w:rPr>
        <w:t xml:space="preserve">Step </w:t>
      </w:r>
      <w:r w:rsidR="00B32573" w:rsidRPr="00077CDB">
        <w:rPr>
          <w:b/>
          <w:sz w:val="20"/>
        </w:rPr>
        <w:t>1</w:t>
      </w:r>
      <w:r w:rsidRPr="00077CDB">
        <w:rPr>
          <w:b/>
          <w:sz w:val="20"/>
        </w:rPr>
        <w:t xml:space="preserve"> – Tender and or Expression of interest issued </w:t>
      </w:r>
      <w:r w:rsidR="00F37BB9">
        <w:rPr>
          <w:b/>
          <w:sz w:val="20"/>
        </w:rPr>
        <w:t>by agency</w:t>
      </w:r>
    </w:p>
    <w:p w14:paraId="30EF3DEE" w14:textId="4E4675D4" w:rsidR="00913BD5" w:rsidRDefault="00913BD5" w:rsidP="00DE7CD3">
      <w:pPr>
        <w:pStyle w:val="ListParagraph"/>
        <w:numPr>
          <w:ilvl w:val="0"/>
          <w:numId w:val="22"/>
        </w:numPr>
        <w:jc w:val="both"/>
        <w:rPr>
          <w:rFonts w:asciiTheme="minorHAnsi" w:hAnsiTheme="minorHAnsi" w:cstheme="minorHAnsi"/>
          <w:sz w:val="18"/>
          <w:szCs w:val="18"/>
          <w:lang w:eastAsia="en-US"/>
        </w:rPr>
      </w:pPr>
      <w:r w:rsidRPr="00BF1DA0">
        <w:rPr>
          <w:rFonts w:asciiTheme="minorHAnsi" w:hAnsiTheme="minorHAnsi" w:cstheme="minorHAnsi"/>
          <w:sz w:val="18"/>
          <w:szCs w:val="18"/>
          <w:lang w:eastAsia="en-US"/>
        </w:rPr>
        <w:t>The Expression of interest</w:t>
      </w:r>
      <w:r w:rsidR="00FB5608" w:rsidRPr="00BF1DA0">
        <w:rPr>
          <w:rFonts w:asciiTheme="minorHAnsi" w:hAnsiTheme="minorHAnsi" w:cstheme="minorHAnsi"/>
          <w:sz w:val="18"/>
          <w:szCs w:val="18"/>
          <w:lang w:eastAsia="en-US"/>
        </w:rPr>
        <w:t xml:space="preserve"> (EOI)</w:t>
      </w:r>
      <w:r w:rsidRPr="00BF1DA0">
        <w:rPr>
          <w:rFonts w:asciiTheme="minorHAnsi" w:hAnsiTheme="minorHAnsi" w:cstheme="minorHAnsi"/>
          <w:sz w:val="18"/>
          <w:szCs w:val="18"/>
          <w:lang w:eastAsia="en-US"/>
        </w:rPr>
        <w:t xml:space="preserve"> or </w:t>
      </w:r>
      <w:r w:rsidR="001410EE" w:rsidRPr="00BF1DA0">
        <w:rPr>
          <w:rFonts w:asciiTheme="minorHAnsi" w:hAnsiTheme="minorHAnsi" w:cstheme="minorHAnsi"/>
          <w:sz w:val="18"/>
          <w:szCs w:val="18"/>
          <w:lang w:eastAsia="en-US"/>
        </w:rPr>
        <w:t>R</w:t>
      </w:r>
      <w:r w:rsidRPr="00BF1DA0">
        <w:rPr>
          <w:rFonts w:asciiTheme="minorHAnsi" w:hAnsiTheme="minorHAnsi" w:cstheme="minorHAnsi"/>
          <w:sz w:val="18"/>
          <w:szCs w:val="18"/>
          <w:lang w:eastAsia="en-US"/>
        </w:rPr>
        <w:t xml:space="preserve">equest for </w:t>
      </w:r>
      <w:r w:rsidR="001410EE" w:rsidRPr="00BF1DA0">
        <w:rPr>
          <w:rFonts w:asciiTheme="minorHAnsi" w:hAnsiTheme="minorHAnsi" w:cstheme="minorHAnsi"/>
          <w:sz w:val="18"/>
          <w:szCs w:val="18"/>
          <w:lang w:eastAsia="en-US"/>
        </w:rPr>
        <w:t>T</w:t>
      </w:r>
      <w:r w:rsidRPr="00BF1DA0">
        <w:rPr>
          <w:rFonts w:asciiTheme="minorHAnsi" w:hAnsiTheme="minorHAnsi" w:cstheme="minorHAnsi"/>
          <w:sz w:val="18"/>
          <w:szCs w:val="18"/>
          <w:lang w:eastAsia="en-US"/>
        </w:rPr>
        <w:t>ender</w:t>
      </w:r>
      <w:r w:rsidR="001410EE" w:rsidRPr="00BF1DA0">
        <w:rPr>
          <w:rFonts w:asciiTheme="minorHAnsi" w:hAnsiTheme="minorHAnsi" w:cstheme="minorHAnsi"/>
          <w:sz w:val="18"/>
          <w:szCs w:val="18"/>
          <w:lang w:eastAsia="en-US"/>
        </w:rPr>
        <w:t xml:space="preserve"> (RFT)</w:t>
      </w:r>
      <w:r w:rsidRPr="00BF1DA0">
        <w:rPr>
          <w:rFonts w:asciiTheme="minorHAnsi" w:hAnsiTheme="minorHAnsi" w:cstheme="minorHAnsi"/>
          <w:sz w:val="18"/>
          <w:szCs w:val="18"/>
          <w:lang w:eastAsia="en-US"/>
        </w:rPr>
        <w:t xml:space="preserve"> </w:t>
      </w:r>
      <w:r w:rsidR="002521B0" w:rsidRPr="00BF1DA0">
        <w:rPr>
          <w:rFonts w:asciiTheme="minorHAnsi" w:hAnsiTheme="minorHAnsi" w:cstheme="minorHAnsi"/>
          <w:sz w:val="18"/>
          <w:szCs w:val="18"/>
          <w:lang w:eastAsia="en-US"/>
        </w:rPr>
        <w:t xml:space="preserve">documents </w:t>
      </w:r>
      <w:r w:rsidRPr="00BF1DA0">
        <w:rPr>
          <w:rFonts w:asciiTheme="minorHAnsi" w:hAnsiTheme="minorHAnsi" w:cstheme="minorHAnsi"/>
          <w:sz w:val="18"/>
          <w:szCs w:val="18"/>
          <w:lang w:eastAsia="en-US"/>
        </w:rPr>
        <w:t>will notify prospective bidders:</w:t>
      </w:r>
    </w:p>
    <w:p w14:paraId="0023263A" w14:textId="77777777" w:rsidR="00B407F1" w:rsidRPr="00BF1DA0" w:rsidRDefault="00B407F1" w:rsidP="00B407F1">
      <w:pPr>
        <w:pStyle w:val="ListParagraph"/>
        <w:ind w:left="360"/>
        <w:jc w:val="both"/>
        <w:rPr>
          <w:rFonts w:asciiTheme="minorHAnsi" w:hAnsiTheme="minorHAnsi" w:cstheme="minorHAnsi"/>
          <w:sz w:val="18"/>
          <w:szCs w:val="18"/>
          <w:lang w:eastAsia="en-US"/>
        </w:rPr>
      </w:pPr>
    </w:p>
    <w:p w14:paraId="01A72D55" w14:textId="3FEAEED2" w:rsidR="00913BD5" w:rsidRDefault="00913BD5" w:rsidP="00DA63F8">
      <w:pPr>
        <w:pStyle w:val="ListParagraph"/>
        <w:numPr>
          <w:ilvl w:val="1"/>
          <w:numId w:val="6"/>
        </w:numPr>
        <w:jc w:val="both"/>
        <w:rPr>
          <w:rFonts w:asciiTheme="minorHAnsi" w:hAnsiTheme="minorHAnsi" w:cstheme="minorHAnsi"/>
          <w:sz w:val="18"/>
          <w:szCs w:val="18"/>
          <w:lang w:eastAsia="en-US"/>
        </w:rPr>
      </w:pPr>
      <w:r w:rsidRPr="00913BD5">
        <w:rPr>
          <w:rFonts w:asciiTheme="minorHAnsi" w:hAnsiTheme="minorHAnsi" w:cstheme="minorHAnsi"/>
          <w:sz w:val="18"/>
          <w:szCs w:val="18"/>
          <w:lang w:eastAsia="en-US"/>
        </w:rPr>
        <w:t xml:space="preserve">if the project must apply </w:t>
      </w:r>
      <w:r w:rsidR="00AC4925">
        <w:rPr>
          <w:rFonts w:asciiTheme="minorHAnsi" w:hAnsiTheme="minorHAnsi" w:cstheme="minorHAnsi"/>
          <w:sz w:val="18"/>
          <w:szCs w:val="18"/>
          <w:lang w:eastAsia="en-US"/>
        </w:rPr>
        <w:t>Local Jobs First</w:t>
      </w:r>
      <w:r w:rsidRPr="00913BD5">
        <w:rPr>
          <w:rFonts w:asciiTheme="minorHAnsi" w:hAnsiTheme="minorHAnsi" w:cstheme="minorHAnsi"/>
          <w:sz w:val="18"/>
          <w:szCs w:val="18"/>
          <w:lang w:eastAsia="en-US"/>
        </w:rPr>
        <w:t xml:space="preserve">, and when an ICN acknowledged </w:t>
      </w:r>
      <w:r w:rsidR="00FB5608">
        <w:rPr>
          <w:rFonts w:asciiTheme="minorHAnsi" w:hAnsiTheme="minorHAnsi" w:cstheme="minorHAnsi"/>
          <w:sz w:val="18"/>
          <w:szCs w:val="18"/>
          <w:lang w:eastAsia="en-US"/>
        </w:rPr>
        <w:t>Local Industry Development Plan (</w:t>
      </w:r>
      <w:r w:rsidR="00AC4925">
        <w:rPr>
          <w:rFonts w:asciiTheme="minorHAnsi" w:hAnsiTheme="minorHAnsi" w:cstheme="minorHAnsi"/>
          <w:sz w:val="18"/>
          <w:szCs w:val="18"/>
          <w:lang w:eastAsia="en-US"/>
        </w:rPr>
        <w:t>LIDP</w:t>
      </w:r>
      <w:r w:rsidR="00FB5608">
        <w:rPr>
          <w:rFonts w:asciiTheme="minorHAnsi" w:hAnsiTheme="minorHAnsi" w:cstheme="minorHAnsi"/>
          <w:sz w:val="18"/>
          <w:szCs w:val="18"/>
          <w:lang w:eastAsia="en-US"/>
        </w:rPr>
        <w:t>)</w:t>
      </w:r>
      <w:r w:rsidR="00AC4925">
        <w:rPr>
          <w:rFonts w:asciiTheme="minorHAnsi" w:hAnsiTheme="minorHAnsi" w:cstheme="minorHAnsi"/>
          <w:sz w:val="18"/>
          <w:szCs w:val="18"/>
          <w:lang w:eastAsia="en-US"/>
        </w:rPr>
        <w:t xml:space="preserve"> </w:t>
      </w:r>
      <w:r w:rsidR="004C4418">
        <w:rPr>
          <w:rFonts w:asciiTheme="minorHAnsi" w:hAnsiTheme="minorHAnsi" w:cstheme="minorHAnsi"/>
          <w:sz w:val="18"/>
          <w:szCs w:val="18"/>
          <w:lang w:eastAsia="en-US"/>
        </w:rPr>
        <w:t>will need to be submitted</w:t>
      </w:r>
    </w:p>
    <w:p w14:paraId="5C06C4F7" w14:textId="74FBAD26" w:rsidR="004C4418" w:rsidRDefault="00BF1DA0" w:rsidP="00DA63F8">
      <w:pPr>
        <w:pStyle w:val="ListParagraph"/>
        <w:numPr>
          <w:ilvl w:val="1"/>
          <w:numId w:val="6"/>
        </w:numPr>
        <w:jc w:val="both"/>
        <w:rPr>
          <w:rFonts w:asciiTheme="minorHAnsi" w:hAnsiTheme="minorHAnsi" w:cstheme="minorHAnsi"/>
          <w:sz w:val="18"/>
          <w:szCs w:val="18"/>
          <w:lang w:eastAsia="en-US"/>
        </w:rPr>
      </w:pPr>
      <w:r>
        <w:rPr>
          <w:rFonts w:asciiTheme="minorHAnsi" w:hAnsiTheme="minorHAnsi" w:cstheme="minorHAnsi"/>
          <w:sz w:val="18"/>
          <w:szCs w:val="18"/>
          <w:lang w:eastAsia="en-US"/>
        </w:rPr>
        <w:lastRenderedPageBreak/>
        <w:t xml:space="preserve">contestable items for bidders to consider sourcing, </w:t>
      </w:r>
      <w:r w:rsidR="00AF4321">
        <w:rPr>
          <w:rFonts w:asciiTheme="minorHAnsi" w:hAnsiTheme="minorHAnsi" w:cstheme="minorHAnsi"/>
          <w:sz w:val="18"/>
          <w:szCs w:val="18"/>
          <w:lang w:eastAsia="en-US"/>
        </w:rPr>
        <w:t>l</w:t>
      </w:r>
      <w:r w:rsidR="004C4418">
        <w:rPr>
          <w:rFonts w:asciiTheme="minorHAnsi" w:hAnsiTheme="minorHAnsi" w:cstheme="minorHAnsi"/>
          <w:sz w:val="18"/>
          <w:szCs w:val="18"/>
          <w:lang w:eastAsia="en-US"/>
        </w:rPr>
        <w:t>ocal content and other requirements</w:t>
      </w:r>
      <w:r w:rsidR="009E31B9">
        <w:rPr>
          <w:rFonts w:asciiTheme="minorHAnsi" w:hAnsiTheme="minorHAnsi" w:cstheme="minorHAnsi"/>
          <w:sz w:val="18"/>
          <w:szCs w:val="18"/>
          <w:lang w:eastAsia="en-US"/>
        </w:rPr>
        <w:t xml:space="preserve">, including </w:t>
      </w:r>
      <w:r w:rsidR="004C4418">
        <w:rPr>
          <w:rFonts w:asciiTheme="minorHAnsi" w:hAnsiTheme="minorHAnsi" w:cstheme="minorHAnsi"/>
          <w:sz w:val="18"/>
          <w:szCs w:val="18"/>
          <w:lang w:eastAsia="en-US"/>
        </w:rPr>
        <w:t>MPS</w:t>
      </w:r>
      <w:r w:rsidR="000577B8">
        <w:rPr>
          <w:rFonts w:asciiTheme="minorHAnsi" w:hAnsiTheme="minorHAnsi" w:cstheme="minorHAnsi"/>
          <w:sz w:val="18"/>
          <w:szCs w:val="18"/>
          <w:lang w:eastAsia="en-US"/>
        </w:rPr>
        <w:t>G requirements</w:t>
      </w:r>
      <w:r w:rsidR="00BC6027" w:rsidRPr="00C62D10">
        <w:rPr>
          <w:rFonts w:asciiTheme="minorHAnsi" w:hAnsiTheme="minorHAnsi" w:cstheme="minorHAnsi"/>
          <w:sz w:val="18"/>
          <w:szCs w:val="18"/>
          <w:lang w:eastAsia="en-US"/>
        </w:rPr>
        <w:t>,</w:t>
      </w:r>
      <w:r w:rsidR="00480BC0">
        <w:rPr>
          <w:rFonts w:asciiTheme="minorHAnsi" w:hAnsiTheme="minorHAnsi" w:cstheme="minorHAnsi"/>
          <w:sz w:val="18"/>
          <w:szCs w:val="18"/>
          <w:lang w:eastAsia="en-US"/>
        </w:rPr>
        <w:t xml:space="preserve"> </w:t>
      </w:r>
      <w:r w:rsidR="00480BC0" w:rsidRPr="00C62D10">
        <w:rPr>
          <w:rFonts w:asciiTheme="minorHAnsi" w:hAnsiTheme="minorHAnsi" w:cstheme="minorHAnsi"/>
          <w:sz w:val="18"/>
          <w:szCs w:val="18"/>
          <w:lang w:eastAsia="en-US"/>
        </w:rPr>
        <w:t>if applicable</w:t>
      </w:r>
      <w:r w:rsidR="009E31B9">
        <w:rPr>
          <w:rFonts w:asciiTheme="minorHAnsi" w:hAnsiTheme="minorHAnsi" w:cstheme="minorHAnsi"/>
          <w:sz w:val="18"/>
          <w:szCs w:val="18"/>
          <w:lang w:eastAsia="en-US"/>
        </w:rPr>
        <w:t xml:space="preserve">. </w:t>
      </w:r>
      <w:r w:rsidR="000577B8">
        <w:rPr>
          <w:rFonts w:asciiTheme="minorHAnsi" w:hAnsiTheme="minorHAnsi" w:cstheme="minorHAnsi"/>
          <w:sz w:val="18"/>
          <w:szCs w:val="18"/>
          <w:lang w:eastAsia="en-US"/>
        </w:rPr>
        <w:t xml:space="preserve">A detailed explanation of </w:t>
      </w:r>
      <w:r w:rsidR="009E31B9">
        <w:rPr>
          <w:rFonts w:asciiTheme="minorHAnsi" w:hAnsiTheme="minorHAnsi" w:cstheme="minorHAnsi"/>
          <w:sz w:val="18"/>
          <w:szCs w:val="18"/>
          <w:lang w:eastAsia="en-US"/>
        </w:rPr>
        <w:t xml:space="preserve">how to </w:t>
      </w:r>
      <w:r w:rsidR="00671878">
        <w:rPr>
          <w:rFonts w:asciiTheme="minorHAnsi" w:hAnsiTheme="minorHAnsi" w:cstheme="minorHAnsi"/>
          <w:sz w:val="18"/>
          <w:szCs w:val="18"/>
          <w:lang w:eastAsia="en-US"/>
        </w:rPr>
        <w:t>apply Local Jobs Firs</w:t>
      </w:r>
      <w:r w:rsidR="00BA1E78">
        <w:rPr>
          <w:rFonts w:asciiTheme="minorHAnsi" w:hAnsiTheme="minorHAnsi" w:cstheme="minorHAnsi"/>
          <w:sz w:val="18"/>
          <w:szCs w:val="18"/>
          <w:lang w:eastAsia="en-US"/>
        </w:rPr>
        <w:t>t</w:t>
      </w:r>
      <w:r w:rsidR="00671878">
        <w:rPr>
          <w:rFonts w:asciiTheme="minorHAnsi" w:hAnsiTheme="minorHAnsi" w:cstheme="minorHAnsi"/>
          <w:sz w:val="18"/>
          <w:szCs w:val="18"/>
          <w:lang w:eastAsia="en-US"/>
        </w:rPr>
        <w:t xml:space="preserve"> to MPSG projects is outlined below</w:t>
      </w:r>
    </w:p>
    <w:p w14:paraId="12177E0F" w14:textId="6C178D38" w:rsidR="00F51CB8" w:rsidRDefault="00AF4321" w:rsidP="00DA63F8">
      <w:pPr>
        <w:pStyle w:val="ListParagraph"/>
        <w:numPr>
          <w:ilvl w:val="1"/>
          <w:numId w:val="6"/>
        </w:numPr>
        <w:jc w:val="both"/>
        <w:rPr>
          <w:rFonts w:asciiTheme="minorHAnsi" w:hAnsiTheme="minorHAnsi" w:cstheme="minorHAnsi"/>
          <w:sz w:val="18"/>
          <w:szCs w:val="18"/>
          <w:lang w:eastAsia="en-US"/>
        </w:rPr>
      </w:pPr>
      <w:r w:rsidRPr="006237F6">
        <w:rPr>
          <w:rFonts w:asciiTheme="minorHAnsi" w:hAnsiTheme="minorHAnsi" w:cstheme="minorHAnsi"/>
          <w:sz w:val="18"/>
          <w:szCs w:val="18"/>
          <w:lang w:eastAsia="en-US"/>
        </w:rPr>
        <w:t>t</w:t>
      </w:r>
      <w:r w:rsidR="004C4418" w:rsidRPr="006237F6">
        <w:rPr>
          <w:rFonts w:asciiTheme="minorHAnsi" w:hAnsiTheme="minorHAnsi" w:cstheme="minorHAnsi"/>
          <w:sz w:val="18"/>
          <w:szCs w:val="18"/>
          <w:lang w:eastAsia="en-US"/>
        </w:rPr>
        <w:t>he tender evaluation weight</w:t>
      </w:r>
      <w:r w:rsidR="00671878" w:rsidRPr="006237F6">
        <w:rPr>
          <w:rFonts w:asciiTheme="minorHAnsi" w:hAnsiTheme="minorHAnsi" w:cstheme="minorHAnsi"/>
          <w:sz w:val="18"/>
          <w:szCs w:val="18"/>
          <w:lang w:eastAsia="en-US"/>
        </w:rPr>
        <w:t xml:space="preserve">ings. </w:t>
      </w:r>
      <w:r w:rsidR="001E60E7" w:rsidRPr="006237F6">
        <w:rPr>
          <w:rFonts w:asciiTheme="minorHAnsi" w:hAnsiTheme="minorHAnsi" w:cstheme="minorHAnsi"/>
          <w:sz w:val="18"/>
          <w:szCs w:val="18"/>
          <w:lang w:eastAsia="en-US"/>
        </w:rPr>
        <w:t>Agencies</w:t>
      </w:r>
      <w:r w:rsidR="00671878" w:rsidRPr="006237F6">
        <w:rPr>
          <w:rFonts w:asciiTheme="minorHAnsi" w:hAnsiTheme="minorHAnsi" w:cstheme="minorHAnsi"/>
          <w:sz w:val="18"/>
          <w:szCs w:val="18"/>
          <w:lang w:eastAsia="en-US"/>
        </w:rPr>
        <w:t xml:space="preserve"> must apply a 10 per cent weighting for industry development, and 10 per cent for </w:t>
      </w:r>
      <w:r w:rsidR="00217B5F" w:rsidRPr="006237F6">
        <w:rPr>
          <w:rFonts w:asciiTheme="minorHAnsi" w:hAnsiTheme="minorHAnsi" w:cstheme="minorHAnsi"/>
          <w:sz w:val="18"/>
          <w:szCs w:val="18"/>
          <w:lang w:eastAsia="en-US"/>
        </w:rPr>
        <w:t xml:space="preserve">jobs outcomes. </w:t>
      </w:r>
      <w:r w:rsidR="00096E90" w:rsidRPr="006237F6">
        <w:rPr>
          <w:rFonts w:asciiTheme="minorHAnsi" w:hAnsiTheme="minorHAnsi" w:cstheme="minorHAnsi"/>
          <w:sz w:val="18"/>
          <w:szCs w:val="18"/>
          <w:lang w:eastAsia="en-US"/>
        </w:rPr>
        <w:t>It is therefore not permissible to include other evaluation criteria such as social procurement requirements as part of the legislated 20 per cent weighting for LJF.</w:t>
      </w:r>
    </w:p>
    <w:p w14:paraId="0541D707" w14:textId="77777777" w:rsidR="00B407F1" w:rsidRPr="006237F6" w:rsidRDefault="00B407F1" w:rsidP="00B407F1">
      <w:pPr>
        <w:pStyle w:val="ListParagraph"/>
        <w:ind w:left="1080"/>
        <w:jc w:val="both"/>
        <w:rPr>
          <w:rFonts w:asciiTheme="minorHAnsi" w:hAnsiTheme="minorHAnsi" w:cstheme="minorHAnsi"/>
          <w:sz w:val="18"/>
          <w:szCs w:val="18"/>
          <w:lang w:eastAsia="en-US"/>
        </w:rPr>
      </w:pPr>
    </w:p>
    <w:p w14:paraId="72754475" w14:textId="7E2E0D88" w:rsidR="007C3E79" w:rsidRDefault="007C3E79" w:rsidP="00DE7CD3">
      <w:pPr>
        <w:pStyle w:val="ListParagraph"/>
        <w:numPr>
          <w:ilvl w:val="0"/>
          <w:numId w:val="22"/>
        </w:numPr>
        <w:jc w:val="both"/>
        <w:rPr>
          <w:rFonts w:asciiTheme="minorHAnsi" w:hAnsiTheme="minorHAnsi" w:cstheme="minorHAnsi"/>
          <w:sz w:val="18"/>
          <w:szCs w:val="18"/>
          <w:lang w:eastAsia="en-US"/>
        </w:rPr>
      </w:pPr>
      <w:r w:rsidRPr="007C3E79">
        <w:rPr>
          <w:rFonts w:asciiTheme="minorHAnsi" w:hAnsiTheme="minorHAnsi" w:cstheme="minorHAnsi"/>
          <w:sz w:val="18"/>
          <w:szCs w:val="18"/>
          <w:lang w:eastAsia="en-US"/>
        </w:rPr>
        <w:t>LJF requires all bidders to engage local Small and Medium Sized Enterprises (SMEs) to supply into government projects over the life of a project.</w:t>
      </w:r>
    </w:p>
    <w:p w14:paraId="47CA0807" w14:textId="4D2BA208" w:rsidR="007C3E79" w:rsidRDefault="007C3E79" w:rsidP="007C3E79">
      <w:pPr>
        <w:pStyle w:val="ListParagraph"/>
        <w:ind w:left="360"/>
        <w:jc w:val="both"/>
        <w:rPr>
          <w:rFonts w:asciiTheme="minorHAnsi" w:hAnsiTheme="minorHAnsi" w:cstheme="minorHAnsi"/>
          <w:sz w:val="18"/>
          <w:szCs w:val="18"/>
          <w:lang w:eastAsia="en-US"/>
        </w:rPr>
      </w:pPr>
    </w:p>
    <w:bookmarkEnd w:id="29"/>
    <w:p w14:paraId="2675A5D6" w14:textId="1F7A51ED" w:rsidR="00AC4925" w:rsidRPr="00D40534" w:rsidRDefault="00AC4925" w:rsidP="001E04C5">
      <w:pPr>
        <w:jc w:val="both"/>
        <w:rPr>
          <w:rFonts w:asciiTheme="minorHAnsi" w:hAnsiTheme="minorHAnsi" w:cstheme="minorHAnsi"/>
          <w:b/>
          <w:bCs/>
          <w:iCs/>
          <w:sz w:val="20"/>
          <w:szCs w:val="18"/>
          <w:lang w:val="en-US"/>
        </w:rPr>
      </w:pPr>
      <w:r w:rsidRPr="00D40534">
        <w:rPr>
          <w:rFonts w:asciiTheme="minorHAnsi" w:hAnsiTheme="minorHAnsi" w:cstheme="minorHAnsi"/>
          <w:b/>
          <w:bCs/>
          <w:iCs/>
          <w:sz w:val="20"/>
          <w:szCs w:val="18"/>
          <w:lang w:val="en-US"/>
        </w:rPr>
        <w:t xml:space="preserve">Step </w:t>
      </w:r>
      <w:r w:rsidR="00077CDB" w:rsidRPr="00D40534">
        <w:rPr>
          <w:rFonts w:asciiTheme="minorHAnsi" w:hAnsiTheme="minorHAnsi" w:cstheme="minorHAnsi"/>
          <w:b/>
          <w:bCs/>
          <w:iCs/>
          <w:sz w:val="20"/>
          <w:szCs w:val="18"/>
          <w:lang w:val="en-US"/>
        </w:rPr>
        <w:t>2</w:t>
      </w:r>
      <w:r w:rsidRPr="00D40534">
        <w:rPr>
          <w:rFonts w:asciiTheme="minorHAnsi" w:hAnsiTheme="minorHAnsi" w:cstheme="minorHAnsi"/>
          <w:b/>
          <w:bCs/>
          <w:iCs/>
          <w:sz w:val="20"/>
          <w:szCs w:val="18"/>
          <w:lang w:val="en-US"/>
        </w:rPr>
        <w:t xml:space="preserve"> – </w:t>
      </w:r>
      <w:r w:rsidR="0033770A">
        <w:rPr>
          <w:rFonts w:asciiTheme="minorHAnsi" w:hAnsiTheme="minorHAnsi" w:cstheme="minorHAnsi"/>
          <w:b/>
          <w:bCs/>
          <w:iCs/>
          <w:sz w:val="20"/>
          <w:szCs w:val="18"/>
          <w:lang w:val="en-US"/>
        </w:rPr>
        <w:t>R</w:t>
      </w:r>
      <w:r w:rsidRPr="00D40534">
        <w:rPr>
          <w:rFonts w:asciiTheme="minorHAnsi" w:hAnsiTheme="minorHAnsi" w:cstheme="minorHAnsi"/>
          <w:b/>
          <w:bCs/>
          <w:iCs/>
          <w:sz w:val="20"/>
          <w:szCs w:val="18"/>
          <w:lang w:val="en-US"/>
        </w:rPr>
        <w:t xml:space="preserve">egistering with ICN and preparing </w:t>
      </w:r>
      <w:r w:rsidR="000830CF">
        <w:rPr>
          <w:rFonts w:asciiTheme="minorHAnsi" w:hAnsiTheme="minorHAnsi" w:cstheme="minorHAnsi"/>
          <w:b/>
          <w:bCs/>
          <w:iCs/>
          <w:sz w:val="20"/>
          <w:szCs w:val="18"/>
          <w:lang w:val="en-US"/>
        </w:rPr>
        <w:t>an LIDP</w:t>
      </w:r>
      <w:r w:rsidRPr="00D40534">
        <w:rPr>
          <w:rFonts w:asciiTheme="minorHAnsi" w:hAnsiTheme="minorHAnsi" w:cstheme="minorHAnsi"/>
          <w:b/>
          <w:bCs/>
          <w:iCs/>
          <w:sz w:val="20"/>
          <w:szCs w:val="18"/>
          <w:lang w:val="en-US"/>
        </w:rPr>
        <w:t xml:space="preserve"> </w:t>
      </w:r>
    </w:p>
    <w:p w14:paraId="1D928B49" w14:textId="5020E5D7" w:rsidR="00AC4925" w:rsidRDefault="0035794C" w:rsidP="00DE7CD3">
      <w:pPr>
        <w:numPr>
          <w:ilvl w:val="0"/>
          <w:numId w:val="22"/>
        </w:numPr>
        <w:jc w:val="both"/>
        <w:rPr>
          <w:rFonts w:asciiTheme="minorHAnsi" w:hAnsiTheme="minorHAnsi" w:cstheme="minorHAnsi"/>
          <w:szCs w:val="18"/>
          <w:lang w:val="en-US"/>
        </w:rPr>
      </w:pPr>
      <w:r>
        <w:rPr>
          <w:rFonts w:asciiTheme="minorHAnsi" w:hAnsiTheme="minorHAnsi" w:cstheme="minorHAnsi"/>
          <w:szCs w:val="18"/>
          <w:lang w:val="en-US"/>
        </w:rPr>
        <w:t>B</w:t>
      </w:r>
      <w:r w:rsidR="00AC4925" w:rsidRPr="00AC4925">
        <w:rPr>
          <w:rFonts w:asciiTheme="minorHAnsi" w:hAnsiTheme="minorHAnsi" w:cstheme="minorHAnsi"/>
          <w:szCs w:val="18"/>
          <w:lang w:val="en-US"/>
        </w:rPr>
        <w:t xml:space="preserve">idders must register their </w:t>
      </w:r>
      <w:r w:rsidR="00047FE9">
        <w:rPr>
          <w:rFonts w:asciiTheme="minorHAnsi" w:hAnsiTheme="minorHAnsi" w:cstheme="minorHAnsi"/>
          <w:szCs w:val="18"/>
          <w:lang w:val="en-US"/>
        </w:rPr>
        <w:t>businesses</w:t>
      </w:r>
      <w:r w:rsidR="00047FE9" w:rsidRPr="00AC4925">
        <w:rPr>
          <w:rFonts w:asciiTheme="minorHAnsi" w:hAnsiTheme="minorHAnsi" w:cstheme="minorHAnsi"/>
          <w:szCs w:val="18"/>
          <w:lang w:val="en-US"/>
        </w:rPr>
        <w:t xml:space="preserve"> </w:t>
      </w:r>
      <w:r w:rsidR="00AC4925" w:rsidRPr="00AC4925">
        <w:rPr>
          <w:rFonts w:asciiTheme="minorHAnsi" w:hAnsiTheme="minorHAnsi" w:cstheme="minorHAnsi"/>
          <w:szCs w:val="18"/>
          <w:lang w:val="en-US"/>
        </w:rPr>
        <w:t xml:space="preserve">details on the </w:t>
      </w:r>
      <w:r w:rsidR="001410EE">
        <w:rPr>
          <w:rFonts w:asciiTheme="minorHAnsi" w:hAnsiTheme="minorHAnsi" w:cstheme="minorHAnsi"/>
          <w:szCs w:val="18"/>
          <w:lang w:val="en-US"/>
        </w:rPr>
        <w:t xml:space="preserve">VMC, </w:t>
      </w:r>
      <w:r w:rsidR="00AC4925" w:rsidRPr="00AC4925">
        <w:rPr>
          <w:rFonts w:asciiTheme="minorHAnsi" w:hAnsiTheme="minorHAnsi" w:cstheme="minorHAnsi"/>
          <w:szCs w:val="18"/>
          <w:lang w:val="en-US"/>
        </w:rPr>
        <w:t>unless previously registered</w:t>
      </w:r>
      <w:r w:rsidR="007B0941">
        <w:rPr>
          <w:rFonts w:asciiTheme="minorHAnsi" w:hAnsiTheme="minorHAnsi" w:cstheme="minorHAnsi"/>
          <w:szCs w:val="18"/>
          <w:lang w:val="en-US"/>
        </w:rPr>
        <w:t xml:space="preserve">. </w:t>
      </w:r>
      <w:r w:rsidR="004A4BE2">
        <w:rPr>
          <w:rFonts w:asciiTheme="minorHAnsi" w:hAnsiTheme="minorHAnsi" w:cstheme="minorHAnsi"/>
          <w:szCs w:val="18"/>
          <w:lang w:val="en-US"/>
        </w:rPr>
        <w:t>The VMC is found at</w:t>
      </w:r>
      <w:r w:rsidR="00AC4925" w:rsidRPr="00AC4925">
        <w:rPr>
          <w:rFonts w:asciiTheme="minorHAnsi" w:hAnsiTheme="minorHAnsi" w:cstheme="minorHAnsi"/>
          <w:szCs w:val="18"/>
          <w:lang w:val="en-US"/>
        </w:rPr>
        <w:t xml:space="preserve"> </w:t>
      </w:r>
      <w:hyperlink r:id="rId16" w:history="1">
        <w:r w:rsidR="007F6572" w:rsidRPr="002E63A2">
          <w:rPr>
            <w:rStyle w:val="Hyperlink"/>
          </w:rPr>
          <w:t>www.icnforce.com</w:t>
        </w:r>
      </w:hyperlink>
    </w:p>
    <w:p w14:paraId="6A9CF13E" w14:textId="2125903F" w:rsidR="00AC4925" w:rsidRDefault="00AC4925" w:rsidP="00DE7CD3">
      <w:pPr>
        <w:numPr>
          <w:ilvl w:val="0"/>
          <w:numId w:val="22"/>
        </w:numPr>
        <w:jc w:val="both"/>
        <w:rPr>
          <w:rFonts w:asciiTheme="minorHAnsi" w:hAnsiTheme="minorHAnsi" w:cstheme="minorHAnsi"/>
          <w:szCs w:val="18"/>
          <w:lang w:val="en-US"/>
        </w:rPr>
      </w:pPr>
      <w:r w:rsidRPr="00AC4925">
        <w:rPr>
          <w:rFonts w:asciiTheme="minorHAnsi" w:hAnsiTheme="minorHAnsi" w:cstheme="minorHAnsi"/>
          <w:szCs w:val="18"/>
          <w:lang w:val="en-US"/>
        </w:rPr>
        <w:t xml:space="preserve">The </w:t>
      </w:r>
      <w:r w:rsidR="00B32573">
        <w:rPr>
          <w:rFonts w:asciiTheme="minorHAnsi" w:hAnsiTheme="minorHAnsi" w:cstheme="minorHAnsi"/>
          <w:szCs w:val="18"/>
          <w:lang w:val="en-US"/>
        </w:rPr>
        <w:t>LIDP</w:t>
      </w:r>
      <w:r w:rsidRPr="00AC4925">
        <w:rPr>
          <w:rFonts w:asciiTheme="minorHAnsi" w:hAnsiTheme="minorHAnsi" w:cstheme="minorHAnsi"/>
          <w:szCs w:val="18"/>
          <w:lang w:val="en-US"/>
        </w:rPr>
        <w:t xml:space="preserve"> is completed by logging into the </w:t>
      </w:r>
      <w:r w:rsidR="001410EE">
        <w:rPr>
          <w:rFonts w:asciiTheme="minorHAnsi" w:hAnsiTheme="minorHAnsi" w:cstheme="minorHAnsi"/>
          <w:szCs w:val="18"/>
          <w:lang w:val="en-US"/>
        </w:rPr>
        <w:t>VMC</w:t>
      </w:r>
      <w:r>
        <w:rPr>
          <w:rFonts w:asciiTheme="minorHAnsi" w:hAnsiTheme="minorHAnsi" w:cstheme="minorHAnsi"/>
          <w:szCs w:val="18"/>
          <w:lang w:val="en-US"/>
        </w:rPr>
        <w:t xml:space="preserve"> and</w:t>
      </w:r>
      <w:r w:rsidRPr="00AC4925">
        <w:rPr>
          <w:rFonts w:asciiTheme="minorHAnsi" w:hAnsiTheme="minorHAnsi" w:cstheme="minorHAnsi"/>
          <w:szCs w:val="18"/>
          <w:lang w:val="en-US"/>
        </w:rPr>
        <w:t xml:space="preserve"> selecting the relevant tender. If the tender is not listed, c</w:t>
      </w:r>
      <w:r w:rsidR="006F16A0">
        <w:rPr>
          <w:rFonts w:asciiTheme="minorHAnsi" w:hAnsiTheme="minorHAnsi" w:cstheme="minorHAnsi"/>
          <w:szCs w:val="18"/>
          <w:lang w:val="en-US"/>
        </w:rPr>
        <w:t>ontact the procuring agency</w:t>
      </w:r>
      <w:r w:rsidRPr="00AC4925">
        <w:rPr>
          <w:rFonts w:asciiTheme="minorHAnsi" w:hAnsiTheme="minorHAnsi" w:cstheme="minorHAnsi"/>
          <w:szCs w:val="18"/>
          <w:lang w:val="en-US"/>
        </w:rPr>
        <w:t xml:space="preserve">. </w:t>
      </w:r>
    </w:p>
    <w:p w14:paraId="2A9AEC64" w14:textId="650DAE5D" w:rsidR="004C4418" w:rsidRDefault="00AC4925" w:rsidP="00DE7CD3">
      <w:pPr>
        <w:numPr>
          <w:ilvl w:val="0"/>
          <w:numId w:val="22"/>
        </w:numPr>
        <w:jc w:val="both"/>
        <w:rPr>
          <w:rFonts w:asciiTheme="minorHAnsi" w:hAnsiTheme="minorHAnsi" w:cstheme="minorHAnsi"/>
          <w:szCs w:val="18"/>
          <w:lang w:val="en-US"/>
        </w:rPr>
      </w:pPr>
      <w:r w:rsidRPr="00AC4925">
        <w:rPr>
          <w:rFonts w:asciiTheme="minorHAnsi" w:hAnsiTheme="minorHAnsi" w:cstheme="minorHAnsi"/>
          <w:szCs w:val="18"/>
          <w:lang w:val="en-US"/>
        </w:rPr>
        <w:t xml:space="preserve">The bidder must then begin to complete their online </w:t>
      </w:r>
      <w:r w:rsidR="00B32573" w:rsidRPr="00B32573">
        <w:rPr>
          <w:rFonts w:asciiTheme="minorHAnsi" w:hAnsiTheme="minorHAnsi" w:cstheme="minorHAnsi"/>
          <w:szCs w:val="18"/>
          <w:lang w:val="en-US"/>
        </w:rPr>
        <w:t>LIDP</w:t>
      </w:r>
      <w:r w:rsidR="001410EE">
        <w:rPr>
          <w:rFonts w:asciiTheme="minorHAnsi" w:hAnsiTheme="minorHAnsi" w:cstheme="minorHAnsi"/>
          <w:szCs w:val="18"/>
          <w:lang w:val="en-US"/>
        </w:rPr>
        <w:t>.</w:t>
      </w:r>
    </w:p>
    <w:p w14:paraId="7D567A43" w14:textId="043D7062" w:rsidR="004C4418" w:rsidRDefault="004C4418" w:rsidP="00DE7CD3">
      <w:pPr>
        <w:numPr>
          <w:ilvl w:val="0"/>
          <w:numId w:val="22"/>
        </w:numPr>
        <w:spacing w:before="0" w:after="0"/>
        <w:jc w:val="both"/>
        <w:rPr>
          <w:rFonts w:asciiTheme="minorHAnsi" w:hAnsiTheme="minorHAnsi" w:cstheme="minorHAnsi"/>
          <w:szCs w:val="18"/>
          <w:lang w:val="en-US"/>
        </w:rPr>
      </w:pPr>
      <w:r w:rsidRPr="004C4418">
        <w:rPr>
          <w:rFonts w:asciiTheme="minorHAnsi" w:hAnsiTheme="minorHAnsi" w:cstheme="minorHAnsi"/>
          <w:szCs w:val="18"/>
          <w:lang w:val="en-US"/>
        </w:rPr>
        <w:t xml:space="preserve">Information to be </w:t>
      </w:r>
      <w:r w:rsidR="006F16A0">
        <w:rPr>
          <w:rFonts w:asciiTheme="minorHAnsi" w:hAnsiTheme="minorHAnsi" w:cstheme="minorHAnsi"/>
          <w:szCs w:val="18"/>
          <w:lang w:val="en-US"/>
        </w:rPr>
        <w:t>provided</w:t>
      </w:r>
      <w:r w:rsidR="008F0CAD" w:rsidRPr="004C4418">
        <w:rPr>
          <w:rFonts w:asciiTheme="minorHAnsi" w:hAnsiTheme="minorHAnsi" w:cstheme="minorHAnsi"/>
          <w:szCs w:val="18"/>
          <w:lang w:val="en-US"/>
        </w:rPr>
        <w:t xml:space="preserve"> </w:t>
      </w:r>
      <w:r w:rsidRPr="004C4418">
        <w:rPr>
          <w:rFonts w:asciiTheme="minorHAnsi" w:hAnsiTheme="minorHAnsi" w:cstheme="minorHAnsi"/>
          <w:szCs w:val="18"/>
          <w:lang w:val="en-US"/>
        </w:rPr>
        <w:t xml:space="preserve">in the LIDP includes: </w:t>
      </w:r>
    </w:p>
    <w:p w14:paraId="440D1C12" w14:textId="77777777" w:rsidR="00537646" w:rsidRPr="004C4418" w:rsidRDefault="00537646" w:rsidP="00537646">
      <w:pPr>
        <w:spacing w:before="0" w:after="0"/>
        <w:ind w:left="360"/>
        <w:jc w:val="both"/>
        <w:rPr>
          <w:rFonts w:asciiTheme="minorHAnsi" w:hAnsiTheme="minorHAnsi" w:cstheme="minorHAnsi"/>
          <w:szCs w:val="18"/>
          <w:lang w:val="en-US"/>
        </w:rPr>
      </w:pPr>
    </w:p>
    <w:p w14:paraId="74732AA3" w14:textId="1517FF89" w:rsidR="0037505B" w:rsidRDefault="0037505B" w:rsidP="00DE7CD3">
      <w:pPr>
        <w:pStyle w:val="ListParagraph"/>
        <w:numPr>
          <w:ilvl w:val="0"/>
          <w:numId w:val="20"/>
        </w:numPr>
        <w:jc w:val="both"/>
        <w:rPr>
          <w:rFonts w:asciiTheme="minorHAnsi" w:hAnsiTheme="minorHAnsi" w:cstheme="minorHAnsi"/>
          <w:sz w:val="18"/>
          <w:szCs w:val="18"/>
        </w:rPr>
      </w:pPr>
      <w:r w:rsidRPr="00350D38">
        <w:rPr>
          <w:rFonts w:asciiTheme="minorHAnsi" w:hAnsiTheme="minorHAnsi" w:cstheme="minorHAnsi"/>
          <w:sz w:val="18"/>
          <w:szCs w:val="18"/>
        </w:rPr>
        <w:t xml:space="preserve">the </w:t>
      </w:r>
      <w:r>
        <w:rPr>
          <w:rFonts w:asciiTheme="minorHAnsi" w:hAnsiTheme="minorHAnsi" w:cstheme="minorHAnsi"/>
          <w:sz w:val="18"/>
          <w:szCs w:val="18"/>
        </w:rPr>
        <w:t>industry development commitments (Victorian Industry Participation Policy (</w:t>
      </w:r>
      <w:r w:rsidRPr="00350D38">
        <w:rPr>
          <w:rFonts w:asciiTheme="minorHAnsi" w:hAnsiTheme="minorHAnsi" w:cstheme="minorHAnsi"/>
          <w:sz w:val="18"/>
          <w:szCs w:val="18"/>
        </w:rPr>
        <w:t>VIPP</w:t>
      </w:r>
      <w:r>
        <w:rPr>
          <w:rFonts w:asciiTheme="minorHAnsi" w:hAnsiTheme="minorHAnsi" w:cstheme="minorHAnsi"/>
          <w:sz w:val="18"/>
          <w:szCs w:val="18"/>
        </w:rPr>
        <w:t>)</w:t>
      </w:r>
      <w:r w:rsidRPr="00350D38">
        <w:rPr>
          <w:rFonts w:asciiTheme="minorHAnsi" w:hAnsiTheme="minorHAnsi" w:cstheme="minorHAnsi"/>
          <w:sz w:val="18"/>
          <w:szCs w:val="18"/>
        </w:rPr>
        <w:t xml:space="preserve"> commitments (local content, technology transfer</w:t>
      </w:r>
      <w:r>
        <w:rPr>
          <w:rFonts w:asciiTheme="minorHAnsi" w:hAnsiTheme="minorHAnsi" w:cstheme="minorHAnsi"/>
          <w:sz w:val="18"/>
          <w:szCs w:val="18"/>
        </w:rPr>
        <w:t>, supply chain engagement</w:t>
      </w:r>
      <w:r w:rsidRPr="00350D38">
        <w:rPr>
          <w:rFonts w:asciiTheme="minorHAnsi" w:hAnsiTheme="minorHAnsi" w:cstheme="minorHAnsi"/>
          <w:sz w:val="18"/>
          <w:szCs w:val="18"/>
        </w:rPr>
        <w:t>)</w:t>
      </w:r>
      <w:r w:rsidR="00136F67" w:rsidRPr="000526A8">
        <w:rPr>
          <w:rFonts w:asciiTheme="minorHAnsi" w:hAnsiTheme="minorHAnsi" w:cstheme="minorHAnsi"/>
          <w:sz w:val="18"/>
          <w:szCs w:val="18"/>
        </w:rPr>
        <w:t>)</w:t>
      </w:r>
    </w:p>
    <w:p w14:paraId="3C1BEE75" w14:textId="77777777" w:rsidR="00537646" w:rsidRDefault="00537646" w:rsidP="00537646">
      <w:pPr>
        <w:pStyle w:val="ListParagraph"/>
        <w:jc w:val="both"/>
        <w:rPr>
          <w:rFonts w:asciiTheme="minorHAnsi" w:hAnsiTheme="minorHAnsi" w:cstheme="minorHAnsi"/>
          <w:sz w:val="18"/>
          <w:szCs w:val="18"/>
        </w:rPr>
      </w:pPr>
    </w:p>
    <w:p w14:paraId="364CBC8D" w14:textId="51549364" w:rsidR="00537646" w:rsidRPr="00537646" w:rsidRDefault="0037505B" w:rsidP="00537646">
      <w:pPr>
        <w:pStyle w:val="ListParagraph"/>
        <w:numPr>
          <w:ilvl w:val="0"/>
          <w:numId w:val="20"/>
        </w:numPr>
        <w:jc w:val="both"/>
        <w:rPr>
          <w:rFonts w:asciiTheme="minorHAnsi" w:hAnsiTheme="minorHAnsi" w:cstheme="minorHAnsi"/>
          <w:sz w:val="18"/>
          <w:szCs w:val="18"/>
        </w:rPr>
      </w:pPr>
      <w:r w:rsidRPr="00A108CD">
        <w:rPr>
          <w:rFonts w:asciiTheme="minorHAnsi" w:hAnsiTheme="minorHAnsi" w:cstheme="minorHAnsi"/>
          <w:sz w:val="18"/>
          <w:szCs w:val="18"/>
        </w:rPr>
        <w:t>the</w:t>
      </w:r>
      <w:r w:rsidRPr="00A65FB0">
        <w:rPr>
          <w:rFonts w:asciiTheme="minorHAnsi" w:hAnsiTheme="minorHAnsi" w:cstheme="minorHAnsi"/>
          <w:sz w:val="18"/>
          <w:szCs w:val="18"/>
        </w:rPr>
        <w:t xml:space="preserve"> </w:t>
      </w:r>
      <w:r>
        <w:rPr>
          <w:rFonts w:asciiTheme="minorHAnsi" w:hAnsiTheme="minorHAnsi" w:cstheme="minorHAnsi"/>
          <w:sz w:val="18"/>
          <w:szCs w:val="18"/>
        </w:rPr>
        <w:t>jobs outcomes commitments (</w:t>
      </w:r>
      <w:r w:rsidRPr="00350D38">
        <w:rPr>
          <w:rFonts w:asciiTheme="minorHAnsi" w:hAnsiTheme="minorHAnsi" w:cstheme="minorHAnsi"/>
          <w:sz w:val="18"/>
          <w:szCs w:val="18"/>
        </w:rPr>
        <w:t xml:space="preserve">new and retained jobs, </w:t>
      </w:r>
      <w:r>
        <w:rPr>
          <w:rFonts w:asciiTheme="minorHAnsi" w:hAnsiTheme="minorHAnsi" w:cstheme="minorHAnsi"/>
          <w:sz w:val="18"/>
          <w:szCs w:val="18"/>
        </w:rPr>
        <w:t xml:space="preserve">training), including the </w:t>
      </w:r>
      <w:r w:rsidRPr="00A108CD">
        <w:rPr>
          <w:rFonts w:asciiTheme="minorHAnsi" w:hAnsiTheme="minorHAnsi" w:cstheme="minorHAnsi"/>
          <w:sz w:val="18"/>
          <w:szCs w:val="18"/>
        </w:rPr>
        <w:t>Major</w:t>
      </w:r>
      <w:r>
        <w:rPr>
          <w:rFonts w:asciiTheme="minorHAnsi" w:hAnsiTheme="minorHAnsi" w:cstheme="minorHAnsi"/>
          <w:sz w:val="18"/>
          <w:szCs w:val="18"/>
        </w:rPr>
        <w:t xml:space="preserve"> Projects Skills Guarantee (MPSG) </w:t>
      </w:r>
      <w:r w:rsidRPr="00A108CD">
        <w:rPr>
          <w:rFonts w:asciiTheme="minorHAnsi" w:hAnsiTheme="minorHAnsi" w:cstheme="minorHAnsi"/>
          <w:sz w:val="18"/>
          <w:szCs w:val="18"/>
        </w:rPr>
        <w:t xml:space="preserve">commitments </w:t>
      </w:r>
      <w:r>
        <w:rPr>
          <w:rFonts w:asciiTheme="minorHAnsi" w:hAnsiTheme="minorHAnsi" w:cstheme="minorHAnsi"/>
          <w:sz w:val="18"/>
          <w:szCs w:val="18"/>
        </w:rPr>
        <w:t>where applicable</w:t>
      </w:r>
    </w:p>
    <w:p w14:paraId="464B8891" w14:textId="77777777" w:rsidR="00537646" w:rsidRDefault="00537646" w:rsidP="00537646">
      <w:pPr>
        <w:pStyle w:val="ListParagraph"/>
        <w:jc w:val="both"/>
        <w:rPr>
          <w:rFonts w:asciiTheme="minorHAnsi" w:hAnsiTheme="minorHAnsi" w:cstheme="minorHAnsi"/>
          <w:sz w:val="18"/>
          <w:szCs w:val="18"/>
        </w:rPr>
      </w:pPr>
    </w:p>
    <w:p w14:paraId="4CB3D743" w14:textId="23E94011" w:rsidR="0037505B" w:rsidRPr="000D029C" w:rsidRDefault="0037505B" w:rsidP="00DE7CD3">
      <w:pPr>
        <w:pStyle w:val="ListParagraph"/>
        <w:numPr>
          <w:ilvl w:val="0"/>
          <w:numId w:val="20"/>
        </w:numPr>
        <w:jc w:val="both"/>
        <w:rPr>
          <w:rFonts w:asciiTheme="minorHAnsi" w:hAnsiTheme="minorHAnsi" w:cstheme="minorHAnsi"/>
          <w:sz w:val="18"/>
          <w:szCs w:val="18"/>
        </w:rPr>
      </w:pPr>
      <w:r w:rsidRPr="000D029C">
        <w:rPr>
          <w:rFonts w:asciiTheme="minorHAnsi" w:hAnsiTheme="minorHAnsi" w:cstheme="minorHAnsi"/>
          <w:sz w:val="18"/>
          <w:szCs w:val="18"/>
        </w:rPr>
        <w:t xml:space="preserve">how the LIDP will be implemented and </w:t>
      </w:r>
      <w:r>
        <w:rPr>
          <w:rFonts w:asciiTheme="minorHAnsi" w:hAnsiTheme="minorHAnsi" w:cstheme="minorHAnsi"/>
          <w:sz w:val="18"/>
          <w:szCs w:val="18"/>
        </w:rPr>
        <w:t>management of risks</w:t>
      </w:r>
      <w:r w:rsidRPr="000D029C">
        <w:rPr>
          <w:rFonts w:asciiTheme="minorHAnsi" w:hAnsiTheme="minorHAnsi" w:cstheme="minorHAnsi"/>
          <w:sz w:val="18"/>
          <w:szCs w:val="18"/>
        </w:rPr>
        <w:t>, including industry engagement strategies</w:t>
      </w:r>
      <w:r>
        <w:rPr>
          <w:rFonts w:asciiTheme="minorHAnsi" w:hAnsiTheme="minorHAnsi" w:cstheme="minorHAnsi"/>
          <w:sz w:val="18"/>
          <w:szCs w:val="18"/>
        </w:rPr>
        <w:t xml:space="preserve"> and selection and benchmarking of local content</w:t>
      </w:r>
    </w:p>
    <w:p w14:paraId="07AE4AFD" w14:textId="77777777" w:rsidR="00537646" w:rsidRDefault="00537646" w:rsidP="00537646">
      <w:pPr>
        <w:pStyle w:val="ListParagraph"/>
        <w:jc w:val="both"/>
        <w:rPr>
          <w:rFonts w:asciiTheme="minorHAnsi" w:hAnsiTheme="minorHAnsi" w:cstheme="minorHAnsi"/>
          <w:sz w:val="18"/>
          <w:szCs w:val="18"/>
        </w:rPr>
      </w:pPr>
    </w:p>
    <w:p w14:paraId="6977D3F2" w14:textId="3094254C" w:rsidR="00537646" w:rsidRPr="00537646" w:rsidRDefault="0037505B" w:rsidP="00537646">
      <w:pPr>
        <w:pStyle w:val="ListParagraph"/>
        <w:numPr>
          <w:ilvl w:val="0"/>
          <w:numId w:val="20"/>
        </w:numPr>
        <w:jc w:val="both"/>
        <w:rPr>
          <w:rFonts w:asciiTheme="minorHAnsi" w:hAnsiTheme="minorHAnsi" w:cstheme="minorHAnsi"/>
          <w:sz w:val="18"/>
          <w:szCs w:val="18"/>
        </w:rPr>
      </w:pPr>
      <w:r w:rsidRPr="00EF05EF">
        <w:rPr>
          <w:rFonts w:asciiTheme="minorHAnsi" w:hAnsiTheme="minorHAnsi" w:cstheme="minorHAnsi"/>
          <w:sz w:val="18"/>
          <w:szCs w:val="18"/>
        </w:rPr>
        <w:t>monitoring and reporting requirements</w:t>
      </w:r>
      <w:r>
        <w:rPr>
          <w:rFonts w:asciiTheme="minorHAnsi" w:hAnsiTheme="minorHAnsi" w:cstheme="minorHAnsi"/>
          <w:sz w:val="18"/>
          <w:szCs w:val="18"/>
        </w:rPr>
        <w:t xml:space="preserve">, including those to be delivered as part of </w:t>
      </w:r>
      <w:r w:rsidRPr="000D029C">
        <w:rPr>
          <w:rFonts w:asciiTheme="minorHAnsi" w:hAnsiTheme="minorHAnsi" w:cstheme="minorHAnsi"/>
          <w:sz w:val="18"/>
          <w:szCs w:val="18"/>
        </w:rPr>
        <w:t>normal project management procedures</w:t>
      </w:r>
    </w:p>
    <w:p w14:paraId="281E2029" w14:textId="77777777" w:rsidR="00537646" w:rsidRDefault="00537646" w:rsidP="00537646">
      <w:pPr>
        <w:pStyle w:val="ListParagraph"/>
        <w:jc w:val="both"/>
        <w:rPr>
          <w:rFonts w:asciiTheme="minorHAnsi" w:hAnsiTheme="minorHAnsi" w:cstheme="minorHAnsi"/>
          <w:sz w:val="18"/>
          <w:szCs w:val="18"/>
        </w:rPr>
      </w:pPr>
    </w:p>
    <w:p w14:paraId="3EC9D4C1" w14:textId="3E679DD1" w:rsidR="0037505B" w:rsidRDefault="0037505B" w:rsidP="00DE7CD3">
      <w:pPr>
        <w:pStyle w:val="ListParagraph"/>
        <w:numPr>
          <w:ilvl w:val="0"/>
          <w:numId w:val="20"/>
        </w:numPr>
        <w:jc w:val="both"/>
        <w:rPr>
          <w:rFonts w:asciiTheme="minorHAnsi" w:hAnsiTheme="minorHAnsi" w:cstheme="minorHAnsi"/>
          <w:sz w:val="18"/>
          <w:szCs w:val="18"/>
        </w:rPr>
      </w:pPr>
      <w:r>
        <w:rPr>
          <w:rFonts w:asciiTheme="minorHAnsi" w:hAnsiTheme="minorHAnsi" w:cstheme="minorHAnsi"/>
          <w:sz w:val="18"/>
          <w:szCs w:val="18"/>
        </w:rPr>
        <w:t xml:space="preserve">the amount of small to medium enterprises that will be engaged as part of the contract. </w:t>
      </w:r>
    </w:p>
    <w:p w14:paraId="6096896A" w14:textId="6A1DA011" w:rsidR="00112C4E" w:rsidRPr="007A58EE" w:rsidRDefault="00112C4E" w:rsidP="00DE7CD3">
      <w:pPr>
        <w:numPr>
          <w:ilvl w:val="0"/>
          <w:numId w:val="22"/>
        </w:numPr>
        <w:jc w:val="both"/>
        <w:rPr>
          <w:rFonts w:asciiTheme="minorHAnsi" w:hAnsiTheme="minorHAnsi" w:cstheme="minorHAnsi"/>
          <w:szCs w:val="18"/>
          <w:lang w:val="en-US"/>
        </w:rPr>
      </w:pPr>
      <w:r w:rsidRPr="007A58EE">
        <w:rPr>
          <w:rFonts w:asciiTheme="minorHAnsi" w:hAnsiTheme="minorHAnsi" w:cstheme="minorHAnsi"/>
          <w:szCs w:val="18"/>
          <w:lang w:val="en-US"/>
        </w:rPr>
        <w:t>T</w:t>
      </w:r>
      <w:r w:rsidR="00156A9B" w:rsidRPr="007A58EE">
        <w:rPr>
          <w:rFonts w:asciiTheme="minorHAnsi" w:hAnsiTheme="minorHAnsi" w:cstheme="minorHAnsi"/>
          <w:szCs w:val="18"/>
          <w:lang w:val="en-US"/>
        </w:rPr>
        <w:t xml:space="preserve">he size and complexity of the project will help inform how detailed the LIDP will be. For </w:t>
      </w:r>
      <w:r w:rsidR="000E4390">
        <w:rPr>
          <w:rFonts w:asciiTheme="minorHAnsi" w:hAnsiTheme="minorHAnsi" w:cstheme="minorHAnsi"/>
          <w:szCs w:val="18"/>
          <w:lang w:val="en-US"/>
        </w:rPr>
        <w:t>limited contestability</w:t>
      </w:r>
      <w:r w:rsidR="00156A9B" w:rsidRPr="007A58EE">
        <w:rPr>
          <w:rFonts w:asciiTheme="minorHAnsi" w:hAnsiTheme="minorHAnsi" w:cstheme="minorHAnsi"/>
          <w:szCs w:val="18"/>
          <w:lang w:val="en-US"/>
        </w:rPr>
        <w:t xml:space="preserve"> projects, only jobs outcomes and monitoring and reporting requirements are required f</w:t>
      </w:r>
      <w:r w:rsidR="007A58EE">
        <w:rPr>
          <w:rFonts w:asciiTheme="minorHAnsi" w:hAnsiTheme="minorHAnsi" w:cstheme="minorHAnsi"/>
          <w:szCs w:val="18"/>
          <w:lang w:val="en-US"/>
        </w:rPr>
        <w:t>ro</w:t>
      </w:r>
      <w:r w:rsidR="00156A9B" w:rsidRPr="007A58EE">
        <w:rPr>
          <w:rFonts w:asciiTheme="minorHAnsi" w:hAnsiTheme="minorHAnsi" w:cstheme="minorHAnsi"/>
          <w:szCs w:val="18"/>
          <w:lang w:val="en-US"/>
        </w:rPr>
        <w:t xml:space="preserve">m bidders. </w:t>
      </w:r>
    </w:p>
    <w:p w14:paraId="3011BF0F" w14:textId="5EA71731" w:rsidR="00AC4925" w:rsidRPr="00AC4925" w:rsidRDefault="00AC4925" w:rsidP="00DE7CD3">
      <w:pPr>
        <w:numPr>
          <w:ilvl w:val="0"/>
          <w:numId w:val="22"/>
        </w:numPr>
        <w:jc w:val="both"/>
        <w:rPr>
          <w:rFonts w:asciiTheme="minorHAnsi" w:hAnsiTheme="minorHAnsi" w:cstheme="minorHAnsi"/>
          <w:szCs w:val="18"/>
          <w:lang w:val="en-US"/>
        </w:rPr>
      </w:pPr>
      <w:r>
        <w:rPr>
          <w:rFonts w:asciiTheme="minorHAnsi" w:hAnsiTheme="minorHAnsi" w:cstheme="minorHAnsi"/>
          <w:szCs w:val="18"/>
          <w:lang w:val="en-US"/>
        </w:rPr>
        <w:t>LIDP</w:t>
      </w:r>
      <w:r w:rsidR="006F481F">
        <w:rPr>
          <w:rFonts w:asciiTheme="minorHAnsi" w:hAnsiTheme="minorHAnsi" w:cstheme="minorHAnsi"/>
          <w:szCs w:val="18"/>
          <w:lang w:val="en-US"/>
        </w:rPr>
        <w:t>s</w:t>
      </w:r>
      <w:r w:rsidRPr="00AC4925">
        <w:rPr>
          <w:rFonts w:asciiTheme="minorHAnsi" w:hAnsiTheme="minorHAnsi" w:cstheme="minorHAnsi"/>
          <w:szCs w:val="18"/>
          <w:lang w:val="en-US"/>
        </w:rPr>
        <w:t xml:space="preserve"> generally take between one to six working days to prepare depending on the complexity of the project, nature of the contestable items or experience with </w:t>
      </w:r>
      <w:r w:rsidR="00A90F68">
        <w:rPr>
          <w:rFonts w:asciiTheme="minorHAnsi" w:hAnsiTheme="minorHAnsi" w:cstheme="minorHAnsi"/>
          <w:szCs w:val="18"/>
          <w:lang w:val="en-US"/>
        </w:rPr>
        <w:t>Local Jobs First</w:t>
      </w:r>
      <w:r w:rsidRPr="00AC4925">
        <w:rPr>
          <w:rFonts w:asciiTheme="minorHAnsi" w:hAnsiTheme="minorHAnsi" w:cstheme="minorHAnsi"/>
          <w:szCs w:val="18"/>
          <w:lang w:val="en-US"/>
        </w:rPr>
        <w:t xml:space="preserve"> by the bidd</w:t>
      </w:r>
      <w:r w:rsidR="007121EE">
        <w:rPr>
          <w:rFonts w:asciiTheme="minorHAnsi" w:hAnsiTheme="minorHAnsi" w:cstheme="minorHAnsi"/>
          <w:szCs w:val="18"/>
          <w:lang w:val="en-US"/>
        </w:rPr>
        <w:t>er</w:t>
      </w:r>
      <w:r w:rsidR="00BA1E78">
        <w:rPr>
          <w:rFonts w:asciiTheme="minorHAnsi" w:hAnsiTheme="minorHAnsi" w:cstheme="minorHAnsi"/>
          <w:szCs w:val="18"/>
          <w:lang w:val="en-US"/>
        </w:rPr>
        <w:t>.</w:t>
      </w:r>
      <w:r w:rsidRPr="00AC4925">
        <w:rPr>
          <w:rFonts w:asciiTheme="minorHAnsi" w:hAnsiTheme="minorHAnsi" w:cstheme="minorHAnsi"/>
          <w:szCs w:val="18"/>
          <w:lang w:val="en-US"/>
        </w:rPr>
        <w:t xml:space="preserve"> </w:t>
      </w:r>
    </w:p>
    <w:p w14:paraId="115BDF5B" w14:textId="51521A17" w:rsidR="00653DD4" w:rsidRPr="00653DD4" w:rsidRDefault="00AC4925" w:rsidP="00653DD4">
      <w:pPr>
        <w:numPr>
          <w:ilvl w:val="0"/>
          <w:numId w:val="22"/>
        </w:numPr>
        <w:jc w:val="both"/>
        <w:rPr>
          <w:rFonts w:asciiTheme="minorHAnsi" w:hAnsiTheme="minorHAnsi" w:cstheme="minorHAnsi"/>
          <w:szCs w:val="18"/>
          <w:lang w:val="en-US"/>
        </w:rPr>
      </w:pPr>
      <w:r w:rsidRPr="00AC4925">
        <w:rPr>
          <w:rFonts w:asciiTheme="minorHAnsi" w:hAnsiTheme="minorHAnsi" w:cstheme="minorHAnsi"/>
          <w:szCs w:val="18"/>
          <w:lang w:val="en-US"/>
        </w:rPr>
        <w:t xml:space="preserve">ICN can </w:t>
      </w:r>
      <w:r w:rsidR="00EF7139">
        <w:rPr>
          <w:rFonts w:asciiTheme="minorHAnsi" w:hAnsiTheme="minorHAnsi" w:cstheme="minorHAnsi"/>
          <w:szCs w:val="18"/>
          <w:lang w:val="en-US"/>
        </w:rPr>
        <w:t xml:space="preserve">help </w:t>
      </w:r>
      <w:r w:rsidRPr="00AC4925">
        <w:rPr>
          <w:rFonts w:asciiTheme="minorHAnsi" w:hAnsiTheme="minorHAnsi" w:cstheme="minorHAnsi"/>
          <w:szCs w:val="18"/>
          <w:lang w:val="en-US"/>
        </w:rPr>
        <w:t xml:space="preserve">bidders </w:t>
      </w:r>
      <w:r w:rsidR="006F16A0">
        <w:rPr>
          <w:rFonts w:asciiTheme="minorHAnsi" w:hAnsiTheme="minorHAnsi" w:cstheme="minorHAnsi"/>
          <w:szCs w:val="18"/>
          <w:lang w:val="en-US"/>
        </w:rPr>
        <w:t>prepare their LIDPs</w:t>
      </w:r>
      <w:r>
        <w:rPr>
          <w:rFonts w:asciiTheme="minorHAnsi" w:hAnsiTheme="minorHAnsi" w:cstheme="minorHAnsi"/>
          <w:szCs w:val="18"/>
          <w:lang w:val="en-US"/>
        </w:rPr>
        <w:t xml:space="preserve"> </w:t>
      </w:r>
      <w:r w:rsidRPr="00AC4925">
        <w:rPr>
          <w:rFonts w:asciiTheme="minorHAnsi" w:hAnsiTheme="minorHAnsi" w:cstheme="minorHAnsi"/>
          <w:szCs w:val="18"/>
          <w:lang w:val="en-US"/>
        </w:rPr>
        <w:t xml:space="preserve">by choosing ‘Assistance’ mode within the </w:t>
      </w:r>
      <w:r w:rsidR="006F481F">
        <w:rPr>
          <w:rFonts w:asciiTheme="minorHAnsi" w:hAnsiTheme="minorHAnsi" w:cstheme="minorHAnsi"/>
          <w:szCs w:val="18"/>
          <w:lang w:val="en-US"/>
        </w:rPr>
        <w:t>VMC</w:t>
      </w:r>
      <w:r w:rsidRPr="00AC4925">
        <w:rPr>
          <w:rFonts w:asciiTheme="minorHAnsi" w:hAnsiTheme="minorHAnsi" w:cstheme="minorHAnsi"/>
          <w:szCs w:val="18"/>
          <w:lang w:val="en-US"/>
        </w:rPr>
        <w:t xml:space="preserve">. Advice on local capabilities will only be </w:t>
      </w:r>
      <w:r w:rsidR="008F0CAD">
        <w:rPr>
          <w:rFonts w:asciiTheme="minorHAnsi" w:hAnsiTheme="minorHAnsi" w:cstheme="minorHAnsi"/>
          <w:szCs w:val="18"/>
          <w:lang w:val="en-US"/>
        </w:rPr>
        <w:t>given</w:t>
      </w:r>
      <w:r w:rsidR="008F0CAD" w:rsidRPr="00AC4925">
        <w:rPr>
          <w:rFonts w:asciiTheme="minorHAnsi" w:hAnsiTheme="minorHAnsi" w:cstheme="minorHAnsi"/>
          <w:szCs w:val="18"/>
          <w:lang w:val="en-US"/>
        </w:rPr>
        <w:t xml:space="preserve"> </w:t>
      </w:r>
      <w:r w:rsidRPr="00AC4925">
        <w:rPr>
          <w:rFonts w:asciiTheme="minorHAnsi" w:hAnsiTheme="minorHAnsi" w:cstheme="minorHAnsi"/>
          <w:szCs w:val="18"/>
          <w:lang w:val="en-US"/>
        </w:rPr>
        <w:t xml:space="preserve">by ICN if Assistance mode is selected. </w:t>
      </w:r>
      <w:r w:rsidR="000F0D7A">
        <w:rPr>
          <w:rFonts w:asciiTheme="minorHAnsi" w:hAnsiTheme="minorHAnsi" w:cstheme="minorHAnsi"/>
          <w:szCs w:val="18"/>
          <w:lang w:val="en-US"/>
        </w:rPr>
        <w:t xml:space="preserve">The Victorian Government funds the ICN to </w:t>
      </w:r>
      <w:r w:rsidR="00EF7139">
        <w:rPr>
          <w:rFonts w:asciiTheme="minorHAnsi" w:hAnsiTheme="minorHAnsi" w:cstheme="minorHAnsi"/>
          <w:szCs w:val="18"/>
          <w:lang w:val="en-US"/>
        </w:rPr>
        <w:t xml:space="preserve">help </w:t>
      </w:r>
      <w:r w:rsidR="000F0D7A">
        <w:rPr>
          <w:rFonts w:asciiTheme="minorHAnsi" w:hAnsiTheme="minorHAnsi" w:cstheme="minorHAnsi"/>
          <w:szCs w:val="18"/>
          <w:lang w:val="en-US"/>
        </w:rPr>
        <w:t xml:space="preserve">bidders in </w:t>
      </w:r>
      <w:r w:rsidR="009E0976">
        <w:rPr>
          <w:rFonts w:asciiTheme="minorHAnsi" w:hAnsiTheme="minorHAnsi" w:cstheme="minorHAnsi"/>
          <w:szCs w:val="18"/>
          <w:lang w:val="en-US"/>
        </w:rPr>
        <w:t>preparing</w:t>
      </w:r>
      <w:r w:rsidR="000F0D7A">
        <w:rPr>
          <w:rFonts w:asciiTheme="minorHAnsi" w:hAnsiTheme="minorHAnsi" w:cstheme="minorHAnsi"/>
          <w:szCs w:val="18"/>
          <w:lang w:val="en-US"/>
        </w:rPr>
        <w:t xml:space="preserve"> LIDP</w:t>
      </w:r>
      <w:r w:rsidR="00BA1E78">
        <w:rPr>
          <w:rFonts w:asciiTheme="minorHAnsi" w:hAnsiTheme="minorHAnsi" w:cstheme="minorHAnsi"/>
          <w:szCs w:val="18"/>
          <w:lang w:val="en-US"/>
        </w:rPr>
        <w:t>s</w:t>
      </w:r>
      <w:r w:rsidR="009E0976">
        <w:rPr>
          <w:rFonts w:asciiTheme="minorHAnsi" w:hAnsiTheme="minorHAnsi" w:cstheme="minorHAnsi"/>
          <w:szCs w:val="18"/>
          <w:lang w:val="en-US"/>
        </w:rPr>
        <w:t xml:space="preserve"> and identifying opportunities for local suppliers</w:t>
      </w:r>
      <w:r w:rsidR="00BA1E78">
        <w:rPr>
          <w:rFonts w:asciiTheme="minorHAnsi" w:hAnsiTheme="minorHAnsi" w:cstheme="minorHAnsi"/>
          <w:szCs w:val="18"/>
          <w:lang w:val="en-US"/>
        </w:rPr>
        <w:t>.</w:t>
      </w:r>
    </w:p>
    <w:p w14:paraId="0C945C29" w14:textId="41E89BCD" w:rsidR="00653DD4" w:rsidRPr="00653DD4" w:rsidRDefault="00653DD4" w:rsidP="00653DD4">
      <w:pPr>
        <w:jc w:val="both"/>
        <w:rPr>
          <w:rFonts w:asciiTheme="minorHAnsi" w:hAnsiTheme="minorHAnsi" w:cstheme="minorHAnsi"/>
          <w:b/>
          <w:szCs w:val="18"/>
          <w:lang w:val="en-US"/>
        </w:rPr>
      </w:pPr>
      <w:r w:rsidRPr="00653DD4">
        <w:rPr>
          <w:rFonts w:asciiTheme="minorHAnsi" w:hAnsiTheme="minorHAnsi" w:cstheme="minorHAnsi"/>
          <w:b/>
          <w:szCs w:val="18"/>
          <w:lang w:val="en-US"/>
        </w:rPr>
        <w:t>Employment Commitment</w:t>
      </w:r>
    </w:p>
    <w:p w14:paraId="4A40789D" w14:textId="053A215E" w:rsidR="00653DD4" w:rsidRPr="00653DD4" w:rsidRDefault="00653DD4" w:rsidP="00653DD4">
      <w:pPr>
        <w:numPr>
          <w:ilvl w:val="0"/>
          <w:numId w:val="22"/>
        </w:numPr>
        <w:jc w:val="both"/>
        <w:rPr>
          <w:rFonts w:asciiTheme="minorHAnsi" w:hAnsiTheme="minorHAnsi" w:cstheme="minorHAnsi"/>
          <w:szCs w:val="18"/>
          <w:lang w:val="en-US"/>
        </w:rPr>
      </w:pPr>
      <w:r w:rsidRPr="00653DD4">
        <w:rPr>
          <w:rFonts w:asciiTheme="minorHAnsi" w:hAnsiTheme="minorHAnsi" w:cstheme="minorHAnsi"/>
          <w:szCs w:val="18"/>
          <w:lang w:val="en-US"/>
        </w:rPr>
        <w:t xml:space="preserve">A primary objective of the Local Jobs First Policy is to promote employment and business growth by providing opportunities for local businesses. Agencies must consider the jobs outcomes of bids when awarding a contract. </w:t>
      </w:r>
    </w:p>
    <w:p w14:paraId="4B14F876" w14:textId="5FF748CE" w:rsidR="00653DD4" w:rsidRPr="00653DD4" w:rsidRDefault="00653DD4" w:rsidP="00653DD4">
      <w:pPr>
        <w:numPr>
          <w:ilvl w:val="0"/>
          <w:numId w:val="22"/>
        </w:numPr>
        <w:jc w:val="both"/>
        <w:rPr>
          <w:rFonts w:asciiTheme="minorHAnsi" w:hAnsiTheme="minorHAnsi" w:cstheme="minorHAnsi"/>
          <w:szCs w:val="18"/>
          <w:lang w:val="en-US"/>
        </w:rPr>
      </w:pPr>
      <w:r w:rsidRPr="00653DD4">
        <w:rPr>
          <w:rFonts w:asciiTheme="minorHAnsi" w:hAnsiTheme="minorHAnsi" w:cstheme="minorHAnsi"/>
          <w:szCs w:val="18"/>
          <w:lang w:val="en-US"/>
        </w:rPr>
        <w:t>Calculate the number of retained and/or new jobs to be created in Australia and/or New Zealand during the life of this project. This number covers both your company and those from your supply chain, if you are using a supply chain.</w:t>
      </w:r>
    </w:p>
    <w:p w14:paraId="7DD37BC8" w14:textId="55BFB4FA" w:rsidR="00653DD4" w:rsidRDefault="00653DD4" w:rsidP="00653DD4">
      <w:pPr>
        <w:numPr>
          <w:ilvl w:val="0"/>
          <w:numId w:val="22"/>
        </w:numPr>
        <w:jc w:val="both"/>
        <w:rPr>
          <w:rFonts w:asciiTheme="minorHAnsi" w:hAnsiTheme="minorHAnsi" w:cstheme="minorHAnsi"/>
          <w:szCs w:val="18"/>
          <w:lang w:val="en-US"/>
        </w:rPr>
      </w:pPr>
      <w:r w:rsidRPr="00653DD4">
        <w:rPr>
          <w:rFonts w:asciiTheme="minorHAnsi" w:hAnsiTheme="minorHAnsi" w:cstheme="minorHAnsi"/>
          <w:szCs w:val="18"/>
          <w:lang w:val="en-US"/>
        </w:rPr>
        <w:t>A retained job means a job (one Annual Employee Equivalent) that has been working for a supplier or subcontractor before signing a project contract, working in tasks/works related to the project. This may also be referred to as an existing employee.</w:t>
      </w:r>
    </w:p>
    <w:p w14:paraId="48B10460" w14:textId="368EC5BE" w:rsidR="00653DD4" w:rsidRDefault="00653DD4" w:rsidP="00653DD4">
      <w:pPr>
        <w:numPr>
          <w:ilvl w:val="0"/>
          <w:numId w:val="22"/>
        </w:numPr>
        <w:jc w:val="both"/>
        <w:rPr>
          <w:rFonts w:asciiTheme="minorHAnsi" w:hAnsiTheme="minorHAnsi" w:cstheme="minorHAnsi"/>
          <w:szCs w:val="18"/>
          <w:lang w:val="en-US"/>
        </w:rPr>
      </w:pPr>
      <w:r w:rsidRPr="00653DD4">
        <w:rPr>
          <w:rFonts w:asciiTheme="minorHAnsi" w:hAnsiTheme="minorHAnsi" w:cstheme="minorHAnsi"/>
          <w:szCs w:val="18"/>
          <w:lang w:val="en-US"/>
        </w:rPr>
        <w:t>A new job means a job (one Annual Employee Equivalent) that has been specifically employed by a supplier or subcontractors, because of the work generated by a specific project.</w:t>
      </w:r>
    </w:p>
    <w:p w14:paraId="23FBB3BF" w14:textId="2A1D7F7F" w:rsidR="00653DD4" w:rsidRPr="00653DD4" w:rsidRDefault="00653DD4" w:rsidP="00653DD4">
      <w:pPr>
        <w:numPr>
          <w:ilvl w:val="0"/>
          <w:numId w:val="22"/>
        </w:numPr>
        <w:jc w:val="both"/>
        <w:rPr>
          <w:rFonts w:asciiTheme="minorHAnsi" w:hAnsiTheme="minorHAnsi" w:cstheme="minorHAnsi"/>
          <w:szCs w:val="18"/>
          <w:lang w:val="en-US"/>
        </w:rPr>
      </w:pPr>
      <w:r w:rsidRPr="00653DD4">
        <w:rPr>
          <w:rFonts w:asciiTheme="minorHAnsi" w:hAnsiTheme="minorHAnsi" w:cstheme="minorHAnsi"/>
          <w:szCs w:val="18"/>
          <w:lang w:val="en-US"/>
        </w:rPr>
        <w:lastRenderedPageBreak/>
        <w:t>Annual Employee Equivalent (AEE) is used in place of Full Time Equivalence (FTE). Created/retained numbers must be provided in AEE. Annualized Employee Equivalent is calculated by dividing the total paid hours of the contract by 1,976. 1,976 reflects the total full-time working hours paid yearly to a full-time employee (38 hours per week for 52 weeks). Agencies will not give a higher weighting for more created or retained jobs – they will be considered equal.</w:t>
      </w:r>
    </w:p>
    <w:p w14:paraId="1C7A26E6" w14:textId="7D2B6E8D" w:rsidR="00653DD4" w:rsidRPr="00653DD4" w:rsidRDefault="00653DD4" w:rsidP="00653DD4">
      <w:pPr>
        <w:jc w:val="both"/>
        <w:rPr>
          <w:rFonts w:asciiTheme="minorHAnsi" w:hAnsiTheme="minorHAnsi" w:cstheme="minorHAnsi"/>
          <w:b/>
          <w:szCs w:val="18"/>
          <w:lang w:val="en-US"/>
        </w:rPr>
      </w:pPr>
      <w:r>
        <w:rPr>
          <w:rFonts w:asciiTheme="minorHAnsi" w:hAnsiTheme="minorHAnsi" w:cstheme="minorHAnsi"/>
          <w:b/>
          <w:szCs w:val="18"/>
          <w:lang w:val="en-US"/>
        </w:rPr>
        <w:t>Importance of the LIDP</w:t>
      </w:r>
    </w:p>
    <w:p w14:paraId="6DD70C44" w14:textId="66BAB5F3" w:rsidR="00653DD4" w:rsidRPr="00653DD4" w:rsidRDefault="00653DD4" w:rsidP="00653DD4">
      <w:pPr>
        <w:numPr>
          <w:ilvl w:val="0"/>
          <w:numId w:val="22"/>
        </w:numPr>
        <w:jc w:val="both"/>
        <w:rPr>
          <w:rFonts w:asciiTheme="minorHAnsi" w:hAnsiTheme="minorHAnsi" w:cstheme="minorHAnsi"/>
          <w:szCs w:val="18"/>
          <w:lang w:val="en-US"/>
        </w:rPr>
      </w:pPr>
      <w:r>
        <w:rPr>
          <w:rFonts w:asciiTheme="minorHAnsi" w:hAnsiTheme="minorHAnsi" w:cstheme="minorHAnsi"/>
          <w:szCs w:val="18"/>
          <w:lang w:val="en-US"/>
        </w:rPr>
        <w:t>The LIDP will be used in the tender to inform the 20 per cent Local Jobs First weightings, and commitments made in the document will be included in the contract of the successful bidder.</w:t>
      </w:r>
    </w:p>
    <w:p w14:paraId="3C457164" w14:textId="0632A7F2" w:rsidR="00C275C5" w:rsidRPr="00D40534" w:rsidRDefault="00C275C5" w:rsidP="001E04C5">
      <w:pPr>
        <w:spacing w:before="0" w:line="276" w:lineRule="auto"/>
        <w:jc w:val="both"/>
        <w:rPr>
          <w:rFonts w:asciiTheme="minorHAnsi" w:hAnsiTheme="minorHAnsi" w:cstheme="minorHAnsi"/>
          <w:b/>
          <w:sz w:val="20"/>
          <w:szCs w:val="18"/>
        </w:rPr>
      </w:pPr>
      <w:bookmarkStart w:id="32" w:name="_Hlk29909828"/>
      <w:r w:rsidRPr="00D40534">
        <w:rPr>
          <w:rFonts w:asciiTheme="minorHAnsi" w:hAnsiTheme="minorHAnsi" w:cstheme="minorHAnsi"/>
          <w:b/>
          <w:sz w:val="20"/>
          <w:szCs w:val="18"/>
        </w:rPr>
        <w:t xml:space="preserve">Step </w:t>
      </w:r>
      <w:r w:rsidR="00077CDB" w:rsidRPr="00D40534">
        <w:rPr>
          <w:rFonts w:asciiTheme="minorHAnsi" w:hAnsiTheme="minorHAnsi" w:cstheme="minorHAnsi"/>
          <w:b/>
          <w:sz w:val="20"/>
          <w:szCs w:val="18"/>
        </w:rPr>
        <w:t>3</w:t>
      </w:r>
      <w:r w:rsidRPr="00D40534">
        <w:rPr>
          <w:rFonts w:asciiTheme="minorHAnsi" w:hAnsiTheme="minorHAnsi" w:cstheme="minorHAnsi"/>
          <w:b/>
          <w:sz w:val="20"/>
          <w:szCs w:val="18"/>
        </w:rPr>
        <w:t xml:space="preserve"> – </w:t>
      </w:r>
      <w:r w:rsidR="0033770A">
        <w:rPr>
          <w:rFonts w:asciiTheme="minorHAnsi" w:hAnsiTheme="minorHAnsi" w:cstheme="minorHAnsi"/>
          <w:b/>
          <w:sz w:val="20"/>
          <w:szCs w:val="18"/>
        </w:rPr>
        <w:t>S</w:t>
      </w:r>
      <w:r w:rsidRPr="00D40534">
        <w:rPr>
          <w:rFonts w:asciiTheme="minorHAnsi" w:hAnsiTheme="minorHAnsi" w:cstheme="minorHAnsi"/>
          <w:b/>
          <w:sz w:val="20"/>
          <w:szCs w:val="18"/>
        </w:rPr>
        <w:t xml:space="preserve">ubmitting </w:t>
      </w:r>
      <w:r w:rsidR="000830CF">
        <w:rPr>
          <w:rFonts w:asciiTheme="minorHAnsi" w:hAnsiTheme="minorHAnsi" w:cstheme="minorHAnsi"/>
          <w:b/>
          <w:sz w:val="20"/>
          <w:szCs w:val="18"/>
        </w:rPr>
        <w:t>an LIDP</w:t>
      </w:r>
      <w:r w:rsidRPr="00D40534">
        <w:rPr>
          <w:rFonts w:asciiTheme="minorHAnsi" w:hAnsiTheme="minorHAnsi" w:cstheme="minorHAnsi"/>
          <w:b/>
          <w:sz w:val="20"/>
          <w:szCs w:val="18"/>
        </w:rPr>
        <w:t xml:space="preserve"> to ICN</w:t>
      </w:r>
    </w:p>
    <w:p w14:paraId="5C0B8C05" w14:textId="75DDF7E8" w:rsidR="00C275C5" w:rsidRPr="00C95676" w:rsidRDefault="00C275C5" w:rsidP="00C95676">
      <w:pPr>
        <w:numPr>
          <w:ilvl w:val="0"/>
          <w:numId w:val="22"/>
        </w:numPr>
        <w:spacing w:before="0"/>
        <w:jc w:val="both"/>
        <w:rPr>
          <w:rFonts w:cs="Arial"/>
          <w:szCs w:val="18"/>
        </w:rPr>
      </w:pPr>
      <w:r w:rsidRPr="00C95676">
        <w:rPr>
          <w:rFonts w:cs="Arial"/>
          <w:szCs w:val="18"/>
        </w:rPr>
        <w:t xml:space="preserve">All fields within the online LIDP must be completed before it can be submitted. </w:t>
      </w:r>
    </w:p>
    <w:p w14:paraId="364A3C66" w14:textId="38944192" w:rsidR="00C275C5" w:rsidRPr="00C95676" w:rsidRDefault="00C275C5" w:rsidP="00C95676">
      <w:pPr>
        <w:numPr>
          <w:ilvl w:val="0"/>
          <w:numId w:val="22"/>
        </w:numPr>
        <w:spacing w:before="0"/>
        <w:jc w:val="both"/>
        <w:rPr>
          <w:rFonts w:cs="Arial"/>
          <w:szCs w:val="18"/>
        </w:rPr>
      </w:pPr>
      <w:r w:rsidRPr="00C95676">
        <w:rPr>
          <w:rFonts w:cs="Arial"/>
          <w:szCs w:val="18"/>
        </w:rPr>
        <w:t xml:space="preserve">If </w:t>
      </w:r>
      <w:r w:rsidR="006F16A0">
        <w:rPr>
          <w:rFonts w:cs="Arial"/>
          <w:szCs w:val="18"/>
        </w:rPr>
        <w:t xml:space="preserve">you wish to submit </w:t>
      </w:r>
      <w:r w:rsidR="000830CF">
        <w:rPr>
          <w:rFonts w:cs="Arial"/>
          <w:szCs w:val="18"/>
        </w:rPr>
        <w:t>an LIDP</w:t>
      </w:r>
      <w:r w:rsidR="006F16A0">
        <w:rPr>
          <w:rFonts w:cs="Arial"/>
          <w:szCs w:val="18"/>
        </w:rPr>
        <w:t xml:space="preserve"> after the tender close date, contact the agency. </w:t>
      </w:r>
    </w:p>
    <w:p w14:paraId="0212285C" w14:textId="551AC17F" w:rsidR="00510334" w:rsidRPr="00C95676" w:rsidRDefault="00C275C5" w:rsidP="00C95676">
      <w:pPr>
        <w:numPr>
          <w:ilvl w:val="0"/>
          <w:numId w:val="22"/>
        </w:numPr>
        <w:spacing w:before="0"/>
        <w:jc w:val="both"/>
        <w:rPr>
          <w:rFonts w:cs="Arial"/>
          <w:szCs w:val="18"/>
        </w:rPr>
      </w:pPr>
      <w:r w:rsidRPr="00C95676">
        <w:rPr>
          <w:rFonts w:cs="Arial"/>
          <w:szCs w:val="18"/>
        </w:rPr>
        <w:t xml:space="preserve">The </w:t>
      </w:r>
      <w:r w:rsidR="00D05F67">
        <w:rPr>
          <w:rFonts w:cs="Arial"/>
          <w:szCs w:val="18"/>
        </w:rPr>
        <w:t>a</w:t>
      </w:r>
      <w:r w:rsidRPr="00C95676">
        <w:rPr>
          <w:rFonts w:cs="Arial"/>
          <w:szCs w:val="18"/>
        </w:rPr>
        <w:t>gency will notify</w:t>
      </w:r>
      <w:r w:rsidR="0077109F" w:rsidRPr="00C95676">
        <w:rPr>
          <w:rFonts w:cs="Arial"/>
          <w:szCs w:val="18"/>
        </w:rPr>
        <w:t xml:space="preserve"> the</w:t>
      </w:r>
      <w:r w:rsidRPr="00C95676">
        <w:rPr>
          <w:rFonts w:cs="Arial"/>
          <w:szCs w:val="18"/>
        </w:rPr>
        <w:t xml:space="preserve"> ICN and all bidders on whether an extension has been allowed and will advise on the revised due date for all LIDP</w:t>
      </w:r>
      <w:r w:rsidR="00350DFF" w:rsidRPr="00C95676">
        <w:rPr>
          <w:rFonts w:cs="Arial"/>
          <w:szCs w:val="18"/>
        </w:rPr>
        <w:t>s</w:t>
      </w:r>
      <w:r w:rsidRPr="00C95676">
        <w:rPr>
          <w:rFonts w:cs="Arial"/>
          <w:szCs w:val="18"/>
        </w:rPr>
        <w:t xml:space="preserve">. The </w:t>
      </w:r>
      <w:r w:rsidR="00D05F67">
        <w:rPr>
          <w:rFonts w:cs="Arial"/>
          <w:szCs w:val="18"/>
        </w:rPr>
        <w:t xml:space="preserve">agency </w:t>
      </w:r>
      <w:r w:rsidRPr="00C95676">
        <w:rPr>
          <w:rFonts w:cs="Arial"/>
          <w:szCs w:val="18"/>
        </w:rPr>
        <w:t xml:space="preserve">will then revise the timeline on the </w:t>
      </w:r>
      <w:r w:rsidR="00350DFF" w:rsidRPr="00C95676">
        <w:rPr>
          <w:rFonts w:cs="Arial"/>
          <w:szCs w:val="18"/>
        </w:rPr>
        <w:t>VMC</w:t>
      </w:r>
      <w:r w:rsidRPr="00C95676">
        <w:rPr>
          <w:rFonts w:cs="Arial"/>
          <w:szCs w:val="18"/>
        </w:rPr>
        <w:t xml:space="preserve"> as appropriate. </w:t>
      </w:r>
    </w:p>
    <w:p w14:paraId="0D7E4E0E" w14:textId="2DB00596" w:rsidR="00ED4D0B" w:rsidRPr="00ED4D0B" w:rsidRDefault="00291CBA" w:rsidP="00ED4D0B">
      <w:pPr>
        <w:numPr>
          <w:ilvl w:val="0"/>
          <w:numId w:val="22"/>
        </w:numPr>
        <w:spacing w:before="0"/>
        <w:jc w:val="both"/>
        <w:rPr>
          <w:rFonts w:cs="Arial"/>
          <w:szCs w:val="18"/>
        </w:rPr>
      </w:pPr>
      <w:r w:rsidRPr="00ED4D0B">
        <w:rPr>
          <w:rFonts w:cs="Arial"/>
          <w:szCs w:val="18"/>
        </w:rPr>
        <w:t xml:space="preserve">Bidders </w:t>
      </w:r>
      <w:r w:rsidR="00ED4D0B" w:rsidRPr="00ED4D0B">
        <w:rPr>
          <w:rFonts w:cs="Arial"/>
          <w:szCs w:val="18"/>
        </w:rPr>
        <w:t>should</w:t>
      </w:r>
      <w:r w:rsidR="00C275C5" w:rsidRPr="00ED4D0B">
        <w:rPr>
          <w:rFonts w:cs="Arial"/>
          <w:szCs w:val="18"/>
        </w:rPr>
        <w:t xml:space="preserve"> allow time for ICN to acknowledge </w:t>
      </w:r>
      <w:bookmarkStart w:id="33" w:name="_Hlk524332226"/>
      <w:r w:rsidR="00ED4D0B" w:rsidRPr="00ED4D0B">
        <w:rPr>
          <w:rFonts w:cs="Arial"/>
          <w:szCs w:val="18"/>
        </w:rPr>
        <w:t xml:space="preserve">the </w:t>
      </w:r>
      <w:r w:rsidR="00C275C5" w:rsidRPr="00ED4D0B">
        <w:rPr>
          <w:rFonts w:cs="Arial"/>
          <w:szCs w:val="18"/>
        </w:rPr>
        <w:t>LIDP</w:t>
      </w:r>
      <w:r w:rsidR="00ED4D0B" w:rsidRPr="00ED4D0B">
        <w:rPr>
          <w:rFonts w:cs="Arial"/>
          <w:szCs w:val="18"/>
        </w:rPr>
        <w:t>.</w:t>
      </w:r>
      <w:r w:rsidR="00C275C5" w:rsidRPr="00ED4D0B">
        <w:rPr>
          <w:rFonts w:cs="Arial"/>
          <w:szCs w:val="18"/>
        </w:rPr>
        <w:t xml:space="preserve"> </w:t>
      </w:r>
      <w:bookmarkEnd w:id="33"/>
    </w:p>
    <w:p w14:paraId="36E9D564" w14:textId="261567CA" w:rsidR="00C275C5" w:rsidRPr="00C95676" w:rsidRDefault="00E15C78" w:rsidP="00C95676">
      <w:pPr>
        <w:numPr>
          <w:ilvl w:val="0"/>
          <w:numId w:val="22"/>
        </w:numPr>
        <w:spacing w:before="0"/>
        <w:jc w:val="both"/>
        <w:rPr>
          <w:rFonts w:cs="Arial"/>
          <w:szCs w:val="18"/>
        </w:rPr>
      </w:pPr>
      <w:r w:rsidRPr="00ED31F6">
        <w:rPr>
          <w:rFonts w:cs="Arial"/>
          <w:szCs w:val="18"/>
        </w:rPr>
        <w:t xml:space="preserve">The </w:t>
      </w:r>
      <w:r w:rsidR="00C275C5" w:rsidRPr="00C95676">
        <w:rPr>
          <w:rFonts w:cs="Arial"/>
          <w:szCs w:val="18"/>
        </w:rPr>
        <w:t xml:space="preserve">ICN will review each bidder’s LIDP </w:t>
      </w:r>
      <w:r w:rsidR="00282478">
        <w:rPr>
          <w:rFonts w:cs="Arial"/>
          <w:szCs w:val="18"/>
        </w:rPr>
        <w:t>and consider completeness, compliance and</w:t>
      </w:r>
      <w:r w:rsidR="0033770A">
        <w:rPr>
          <w:rFonts w:cs="Arial"/>
          <w:szCs w:val="18"/>
        </w:rPr>
        <w:t xml:space="preserve"> quality</w:t>
      </w:r>
      <w:r w:rsidR="00282478">
        <w:rPr>
          <w:rFonts w:cs="Arial"/>
          <w:szCs w:val="18"/>
        </w:rPr>
        <w:t xml:space="preserve"> of the information. </w:t>
      </w:r>
    </w:p>
    <w:p w14:paraId="2BC1AD3B" w14:textId="05A09CE4" w:rsidR="00C275C5" w:rsidRPr="00C95676" w:rsidRDefault="00E15C78" w:rsidP="00C95676">
      <w:pPr>
        <w:numPr>
          <w:ilvl w:val="0"/>
          <w:numId w:val="22"/>
        </w:numPr>
        <w:spacing w:before="0"/>
        <w:jc w:val="both"/>
        <w:rPr>
          <w:rFonts w:cs="Arial"/>
          <w:szCs w:val="18"/>
        </w:rPr>
      </w:pPr>
      <w:r w:rsidRPr="00ED31F6">
        <w:rPr>
          <w:rFonts w:cs="Arial"/>
          <w:szCs w:val="18"/>
        </w:rPr>
        <w:t xml:space="preserve">The </w:t>
      </w:r>
      <w:r w:rsidR="00C275C5" w:rsidRPr="00C95676">
        <w:rPr>
          <w:rFonts w:cs="Arial"/>
          <w:szCs w:val="18"/>
        </w:rPr>
        <w:t xml:space="preserve">ICN will </w:t>
      </w:r>
      <w:r w:rsidR="00282478">
        <w:rPr>
          <w:rFonts w:cs="Arial"/>
          <w:szCs w:val="18"/>
        </w:rPr>
        <w:t xml:space="preserve">issue </w:t>
      </w:r>
      <w:r w:rsidR="00C275C5" w:rsidRPr="00C95676">
        <w:rPr>
          <w:rFonts w:cs="Arial"/>
          <w:szCs w:val="18"/>
        </w:rPr>
        <w:t xml:space="preserve">an </w:t>
      </w:r>
      <w:r w:rsidR="0055443C">
        <w:rPr>
          <w:rFonts w:cs="Arial"/>
          <w:szCs w:val="18"/>
        </w:rPr>
        <w:t>Acknowledgement Letter</w:t>
      </w:r>
      <w:r w:rsidR="00C275C5" w:rsidRPr="00C95676">
        <w:rPr>
          <w:rFonts w:cs="Arial"/>
          <w:szCs w:val="18"/>
        </w:rPr>
        <w:t xml:space="preserve"> to respective bidders that have </w:t>
      </w:r>
      <w:r w:rsidR="00282478">
        <w:rPr>
          <w:rFonts w:cs="Arial"/>
          <w:szCs w:val="18"/>
        </w:rPr>
        <w:t xml:space="preserve">submitted </w:t>
      </w:r>
      <w:r w:rsidR="00E7683B" w:rsidRPr="00C95676">
        <w:rPr>
          <w:rFonts w:cs="Arial"/>
          <w:szCs w:val="18"/>
        </w:rPr>
        <w:t>a</w:t>
      </w:r>
      <w:r w:rsidR="00C275C5" w:rsidRPr="00C95676">
        <w:rPr>
          <w:rFonts w:cs="Arial"/>
          <w:szCs w:val="18"/>
        </w:rPr>
        <w:t xml:space="preserve"> </w:t>
      </w:r>
      <w:r w:rsidR="00282478">
        <w:rPr>
          <w:rFonts w:cs="Arial"/>
          <w:szCs w:val="18"/>
        </w:rPr>
        <w:t xml:space="preserve">complete and compliant </w:t>
      </w:r>
      <w:r w:rsidR="00C275C5" w:rsidRPr="00C95676">
        <w:rPr>
          <w:rFonts w:cs="Arial"/>
          <w:szCs w:val="18"/>
        </w:rPr>
        <w:t xml:space="preserve">LIDP. This can take </w:t>
      </w:r>
      <w:r w:rsidR="0033770A">
        <w:rPr>
          <w:rFonts w:cs="Arial"/>
          <w:szCs w:val="18"/>
        </w:rPr>
        <w:t xml:space="preserve">a </w:t>
      </w:r>
      <w:r w:rsidR="0033770A" w:rsidRPr="00C95676">
        <w:rPr>
          <w:rFonts w:cs="Arial"/>
          <w:szCs w:val="18"/>
        </w:rPr>
        <w:t>minimum</w:t>
      </w:r>
      <w:r w:rsidR="0033770A">
        <w:rPr>
          <w:rFonts w:cs="Arial"/>
          <w:szCs w:val="18"/>
        </w:rPr>
        <w:t xml:space="preserve"> of</w:t>
      </w:r>
      <w:r w:rsidR="0033770A" w:rsidRPr="00C95676">
        <w:rPr>
          <w:rFonts w:cs="Arial"/>
          <w:szCs w:val="18"/>
        </w:rPr>
        <w:t xml:space="preserve"> </w:t>
      </w:r>
      <w:r w:rsidR="00C275C5" w:rsidRPr="00C95676">
        <w:rPr>
          <w:rFonts w:cs="Arial"/>
          <w:szCs w:val="18"/>
        </w:rPr>
        <w:t>two to three working day</w:t>
      </w:r>
      <w:r w:rsidR="00223E14" w:rsidRPr="00C95676">
        <w:rPr>
          <w:rFonts w:cs="Arial"/>
          <w:szCs w:val="18"/>
        </w:rPr>
        <w:t>s</w:t>
      </w:r>
      <w:r w:rsidR="00C275C5" w:rsidRPr="00C95676">
        <w:rPr>
          <w:rFonts w:cs="Arial"/>
          <w:szCs w:val="18"/>
        </w:rPr>
        <w:t>.</w:t>
      </w:r>
    </w:p>
    <w:p w14:paraId="6271D5C2" w14:textId="31DC2301" w:rsidR="004C4418" w:rsidRPr="00C95676" w:rsidRDefault="00E15C78" w:rsidP="00C95676">
      <w:pPr>
        <w:numPr>
          <w:ilvl w:val="0"/>
          <w:numId w:val="22"/>
        </w:numPr>
        <w:spacing w:before="0"/>
        <w:jc w:val="both"/>
        <w:rPr>
          <w:rFonts w:cs="Arial"/>
          <w:szCs w:val="18"/>
        </w:rPr>
      </w:pPr>
      <w:r w:rsidRPr="00ED31F6">
        <w:rPr>
          <w:rFonts w:cs="Arial"/>
          <w:szCs w:val="18"/>
        </w:rPr>
        <w:t xml:space="preserve">The </w:t>
      </w:r>
      <w:r w:rsidR="004C4418" w:rsidRPr="00C95676">
        <w:rPr>
          <w:rFonts w:cs="Arial"/>
          <w:szCs w:val="18"/>
        </w:rPr>
        <w:t xml:space="preserve">ICN will only issue the </w:t>
      </w:r>
      <w:r w:rsidR="0055443C">
        <w:rPr>
          <w:rFonts w:cs="Arial"/>
          <w:szCs w:val="18"/>
        </w:rPr>
        <w:t>Acknowledgement Letter</w:t>
      </w:r>
      <w:r w:rsidR="004C4418" w:rsidRPr="00C95676">
        <w:rPr>
          <w:rFonts w:cs="Arial"/>
          <w:szCs w:val="18"/>
        </w:rPr>
        <w:t xml:space="preserve"> if:</w:t>
      </w:r>
    </w:p>
    <w:p w14:paraId="44224C91" w14:textId="6F2131FA" w:rsidR="004C4418" w:rsidRPr="00C95676" w:rsidRDefault="00047FE9" w:rsidP="005D3545">
      <w:pPr>
        <w:numPr>
          <w:ilvl w:val="0"/>
          <w:numId w:val="23"/>
        </w:numPr>
        <w:spacing w:before="0"/>
        <w:jc w:val="both"/>
        <w:rPr>
          <w:rFonts w:cs="Arial"/>
          <w:szCs w:val="18"/>
        </w:rPr>
      </w:pPr>
      <w:r w:rsidRPr="00C95676">
        <w:rPr>
          <w:rFonts w:cs="Arial"/>
          <w:szCs w:val="18"/>
        </w:rPr>
        <w:t xml:space="preserve">all </w:t>
      </w:r>
      <w:r w:rsidR="004C4418" w:rsidRPr="00C95676">
        <w:rPr>
          <w:rFonts w:cs="Arial"/>
          <w:szCs w:val="18"/>
        </w:rPr>
        <w:t xml:space="preserve">sections of the </w:t>
      </w:r>
      <w:r w:rsidRPr="00C95676">
        <w:rPr>
          <w:rFonts w:cs="Arial"/>
          <w:szCs w:val="18"/>
        </w:rPr>
        <w:t xml:space="preserve">LIDP </w:t>
      </w:r>
      <w:r w:rsidR="004C4418" w:rsidRPr="00C95676">
        <w:rPr>
          <w:rFonts w:cs="Arial"/>
          <w:szCs w:val="18"/>
        </w:rPr>
        <w:t xml:space="preserve">are fully complete; </w:t>
      </w:r>
    </w:p>
    <w:p w14:paraId="156BEE03" w14:textId="190F8EE0" w:rsidR="00282478" w:rsidRDefault="00047FE9" w:rsidP="005D3545">
      <w:pPr>
        <w:numPr>
          <w:ilvl w:val="0"/>
          <w:numId w:val="23"/>
        </w:numPr>
        <w:spacing w:before="0"/>
        <w:jc w:val="both"/>
        <w:rPr>
          <w:rFonts w:cs="Arial"/>
          <w:szCs w:val="18"/>
        </w:rPr>
      </w:pPr>
      <w:r w:rsidRPr="00C95676">
        <w:rPr>
          <w:rFonts w:cs="Arial"/>
          <w:szCs w:val="18"/>
        </w:rPr>
        <w:t xml:space="preserve">the LIDP </w:t>
      </w:r>
      <w:r w:rsidR="004C4418" w:rsidRPr="00C95676">
        <w:rPr>
          <w:rFonts w:cs="Arial"/>
          <w:szCs w:val="18"/>
        </w:rPr>
        <w:t>has been submitted within the specified tender timeframe</w:t>
      </w:r>
      <w:r w:rsidR="005079D0">
        <w:rPr>
          <w:rFonts w:cs="Arial"/>
          <w:szCs w:val="18"/>
        </w:rPr>
        <w:t>;</w:t>
      </w:r>
    </w:p>
    <w:p w14:paraId="72E02F63" w14:textId="027E0A9B" w:rsidR="004C4418" w:rsidRPr="00C95676" w:rsidRDefault="00282478" w:rsidP="005D3545">
      <w:pPr>
        <w:numPr>
          <w:ilvl w:val="0"/>
          <w:numId w:val="23"/>
        </w:numPr>
        <w:spacing w:before="0"/>
        <w:jc w:val="both"/>
        <w:rPr>
          <w:rFonts w:cs="Arial"/>
          <w:szCs w:val="18"/>
        </w:rPr>
      </w:pPr>
      <w:r>
        <w:rPr>
          <w:rFonts w:cs="Arial"/>
          <w:szCs w:val="18"/>
        </w:rPr>
        <w:t>the information provided in the LIDP can be assessed</w:t>
      </w:r>
      <w:r w:rsidR="00E7683B" w:rsidRPr="00C95676">
        <w:rPr>
          <w:rFonts w:cs="Arial"/>
          <w:szCs w:val="18"/>
        </w:rPr>
        <w:t>;</w:t>
      </w:r>
      <w:r w:rsidR="0033770A">
        <w:rPr>
          <w:rFonts w:cs="Arial"/>
          <w:szCs w:val="18"/>
        </w:rPr>
        <w:t xml:space="preserve"> and</w:t>
      </w:r>
    </w:p>
    <w:p w14:paraId="0D84C368" w14:textId="6C37995A" w:rsidR="000B1D2B" w:rsidRPr="006875FB" w:rsidRDefault="00047FE9" w:rsidP="006875FB">
      <w:pPr>
        <w:numPr>
          <w:ilvl w:val="0"/>
          <w:numId w:val="23"/>
        </w:numPr>
        <w:spacing w:before="0"/>
        <w:jc w:val="both"/>
        <w:rPr>
          <w:rFonts w:cs="Arial"/>
          <w:szCs w:val="18"/>
        </w:rPr>
      </w:pPr>
      <w:r w:rsidRPr="00C95676">
        <w:rPr>
          <w:rFonts w:cs="Arial"/>
          <w:szCs w:val="18"/>
        </w:rPr>
        <w:t xml:space="preserve">the </w:t>
      </w:r>
      <w:r w:rsidR="004C4418" w:rsidRPr="00C95676">
        <w:rPr>
          <w:rFonts w:cs="Arial"/>
          <w:szCs w:val="18"/>
        </w:rPr>
        <w:t>Statutory Declaration and all other conditions are agreed, including monitoring, reporting, auditing and compliance.</w:t>
      </w:r>
    </w:p>
    <w:p w14:paraId="73FDEEEF" w14:textId="6D74B9C5" w:rsidR="00C275C5" w:rsidRDefault="00E15C78" w:rsidP="00C95676">
      <w:pPr>
        <w:numPr>
          <w:ilvl w:val="0"/>
          <w:numId w:val="22"/>
        </w:numPr>
        <w:spacing w:before="0"/>
        <w:jc w:val="both"/>
        <w:rPr>
          <w:rFonts w:cs="Arial"/>
          <w:szCs w:val="18"/>
        </w:rPr>
      </w:pPr>
      <w:r w:rsidRPr="00ED31F6">
        <w:rPr>
          <w:rFonts w:cs="Arial"/>
          <w:szCs w:val="18"/>
        </w:rPr>
        <w:t xml:space="preserve">The </w:t>
      </w:r>
      <w:r w:rsidR="00C275C5" w:rsidRPr="00C95676">
        <w:rPr>
          <w:rFonts w:cs="Arial"/>
          <w:szCs w:val="18"/>
        </w:rPr>
        <w:t>ICN will also issue the Agency with a</w:t>
      </w:r>
      <w:r w:rsidR="0055443C">
        <w:rPr>
          <w:rFonts w:cs="Arial"/>
          <w:szCs w:val="18"/>
        </w:rPr>
        <w:t>n</w:t>
      </w:r>
      <w:r w:rsidR="00C275C5" w:rsidRPr="00C95676">
        <w:rPr>
          <w:rFonts w:cs="Arial"/>
          <w:szCs w:val="18"/>
        </w:rPr>
        <w:t xml:space="preserve"> L</w:t>
      </w:r>
      <w:r w:rsidR="00055580" w:rsidRPr="00C95676">
        <w:rPr>
          <w:rFonts w:cs="Arial"/>
          <w:szCs w:val="18"/>
        </w:rPr>
        <w:t>JF</w:t>
      </w:r>
      <w:r w:rsidR="00C275C5" w:rsidRPr="00C95676">
        <w:rPr>
          <w:rFonts w:cs="Arial"/>
          <w:szCs w:val="18"/>
        </w:rPr>
        <w:t xml:space="preserve"> risk evaluation report, which assesses the achievability of the commitments made in each of the </w:t>
      </w:r>
      <w:r w:rsidR="00E7683B" w:rsidRPr="00C95676">
        <w:rPr>
          <w:rFonts w:cs="Arial"/>
          <w:szCs w:val="18"/>
        </w:rPr>
        <w:t>LIDPs</w:t>
      </w:r>
      <w:r w:rsidR="00C275C5" w:rsidRPr="00C95676">
        <w:rPr>
          <w:rFonts w:cs="Arial"/>
          <w:szCs w:val="18"/>
        </w:rPr>
        <w:t xml:space="preserve"> submitted by all bidders</w:t>
      </w:r>
      <w:r w:rsidR="0015196A" w:rsidRPr="0044374D">
        <w:rPr>
          <w:rFonts w:cs="Arial"/>
          <w:szCs w:val="18"/>
        </w:rPr>
        <w:t xml:space="preserve"> and provide</w:t>
      </w:r>
      <w:r w:rsidR="000E31AD">
        <w:rPr>
          <w:rFonts w:cs="Arial"/>
          <w:szCs w:val="18"/>
        </w:rPr>
        <w:t>s</w:t>
      </w:r>
      <w:r w:rsidR="0015196A" w:rsidRPr="0044374D">
        <w:rPr>
          <w:rFonts w:cs="Arial"/>
          <w:szCs w:val="18"/>
        </w:rPr>
        <w:t xml:space="preserve"> a risk rating of either high, medium or low. This risk rating reflects ICN’s expert opinion on how likely you are to meet the commitments you have made in your LIDP and allows for agencies to provide a full and fair opportunity to bidders. It is therefore very important to fill out the LIDP correctly and honestly.</w:t>
      </w:r>
    </w:p>
    <w:p w14:paraId="0B1D1330" w14:textId="77777777" w:rsidR="00ED4D0B" w:rsidRPr="00ED4D0B" w:rsidRDefault="00ED4D0B" w:rsidP="006C6B66">
      <w:pPr>
        <w:numPr>
          <w:ilvl w:val="0"/>
          <w:numId w:val="22"/>
        </w:numPr>
        <w:spacing w:before="0"/>
        <w:jc w:val="both"/>
        <w:rPr>
          <w:rFonts w:cs="Arial"/>
          <w:szCs w:val="18"/>
        </w:rPr>
      </w:pPr>
      <w:r w:rsidRPr="00ED4D0B">
        <w:rPr>
          <w:rFonts w:cs="Arial"/>
          <w:szCs w:val="18"/>
        </w:rPr>
        <w:t xml:space="preserve">The ICN will inform a bidder and the agency in writing if the bidder’s LIDP has been deemed non-compliant due to incompleteness or inaccessible information being provided. When this happens, a non-compliance letter will be issued instead. </w:t>
      </w:r>
    </w:p>
    <w:p w14:paraId="191CD375" w14:textId="0FE96FC5" w:rsidR="0044374D" w:rsidRPr="0044374D" w:rsidRDefault="0044374D" w:rsidP="0044374D">
      <w:pPr>
        <w:numPr>
          <w:ilvl w:val="0"/>
          <w:numId w:val="22"/>
        </w:numPr>
        <w:spacing w:before="0"/>
        <w:jc w:val="both"/>
        <w:rPr>
          <w:rFonts w:cs="Arial"/>
          <w:szCs w:val="18"/>
        </w:rPr>
      </w:pPr>
      <w:r w:rsidRPr="0044374D">
        <w:rPr>
          <w:rFonts w:cs="Arial"/>
          <w:szCs w:val="18"/>
        </w:rPr>
        <w:t>Agencies may request bidders re-submit an LIDP in order to rectify mistakes or clarify any points. If this changes the nature of the LIDP, then it must be revised and resubmitted to ICN for acknowledg</w:t>
      </w:r>
      <w:r w:rsidR="00E425F1">
        <w:rPr>
          <w:rFonts w:cs="Arial"/>
          <w:szCs w:val="18"/>
        </w:rPr>
        <w:t>e</w:t>
      </w:r>
      <w:r w:rsidRPr="0044374D">
        <w:rPr>
          <w:rFonts w:cs="Arial"/>
          <w:szCs w:val="18"/>
        </w:rPr>
        <w:t xml:space="preserve">ment through the VMC, and subsequent reassessment by the ICN and agency. </w:t>
      </w:r>
    </w:p>
    <w:p w14:paraId="29CF8164" w14:textId="5BF55691" w:rsidR="0044374D" w:rsidRPr="00683810" w:rsidRDefault="0044374D" w:rsidP="00683810">
      <w:pPr>
        <w:numPr>
          <w:ilvl w:val="0"/>
          <w:numId w:val="22"/>
        </w:numPr>
        <w:spacing w:before="0"/>
        <w:jc w:val="both"/>
        <w:rPr>
          <w:rFonts w:cs="Arial"/>
          <w:szCs w:val="18"/>
        </w:rPr>
      </w:pPr>
      <w:r w:rsidRPr="0044374D">
        <w:rPr>
          <w:rFonts w:cs="Arial"/>
          <w:szCs w:val="18"/>
        </w:rPr>
        <w:t xml:space="preserve">The agency’s project manager must notify the ICN that a bidder is going to revise their LIDP. Once a plan is re-submitted, it will go through the same process for an </w:t>
      </w:r>
      <w:r w:rsidR="0055443C">
        <w:rPr>
          <w:rFonts w:cs="Arial"/>
          <w:szCs w:val="18"/>
        </w:rPr>
        <w:t>Acknowledgement Letter</w:t>
      </w:r>
      <w:r w:rsidRPr="0044374D">
        <w:rPr>
          <w:rFonts w:cs="Arial"/>
          <w:szCs w:val="18"/>
        </w:rPr>
        <w:t xml:space="preserve"> and evaluation.</w:t>
      </w:r>
    </w:p>
    <w:p w14:paraId="7E109345" w14:textId="417E84E7" w:rsidR="00C275C5" w:rsidRPr="00D40534" w:rsidRDefault="00C275C5" w:rsidP="001E04C5">
      <w:pPr>
        <w:spacing w:before="0" w:line="276" w:lineRule="auto"/>
        <w:jc w:val="both"/>
        <w:rPr>
          <w:rFonts w:asciiTheme="minorHAnsi" w:hAnsiTheme="minorHAnsi" w:cstheme="minorHAnsi"/>
          <w:b/>
          <w:sz w:val="20"/>
          <w:szCs w:val="18"/>
          <w:lang w:val="en-US"/>
        </w:rPr>
      </w:pPr>
      <w:bookmarkStart w:id="34" w:name="_Hlk29909918"/>
      <w:bookmarkEnd w:id="32"/>
      <w:r w:rsidRPr="00D40534">
        <w:rPr>
          <w:rFonts w:asciiTheme="minorHAnsi" w:hAnsiTheme="minorHAnsi" w:cstheme="minorHAnsi"/>
          <w:b/>
          <w:sz w:val="20"/>
          <w:szCs w:val="18"/>
          <w:lang w:val="en-US"/>
        </w:rPr>
        <w:t xml:space="preserve">Step </w:t>
      </w:r>
      <w:r w:rsidR="00077CDB" w:rsidRPr="00D40534">
        <w:rPr>
          <w:rFonts w:asciiTheme="minorHAnsi" w:hAnsiTheme="minorHAnsi" w:cstheme="minorHAnsi"/>
          <w:b/>
          <w:sz w:val="20"/>
          <w:szCs w:val="18"/>
          <w:lang w:val="en-US"/>
        </w:rPr>
        <w:t>4</w:t>
      </w:r>
      <w:r w:rsidRPr="00D40534">
        <w:rPr>
          <w:rFonts w:asciiTheme="minorHAnsi" w:hAnsiTheme="minorHAnsi" w:cstheme="minorHAnsi"/>
          <w:b/>
          <w:sz w:val="20"/>
          <w:szCs w:val="18"/>
          <w:lang w:val="en-US"/>
        </w:rPr>
        <w:t xml:space="preserve"> – </w:t>
      </w:r>
      <w:r w:rsidR="0033770A">
        <w:rPr>
          <w:rFonts w:asciiTheme="minorHAnsi" w:hAnsiTheme="minorHAnsi" w:cstheme="minorHAnsi"/>
          <w:b/>
          <w:sz w:val="20"/>
          <w:szCs w:val="18"/>
          <w:lang w:val="en-US"/>
        </w:rPr>
        <w:t>S</w:t>
      </w:r>
      <w:r w:rsidRPr="00D40534">
        <w:rPr>
          <w:rFonts w:asciiTheme="minorHAnsi" w:hAnsiTheme="minorHAnsi" w:cstheme="minorHAnsi"/>
          <w:b/>
          <w:sz w:val="20"/>
          <w:szCs w:val="18"/>
          <w:lang w:val="en-US"/>
        </w:rPr>
        <w:t xml:space="preserve">ubmit LIDP and </w:t>
      </w:r>
      <w:r w:rsidR="0055443C">
        <w:rPr>
          <w:rFonts w:asciiTheme="minorHAnsi" w:hAnsiTheme="minorHAnsi" w:cstheme="minorHAnsi"/>
          <w:b/>
          <w:sz w:val="20"/>
          <w:szCs w:val="18"/>
          <w:lang w:val="en-US"/>
        </w:rPr>
        <w:t>Acknowledgement Letter</w:t>
      </w:r>
      <w:r w:rsidRPr="00D40534">
        <w:rPr>
          <w:rFonts w:asciiTheme="minorHAnsi" w:hAnsiTheme="minorHAnsi" w:cstheme="minorHAnsi"/>
          <w:b/>
          <w:sz w:val="20"/>
          <w:szCs w:val="18"/>
          <w:lang w:val="en-US"/>
        </w:rPr>
        <w:t xml:space="preserve"> to the Agency </w:t>
      </w:r>
    </w:p>
    <w:p w14:paraId="0F64B627" w14:textId="558B7247" w:rsidR="00C275C5" w:rsidRDefault="00282478" w:rsidP="006875FB">
      <w:pPr>
        <w:numPr>
          <w:ilvl w:val="0"/>
          <w:numId w:val="22"/>
        </w:numPr>
        <w:spacing w:before="0"/>
        <w:jc w:val="both"/>
        <w:rPr>
          <w:rFonts w:cs="Arial"/>
          <w:szCs w:val="18"/>
        </w:rPr>
      </w:pPr>
      <w:r>
        <w:rPr>
          <w:rFonts w:cs="Arial"/>
          <w:szCs w:val="18"/>
        </w:rPr>
        <w:t>B</w:t>
      </w:r>
      <w:r w:rsidR="00C275C5" w:rsidRPr="006875FB">
        <w:rPr>
          <w:rFonts w:cs="Arial"/>
          <w:szCs w:val="18"/>
        </w:rPr>
        <w:t xml:space="preserve">idders must submit their LIDP and </w:t>
      </w:r>
      <w:r w:rsidR="0055443C">
        <w:rPr>
          <w:rFonts w:cs="Arial"/>
          <w:szCs w:val="18"/>
        </w:rPr>
        <w:t>Acknowledgement Letter</w:t>
      </w:r>
      <w:r w:rsidR="00C275C5" w:rsidRPr="006875FB">
        <w:rPr>
          <w:rFonts w:cs="Arial"/>
          <w:szCs w:val="18"/>
        </w:rPr>
        <w:t xml:space="preserve"> to the Agenc</w:t>
      </w:r>
      <w:r>
        <w:rPr>
          <w:rFonts w:cs="Arial"/>
          <w:szCs w:val="18"/>
        </w:rPr>
        <w:t>y.</w:t>
      </w:r>
      <w:r w:rsidR="00C275C5" w:rsidRPr="006875FB">
        <w:rPr>
          <w:rFonts w:cs="Arial"/>
          <w:szCs w:val="18"/>
        </w:rPr>
        <w:t xml:space="preserve"> </w:t>
      </w:r>
    </w:p>
    <w:p w14:paraId="6AF5EEE7" w14:textId="1E153EAB" w:rsidR="000E31AD" w:rsidRDefault="00A31BA5" w:rsidP="00A31BA5">
      <w:pPr>
        <w:pStyle w:val="ListParagraph"/>
        <w:numPr>
          <w:ilvl w:val="0"/>
          <w:numId w:val="22"/>
        </w:numPr>
        <w:rPr>
          <w:rFonts w:ascii="Arial" w:hAnsi="Arial" w:cs="Arial"/>
          <w:sz w:val="18"/>
          <w:szCs w:val="18"/>
          <w:lang w:eastAsia="en-US"/>
        </w:rPr>
      </w:pPr>
      <w:r w:rsidRPr="00A31BA5">
        <w:rPr>
          <w:rFonts w:ascii="Arial" w:hAnsi="Arial" w:cs="Arial"/>
          <w:sz w:val="18"/>
          <w:szCs w:val="18"/>
          <w:lang w:eastAsia="en-US"/>
        </w:rPr>
        <w:t xml:space="preserve">The LIDP and </w:t>
      </w:r>
      <w:r w:rsidR="0055443C">
        <w:rPr>
          <w:rFonts w:ascii="Arial" w:hAnsi="Arial" w:cs="Arial"/>
          <w:sz w:val="18"/>
          <w:szCs w:val="18"/>
          <w:lang w:eastAsia="en-US"/>
        </w:rPr>
        <w:t>Acknowledgement Letter</w:t>
      </w:r>
      <w:r w:rsidRPr="00A31BA5">
        <w:rPr>
          <w:rFonts w:ascii="Arial" w:hAnsi="Arial" w:cs="Arial"/>
          <w:sz w:val="18"/>
          <w:szCs w:val="18"/>
          <w:lang w:eastAsia="en-US"/>
        </w:rPr>
        <w:t xml:space="preserve"> may be submitted in hard copy or electronically to the tender evaluation panel. </w:t>
      </w:r>
    </w:p>
    <w:p w14:paraId="1E75672A" w14:textId="77777777" w:rsidR="00A31BA5" w:rsidRPr="00A31BA5" w:rsidRDefault="00A31BA5" w:rsidP="00A31BA5">
      <w:pPr>
        <w:pStyle w:val="ListParagraph"/>
        <w:ind w:left="360"/>
        <w:rPr>
          <w:rFonts w:ascii="Arial" w:hAnsi="Arial" w:cs="Arial"/>
          <w:sz w:val="18"/>
          <w:szCs w:val="18"/>
          <w:lang w:eastAsia="en-US"/>
        </w:rPr>
      </w:pPr>
    </w:p>
    <w:p w14:paraId="51309726" w14:textId="341AD97F" w:rsidR="00A31BA5" w:rsidRPr="00A31BA5" w:rsidRDefault="000E31AD" w:rsidP="00A31BA5">
      <w:pPr>
        <w:numPr>
          <w:ilvl w:val="0"/>
          <w:numId w:val="22"/>
        </w:numPr>
        <w:spacing w:before="0"/>
        <w:jc w:val="both"/>
        <w:rPr>
          <w:rFonts w:cs="Arial"/>
          <w:szCs w:val="18"/>
        </w:rPr>
      </w:pPr>
      <w:r w:rsidRPr="000E31AD">
        <w:rPr>
          <w:rFonts w:cs="Arial"/>
          <w:szCs w:val="18"/>
        </w:rPr>
        <w:lastRenderedPageBreak/>
        <w:t xml:space="preserve">Agencies will apply a ‘risk discount’ in their assessment of your bid. If you get a high risk, you will automatically score a zero for the Local Jobs First weightings. If you get a medium risk, you may lose two points against the weightings. It </w:t>
      </w:r>
      <w:r w:rsidR="0033770A">
        <w:rPr>
          <w:rFonts w:cs="Arial"/>
          <w:szCs w:val="18"/>
        </w:rPr>
        <w:t xml:space="preserve">is </w:t>
      </w:r>
      <w:r w:rsidRPr="000E31AD">
        <w:rPr>
          <w:rFonts w:cs="Arial"/>
          <w:szCs w:val="18"/>
        </w:rPr>
        <w:t xml:space="preserve">therefore very important to get the right balance between committing to local content and jobs, but also being realistic in your assessment.  </w:t>
      </w:r>
    </w:p>
    <w:p w14:paraId="23035069" w14:textId="38EA1FE2" w:rsidR="00A31BA5" w:rsidRPr="00A31BA5" w:rsidRDefault="00A31BA5" w:rsidP="00A31BA5">
      <w:pPr>
        <w:numPr>
          <w:ilvl w:val="0"/>
          <w:numId w:val="22"/>
        </w:numPr>
        <w:spacing w:before="0"/>
        <w:jc w:val="both"/>
        <w:rPr>
          <w:rFonts w:cs="Arial"/>
          <w:szCs w:val="18"/>
        </w:rPr>
      </w:pPr>
      <w:r w:rsidRPr="00A31BA5">
        <w:rPr>
          <w:rFonts w:cs="Arial"/>
          <w:szCs w:val="18"/>
        </w:rPr>
        <w:t>Agencies will use your L</w:t>
      </w:r>
      <w:r>
        <w:rPr>
          <w:rFonts w:cs="Arial"/>
          <w:szCs w:val="18"/>
        </w:rPr>
        <w:t>I</w:t>
      </w:r>
      <w:r w:rsidRPr="00A31BA5">
        <w:rPr>
          <w:rFonts w:cs="Arial"/>
          <w:szCs w:val="18"/>
        </w:rPr>
        <w:t xml:space="preserve">DP and the ICN’s </w:t>
      </w:r>
      <w:r w:rsidR="00BB1FB1">
        <w:rPr>
          <w:rFonts w:cs="Arial"/>
          <w:szCs w:val="18"/>
        </w:rPr>
        <w:t>risk evaluation report</w:t>
      </w:r>
      <w:r w:rsidRPr="00A31BA5">
        <w:rPr>
          <w:rFonts w:cs="Arial"/>
          <w:szCs w:val="18"/>
        </w:rPr>
        <w:t xml:space="preserve"> </w:t>
      </w:r>
      <w:r w:rsidR="00BB1FB1">
        <w:rPr>
          <w:rFonts w:cs="Arial"/>
          <w:szCs w:val="18"/>
        </w:rPr>
        <w:t>t</w:t>
      </w:r>
      <w:r w:rsidRPr="00A31BA5">
        <w:rPr>
          <w:rFonts w:cs="Arial"/>
          <w:szCs w:val="18"/>
        </w:rPr>
        <w:t xml:space="preserve">o establish your score against the Local Jobs First weightings – 10 per cent on your jobs outcomes, and 10 per cent on your industry development outcomes. The other 80 per cent will be on the other requirements the agency </w:t>
      </w:r>
      <w:r w:rsidR="0055443C" w:rsidRPr="00A31BA5">
        <w:rPr>
          <w:rFonts w:cs="Arial"/>
          <w:szCs w:val="18"/>
        </w:rPr>
        <w:t>is</w:t>
      </w:r>
      <w:r w:rsidRPr="00A31BA5">
        <w:rPr>
          <w:rFonts w:cs="Arial"/>
          <w:szCs w:val="18"/>
        </w:rPr>
        <w:t xml:space="preserve"> taking into consideration on the specific procurement. </w:t>
      </w:r>
    </w:p>
    <w:p w14:paraId="598DF4E4" w14:textId="0372E182" w:rsidR="00A31BA5" w:rsidRPr="00A31BA5" w:rsidRDefault="00683810" w:rsidP="00A31BA5">
      <w:pPr>
        <w:numPr>
          <w:ilvl w:val="0"/>
          <w:numId w:val="22"/>
        </w:numPr>
        <w:spacing w:before="0"/>
        <w:jc w:val="both"/>
        <w:rPr>
          <w:rFonts w:cs="Arial"/>
          <w:szCs w:val="18"/>
        </w:rPr>
      </w:pPr>
      <w:r w:rsidRPr="00A31BA5">
        <w:rPr>
          <w:rFonts w:cs="Arial"/>
          <w:szCs w:val="18"/>
        </w:rPr>
        <w:t xml:space="preserve">During the tender evaluation process, the agency should assure themselves of the LIDP commitments and address with the bidders any issues of concern with the LIDPs, including risks identified in the LJF risk assessment evaluation report. </w:t>
      </w:r>
    </w:p>
    <w:p w14:paraId="6A1D11E2" w14:textId="7A766AD1" w:rsidR="00C275C5" w:rsidRDefault="00C275C5" w:rsidP="00A31BA5">
      <w:pPr>
        <w:numPr>
          <w:ilvl w:val="0"/>
          <w:numId w:val="22"/>
        </w:numPr>
        <w:spacing w:before="0"/>
        <w:jc w:val="both"/>
        <w:rPr>
          <w:rFonts w:cs="Arial"/>
          <w:szCs w:val="18"/>
        </w:rPr>
      </w:pPr>
      <w:r w:rsidRPr="00A31BA5">
        <w:rPr>
          <w:rFonts w:cs="Arial"/>
          <w:szCs w:val="18"/>
        </w:rPr>
        <w:t xml:space="preserve">Only notified bidders with </w:t>
      </w:r>
      <w:r w:rsidR="000830CF">
        <w:rPr>
          <w:rFonts w:cs="Arial"/>
          <w:szCs w:val="18"/>
        </w:rPr>
        <w:t>an LIDP</w:t>
      </w:r>
      <w:r w:rsidRPr="00A31BA5">
        <w:rPr>
          <w:rFonts w:cs="Arial"/>
          <w:szCs w:val="18"/>
        </w:rPr>
        <w:t xml:space="preserve"> and ICN </w:t>
      </w:r>
      <w:r w:rsidR="0055443C">
        <w:rPr>
          <w:rFonts w:cs="Arial"/>
          <w:szCs w:val="18"/>
        </w:rPr>
        <w:t>Acknowledgement Letter</w:t>
      </w:r>
      <w:r w:rsidRPr="00A31BA5">
        <w:rPr>
          <w:rFonts w:cs="Arial"/>
          <w:szCs w:val="18"/>
        </w:rPr>
        <w:t xml:space="preserve"> may be considered by the tender evaluation panel when selecting the successful applicant. </w:t>
      </w:r>
      <w:r w:rsidR="00CF7E47" w:rsidRPr="00A31BA5">
        <w:rPr>
          <w:rFonts w:cs="Arial"/>
          <w:szCs w:val="18"/>
        </w:rPr>
        <w:t>LJF</w:t>
      </w:r>
      <w:r w:rsidRPr="00A31BA5">
        <w:rPr>
          <w:rFonts w:cs="Arial"/>
          <w:szCs w:val="18"/>
        </w:rPr>
        <w:t xml:space="preserve"> is a </w:t>
      </w:r>
      <w:r w:rsidR="00FF14AC" w:rsidRPr="00A31BA5">
        <w:rPr>
          <w:rFonts w:cs="Arial"/>
          <w:szCs w:val="18"/>
        </w:rPr>
        <w:t>main selection criterion</w:t>
      </w:r>
      <w:r w:rsidR="00047FE9" w:rsidRPr="00A31BA5">
        <w:rPr>
          <w:rFonts w:cs="Arial"/>
          <w:szCs w:val="18"/>
        </w:rPr>
        <w:t xml:space="preserve"> </w:t>
      </w:r>
      <w:r w:rsidRPr="00A31BA5">
        <w:rPr>
          <w:rFonts w:cs="Arial"/>
          <w:szCs w:val="18"/>
        </w:rPr>
        <w:t xml:space="preserve">in choosing the preferred </w:t>
      </w:r>
      <w:r w:rsidR="00291CBA" w:rsidRPr="00A31BA5">
        <w:rPr>
          <w:rFonts w:cs="Arial"/>
          <w:szCs w:val="18"/>
        </w:rPr>
        <w:t>bidder.</w:t>
      </w:r>
    </w:p>
    <w:p w14:paraId="5E57CD84" w14:textId="00BCC38F" w:rsidR="002E5DC7" w:rsidRPr="00D562FC" w:rsidRDefault="00AF4AB8" w:rsidP="00A31BA5">
      <w:pPr>
        <w:numPr>
          <w:ilvl w:val="0"/>
          <w:numId w:val="22"/>
        </w:numPr>
        <w:spacing w:before="0"/>
        <w:jc w:val="both"/>
        <w:rPr>
          <w:rFonts w:cs="Arial"/>
          <w:szCs w:val="18"/>
        </w:rPr>
      </w:pPr>
      <w:r>
        <w:rPr>
          <w:rFonts w:cs="Arial"/>
          <w:szCs w:val="18"/>
        </w:rPr>
        <w:t xml:space="preserve">Should you wish to see guidance on how agencies evaluate LIDPs, refer to the Local Jobs First Agency Guidelines which can be found at </w:t>
      </w:r>
      <w:hyperlink r:id="rId17" w:history="1">
        <w:r w:rsidR="00C61B53" w:rsidRPr="00C61B53">
          <w:rPr>
            <w:color w:val="0000FF"/>
            <w:u w:val="single"/>
          </w:rPr>
          <w:t>localjobsfirst.vic.gov.au/key-documents</w:t>
        </w:r>
      </w:hyperlink>
      <w:r w:rsidR="00C61B53">
        <w:t>.</w:t>
      </w:r>
    </w:p>
    <w:p w14:paraId="1E64B1D7" w14:textId="2A02EA94" w:rsidR="00D562FC" w:rsidRDefault="00D562FC" w:rsidP="00D562FC">
      <w:pPr>
        <w:pStyle w:val="ListParagraph"/>
        <w:numPr>
          <w:ilvl w:val="0"/>
          <w:numId w:val="22"/>
        </w:numPr>
        <w:rPr>
          <w:rFonts w:ascii="Arial" w:hAnsi="Arial" w:cs="Arial"/>
          <w:sz w:val="18"/>
          <w:szCs w:val="18"/>
          <w:lang w:eastAsia="en-US"/>
        </w:rPr>
      </w:pPr>
      <w:r w:rsidRPr="00D562FC">
        <w:rPr>
          <w:rFonts w:ascii="Arial" w:hAnsi="Arial" w:cs="Arial"/>
          <w:sz w:val="18"/>
          <w:szCs w:val="18"/>
          <w:lang w:eastAsia="en-US"/>
        </w:rPr>
        <w:t>For LIDPs that reflect a nil- or limited contestability contract, the 10 per cent weighting for industry development (local content) should be automatically assessed as a 10 out of 10 due to this tender being of nil- or limited contestability.</w:t>
      </w:r>
    </w:p>
    <w:p w14:paraId="4CEDF440" w14:textId="77777777" w:rsidR="00D562FC" w:rsidRPr="00D562FC" w:rsidRDefault="00D562FC" w:rsidP="00D562FC">
      <w:pPr>
        <w:pStyle w:val="ListParagraph"/>
        <w:ind w:left="360"/>
        <w:rPr>
          <w:rFonts w:ascii="Arial" w:hAnsi="Arial" w:cs="Arial"/>
          <w:sz w:val="18"/>
          <w:szCs w:val="18"/>
          <w:lang w:eastAsia="en-US"/>
        </w:rPr>
      </w:pPr>
    </w:p>
    <w:p w14:paraId="32B79978" w14:textId="7C88C5D2" w:rsidR="004C4418" w:rsidRPr="00D40534" w:rsidRDefault="004C4418" w:rsidP="001E04C5">
      <w:pPr>
        <w:spacing w:before="0" w:line="276" w:lineRule="auto"/>
        <w:jc w:val="both"/>
        <w:rPr>
          <w:rFonts w:asciiTheme="minorHAnsi" w:hAnsiTheme="minorHAnsi" w:cstheme="minorHAnsi"/>
          <w:b/>
          <w:sz w:val="20"/>
          <w:szCs w:val="18"/>
        </w:rPr>
      </w:pPr>
      <w:r w:rsidRPr="00D40534">
        <w:rPr>
          <w:rFonts w:asciiTheme="minorHAnsi" w:hAnsiTheme="minorHAnsi" w:cstheme="minorHAnsi"/>
          <w:b/>
          <w:sz w:val="20"/>
          <w:szCs w:val="18"/>
        </w:rPr>
        <w:t xml:space="preserve">Step </w:t>
      </w:r>
      <w:r w:rsidR="00077CDB" w:rsidRPr="00D40534">
        <w:rPr>
          <w:rFonts w:asciiTheme="minorHAnsi" w:hAnsiTheme="minorHAnsi" w:cstheme="minorHAnsi"/>
          <w:b/>
          <w:sz w:val="20"/>
          <w:szCs w:val="18"/>
        </w:rPr>
        <w:t>5</w:t>
      </w:r>
      <w:r w:rsidRPr="00D40534">
        <w:rPr>
          <w:rFonts w:asciiTheme="minorHAnsi" w:hAnsiTheme="minorHAnsi" w:cstheme="minorHAnsi"/>
          <w:b/>
          <w:sz w:val="20"/>
          <w:szCs w:val="18"/>
        </w:rPr>
        <w:t xml:space="preserve"> - </w:t>
      </w:r>
      <w:r w:rsidR="0033770A">
        <w:rPr>
          <w:rFonts w:asciiTheme="minorHAnsi" w:hAnsiTheme="minorHAnsi" w:cstheme="minorHAnsi"/>
          <w:b/>
          <w:sz w:val="20"/>
          <w:szCs w:val="18"/>
        </w:rPr>
        <w:t>P</w:t>
      </w:r>
      <w:r w:rsidRPr="00D40534">
        <w:rPr>
          <w:rFonts w:asciiTheme="minorHAnsi" w:hAnsiTheme="minorHAnsi" w:cstheme="minorHAnsi"/>
          <w:b/>
          <w:sz w:val="20"/>
          <w:szCs w:val="18"/>
        </w:rPr>
        <w:t xml:space="preserve">referred bidder selected and contract awarded </w:t>
      </w:r>
    </w:p>
    <w:p w14:paraId="1F95EEAC" w14:textId="55F20EFB" w:rsidR="000B1D2B" w:rsidRPr="00366A97" w:rsidRDefault="004C4418" w:rsidP="00366A97">
      <w:pPr>
        <w:numPr>
          <w:ilvl w:val="0"/>
          <w:numId w:val="22"/>
        </w:numPr>
        <w:spacing w:before="0"/>
        <w:jc w:val="both"/>
        <w:rPr>
          <w:rFonts w:cs="Arial"/>
          <w:szCs w:val="18"/>
        </w:rPr>
      </w:pPr>
      <w:r w:rsidRPr="00366A97">
        <w:rPr>
          <w:rFonts w:cs="Arial"/>
          <w:szCs w:val="18"/>
        </w:rPr>
        <w:t xml:space="preserve">The preferred bidder will be notified by the tender evaluation panel of their success. </w:t>
      </w:r>
    </w:p>
    <w:p w14:paraId="7348F850" w14:textId="1CD4FDE0" w:rsidR="000B1D2B" w:rsidRPr="00366A97" w:rsidRDefault="000B1D2B" w:rsidP="00366A97">
      <w:pPr>
        <w:numPr>
          <w:ilvl w:val="0"/>
          <w:numId w:val="22"/>
        </w:numPr>
        <w:spacing w:before="0"/>
        <w:jc w:val="both"/>
        <w:rPr>
          <w:rFonts w:cs="Arial"/>
          <w:szCs w:val="18"/>
        </w:rPr>
      </w:pPr>
      <w:r w:rsidRPr="00366A97">
        <w:rPr>
          <w:rFonts w:cs="Arial"/>
          <w:szCs w:val="18"/>
        </w:rPr>
        <w:t>Agencies will incorporate c</w:t>
      </w:r>
      <w:r w:rsidR="004C4418" w:rsidRPr="00366A97">
        <w:rPr>
          <w:rFonts w:cs="Arial"/>
          <w:szCs w:val="18"/>
        </w:rPr>
        <w:t xml:space="preserve">ommitments </w:t>
      </w:r>
      <w:r w:rsidR="000E6172" w:rsidRPr="00366A97">
        <w:rPr>
          <w:rFonts w:cs="Arial"/>
          <w:szCs w:val="18"/>
        </w:rPr>
        <w:t xml:space="preserve">included in </w:t>
      </w:r>
      <w:r w:rsidR="004C4418" w:rsidRPr="00366A97">
        <w:rPr>
          <w:rFonts w:cs="Arial"/>
          <w:szCs w:val="18"/>
        </w:rPr>
        <w:t xml:space="preserve">the </w:t>
      </w:r>
      <w:r w:rsidRPr="00366A97">
        <w:rPr>
          <w:rFonts w:cs="Arial"/>
          <w:szCs w:val="18"/>
        </w:rPr>
        <w:t>LIDP into the contract.</w:t>
      </w:r>
      <w:r w:rsidR="004C4418" w:rsidRPr="00366A97">
        <w:rPr>
          <w:rFonts w:cs="Arial"/>
          <w:szCs w:val="18"/>
        </w:rPr>
        <w:t xml:space="preserve"> </w:t>
      </w:r>
    </w:p>
    <w:p w14:paraId="01588AB3" w14:textId="09719E8E" w:rsidR="000B1D2B" w:rsidRPr="0010279F" w:rsidRDefault="004C4418" w:rsidP="0010279F">
      <w:pPr>
        <w:numPr>
          <w:ilvl w:val="0"/>
          <w:numId w:val="22"/>
        </w:numPr>
        <w:spacing w:before="0"/>
        <w:jc w:val="both"/>
        <w:rPr>
          <w:rFonts w:cs="Arial"/>
          <w:szCs w:val="18"/>
        </w:rPr>
      </w:pPr>
      <w:r w:rsidRPr="00366A97">
        <w:rPr>
          <w:rFonts w:cs="Arial"/>
          <w:szCs w:val="18"/>
        </w:rPr>
        <w:t xml:space="preserve">Suitable measures to manage any issues raised by ICN in its </w:t>
      </w:r>
      <w:r w:rsidR="00055580" w:rsidRPr="00366A97">
        <w:rPr>
          <w:rFonts w:cs="Arial"/>
          <w:szCs w:val="18"/>
        </w:rPr>
        <w:t xml:space="preserve">LJF risk evaluation report </w:t>
      </w:r>
      <w:r w:rsidRPr="00366A97">
        <w:rPr>
          <w:rFonts w:cs="Arial"/>
          <w:szCs w:val="18"/>
        </w:rPr>
        <w:t>should be negotiated with the</w:t>
      </w:r>
      <w:r w:rsidR="00315AFF" w:rsidRPr="00366A97">
        <w:rPr>
          <w:rFonts w:cs="Arial"/>
          <w:szCs w:val="18"/>
        </w:rPr>
        <w:t xml:space="preserve"> agency’s</w:t>
      </w:r>
      <w:r w:rsidRPr="00366A97">
        <w:rPr>
          <w:rFonts w:cs="Arial"/>
          <w:szCs w:val="18"/>
        </w:rPr>
        <w:t xml:space="preserve"> contract manager </w:t>
      </w:r>
      <w:r w:rsidR="00791442" w:rsidRPr="00366A97">
        <w:rPr>
          <w:rFonts w:cs="Arial"/>
          <w:szCs w:val="18"/>
        </w:rPr>
        <w:t>before</w:t>
      </w:r>
      <w:r w:rsidR="008B078C" w:rsidRPr="00366A97">
        <w:rPr>
          <w:rFonts w:cs="Arial"/>
          <w:szCs w:val="18"/>
        </w:rPr>
        <w:t xml:space="preserve"> </w:t>
      </w:r>
      <w:r w:rsidRPr="00366A97">
        <w:rPr>
          <w:rFonts w:cs="Arial"/>
          <w:szCs w:val="18"/>
        </w:rPr>
        <w:t xml:space="preserve">finalisation. </w:t>
      </w:r>
      <w:r w:rsidRPr="0010279F">
        <w:rPr>
          <w:rFonts w:cs="Arial"/>
          <w:szCs w:val="18"/>
        </w:rPr>
        <w:t xml:space="preserve">This step is essential given the successful bidder will need to demonstrate </w:t>
      </w:r>
      <w:r w:rsidR="00315AFF" w:rsidRPr="0010279F">
        <w:rPr>
          <w:rFonts w:cs="Arial"/>
          <w:szCs w:val="18"/>
        </w:rPr>
        <w:t>LJF</w:t>
      </w:r>
      <w:r w:rsidR="000B1D2B" w:rsidRPr="0010279F">
        <w:rPr>
          <w:rFonts w:cs="Arial"/>
          <w:szCs w:val="18"/>
        </w:rPr>
        <w:t xml:space="preserve"> outcomes</w:t>
      </w:r>
      <w:r w:rsidRPr="0010279F">
        <w:rPr>
          <w:rFonts w:cs="Arial"/>
          <w:szCs w:val="18"/>
        </w:rPr>
        <w:t xml:space="preserve"> against the agreed </w:t>
      </w:r>
      <w:r w:rsidR="000B1D2B" w:rsidRPr="0010279F">
        <w:rPr>
          <w:rFonts w:cs="Arial"/>
          <w:szCs w:val="18"/>
        </w:rPr>
        <w:t>LIDP</w:t>
      </w:r>
      <w:r w:rsidRPr="0010279F">
        <w:rPr>
          <w:rFonts w:cs="Arial"/>
          <w:szCs w:val="18"/>
        </w:rPr>
        <w:t xml:space="preserve">. Bidders may need to resubmit their </w:t>
      </w:r>
      <w:r w:rsidR="00315AFF" w:rsidRPr="0010279F">
        <w:rPr>
          <w:rFonts w:cs="Arial"/>
          <w:szCs w:val="18"/>
        </w:rPr>
        <w:t>LIDP</w:t>
      </w:r>
      <w:r w:rsidRPr="0010279F">
        <w:rPr>
          <w:rFonts w:cs="Arial"/>
          <w:szCs w:val="18"/>
        </w:rPr>
        <w:t xml:space="preserve"> to ICN for acknowledg</w:t>
      </w:r>
      <w:r w:rsidR="00E425F1">
        <w:rPr>
          <w:rFonts w:cs="Arial"/>
          <w:szCs w:val="18"/>
        </w:rPr>
        <w:t>e</w:t>
      </w:r>
      <w:r w:rsidRPr="0010279F">
        <w:rPr>
          <w:rFonts w:cs="Arial"/>
          <w:szCs w:val="18"/>
        </w:rPr>
        <w:t xml:space="preserve">ment and evaluation, with appropriate amendments through the </w:t>
      </w:r>
      <w:r w:rsidR="00315AFF" w:rsidRPr="0010279F">
        <w:rPr>
          <w:rFonts w:cs="Arial"/>
          <w:szCs w:val="18"/>
        </w:rPr>
        <w:t>VMC</w:t>
      </w:r>
      <w:r w:rsidRPr="0010279F">
        <w:rPr>
          <w:rFonts w:cs="Arial"/>
          <w:szCs w:val="18"/>
        </w:rPr>
        <w:t>.</w:t>
      </w:r>
    </w:p>
    <w:p w14:paraId="12BB0905" w14:textId="360A595F" w:rsidR="000B1D2B" w:rsidRPr="00366A97" w:rsidRDefault="004C4418" w:rsidP="00366A97">
      <w:pPr>
        <w:numPr>
          <w:ilvl w:val="0"/>
          <w:numId w:val="22"/>
        </w:numPr>
        <w:spacing w:before="0"/>
        <w:jc w:val="both"/>
        <w:rPr>
          <w:rFonts w:cs="Arial"/>
          <w:szCs w:val="18"/>
        </w:rPr>
      </w:pPr>
      <w:r w:rsidRPr="00366A97">
        <w:rPr>
          <w:rFonts w:cs="Arial"/>
          <w:szCs w:val="18"/>
        </w:rPr>
        <w:t xml:space="preserve">The supplier must comply with the </w:t>
      </w:r>
      <w:r w:rsidR="00315AFF" w:rsidRPr="00366A97">
        <w:rPr>
          <w:rFonts w:cs="Arial"/>
          <w:szCs w:val="18"/>
        </w:rPr>
        <w:t>L</w:t>
      </w:r>
      <w:r w:rsidR="000E6632" w:rsidRPr="00366A97">
        <w:rPr>
          <w:rFonts w:cs="Arial"/>
          <w:szCs w:val="18"/>
        </w:rPr>
        <w:t>JF</w:t>
      </w:r>
      <w:r w:rsidR="00315AFF" w:rsidRPr="00366A97">
        <w:rPr>
          <w:rFonts w:cs="Arial"/>
          <w:szCs w:val="18"/>
        </w:rPr>
        <w:t xml:space="preserve"> </w:t>
      </w:r>
      <w:r w:rsidR="003C473A" w:rsidRPr="00366A97">
        <w:rPr>
          <w:rFonts w:cs="Arial"/>
          <w:szCs w:val="18"/>
        </w:rPr>
        <w:t>commitments contained</w:t>
      </w:r>
      <w:r w:rsidR="00315AFF" w:rsidRPr="00366A97">
        <w:rPr>
          <w:rFonts w:cs="Arial"/>
          <w:szCs w:val="18"/>
        </w:rPr>
        <w:t xml:space="preserve"> with</w:t>
      </w:r>
      <w:r w:rsidRPr="00366A97">
        <w:rPr>
          <w:rFonts w:cs="Arial"/>
          <w:szCs w:val="18"/>
        </w:rPr>
        <w:t xml:space="preserve">in their </w:t>
      </w:r>
      <w:r w:rsidR="000B1D2B" w:rsidRPr="00366A97">
        <w:rPr>
          <w:rFonts w:cs="Arial"/>
          <w:szCs w:val="18"/>
        </w:rPr>
        <w:t>LIDP and contract.</w:t>
      </w:r>
    </w:p>
    <w:p w14:paraId="1579EAC2" w14:textId="24D37999" w:rsidR="000B1D2B" w:rsidRPr="00366A97" w:rsidRDefault="00182A4E" w:rsidP="00366A97">
      <w:pPr>
        <w:numPr>
          <w:ilvl w:val="0"/>
          <w:numId w:val="22"/>
        </w:numPr>
        <w:spacing w:before="0"/>
        <w:jc w:val="both"/>
        <w:rPr>
          <w:rFonts w:cs="Arial"/>
          <w:szCs w:val="18"/>
        </w:rPr>
      </w:pPr>
      <w:r w:rsidRPr="00182A4E">
        <w:rPr>
          <w:rFonts w:asciiTheme="minorHAnsi" w:hAnsiTheme="minorHAnsi" w:cstheme="minorHAnsi"/>
          <w:noProof/>
          <w:szCs w:val="18"/>
          <w:lang w:val="en-US"/>
        </w:rPr>
        <mc:AlternateContent>
          <mc:Choice Requires="wps">
            <w:drawing>
              <wp:anchor distT="45720" distB="45720" distL="114300" distR="114300" simplePos="0" relativeHeight="251652608" behindDoc="0" locked="0" layoutInCell="1" allowOverlap="1" wp14:anchorId="27DE9CD6" wp14:editId="566DBDF9">
                <wp:simplePos x="0" y="0"/>
                <wp:positionH relativeFrom="column">
                  <wp:posOffset>68580</wp:posOffset>
                </wp:positionH>
                <wp:positionV relativeFrom="paragraph">
                  <wp:posOffset>491490</wp:posOffset>
                </wp:positionV>
                <wp:extent cx="5638800" cy="224282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42820"/>
                        </a:xfrm>
                        <a:prstGeom prst="rect">
                          <a:avLst/>
                        </a:prstGeom>
                        <a:solidFill>
                          <a:srgbClr val="FFFFFF"/>
                        </a:solidFill>
                        <a:ln w="9525">
                          <a:solidFill>
                            <a:srgbClr val="000000"/>
                          </a:solidFill>
                          <a:miter lim="800000"/>
                          <a:headEnd/>
                          <a:tailEnd/>
                        </a:ln>
                      </wps:spPr>
                      <wps:txbx>
                        <w:txbxContent>
                          <w:p w14:paraId="6F1FA84F" w14:textId="74DA33B3" w:rsidR="006C6B66" w:rsidRDefault="006C6B66" w:rsidP="00653DD4">
                            <w:pPr>
                              <w:jc w:val="center"/>
                            </w:pPr>
                            <w:r>
                              <w:t xml:space="preserve">A bidder must register their details on the VMC and complete the online LIDP. The ICN will issue a bidder with an </w:t>
                            </w:r>
                            <w:r w:rsidR="0055443C">
                              <w:t>Acknowledgement Letter</w:t>
                            </w:r>
                            <w:r>
                              <w:t xml:space="preserve"> only if their LIDP has been completed appropriately and submitted on time. Only bidders with </w:t>
                            </w:r>
                            <w:r w:rsidR="000830CF">
                              <w:t>an LIDP</w:t>
                            </w:r>
                            <w:r>
                              <w:t xml:space="preserve"> and ICN </w:t>
                            </w:r>
                            <w:r w:rsidR="0055443C">
                              <w:t>Acknowledgement Letter</w:t>
                            </w:r>
                            <w:r>
                              <w:t xml:space="preserve"> may be considered by the tender evaluation panel.</w:t>
                            </w:r>
                          </w:p>
                          <w:p w14:paraId="1C9494D8" w14:textId="529058A9" w:rsidR="006C6B66" w:rsidRDefault="006C6B66" w:rsidP="00653DD4">
                            <w:pPr>
                              <w:jc w:val="center"/>
                            </w:pPr>
                            <w:r>
                              <w:t>Agencies will incorporate the preferred bidders LIDP within the contract. The supplier must comply with the Local Jobs First commitments contained within their LIDP and contract.</w:t>
                            </w:r>
                          </w:p>
                          <w:p w14:paraId="6210CE08" w14:textId="06A6247D" w:rsidR="006C6B66" w:rsidRDefault="006C6B66" w:rsidP="00653DD4">
                            <w:pPr>
                              <w:jc w:val="center"/>
                              <w:rPr>
                                <w:rFonts w:asciiTheme="majorHAnsi" w:hAnsiTheme="majorHAnsi" w:cstheme="majorHAnsi"/>
                                <w:sz w:val="22"/>
                                <w:szCs w:val="22"/>
                              </w:rPr>
                            </w:pPr>
                            <w:r>
                              <w:t>The ICN can assist you in completion and LIDP.</w:t>
                            </w:r>
                          </w:p>
                          <w:p w14:paraId="28C90252" w14:textId="49B0DDB5" w:rsidR="006C6B66" w:rsidRDefault="006C6B66" w:rsidP="00653DD4">
                            <w:pPr>
                              <w:jc w:val="center"/>
                            </w:pPr>
                            <w:r w:rsidRPr="00084F7B">
                              <w:t xml:space="preserve">The LIDP required will reflect the size and complexity of the project. There are different LIDPs required for Standard, Strategic, contestable and </w:t>
                            </w:r>
                            <w:r w:rsidR="00A43439">
                              <w:rPr>
                                <w:rFonts w:asciiTheme="minorHAnsi" w:hAnsiTheme="minorHAnsi" w:cstheme="minorHAnsi"/>
                                <w:szCs w:val="18"/>
                                <w:lang w:val="en-US"/>
                              </w:rPr>
                              <w:t>limited contestability</w:t>
                            </w:r>
                            <w:r w:rsidR="00A43439" w:rsidRPr="007A58EE">
                              <w:rPr>
                                <w:rFonts w:asciiTheme="minorHAnsi" w:hAnsiTheme="minorHAnsi" w:cstheme="minorHAnsi"/>
                                <w:szCs w:val="18"/>
                                <w:lang w:val="en-US"/>
                              </w:rPr>
                              <w:t xml:space="preserve"> </w:t>
                            </w:r>
                            <w:r w:rsidRPr="00084F7B">
                              <w:t>projects.</w:t>
                            </w:r>
                          </w:p>
                          <w:p w14:paraId="15A466CD" w14:textId="77777777" w:rsidR="006C6B66" w:rsidRPr="00653DD4" w:rsidRDefault="006C6B66" w:rsidP="00653DD4">
                            <w:pPr>
                              <w:jc w:val="center"/>
                              <w:rPr>
                                <w:rFonts w:asciiTheme="minorHAnsi" w:hAnsiTheme="minorHAnsi" w:cstheme="minorHAnsi"/>
                                <w:szCs w:val="18"/>
                                <w:lang w:val="en-US"/>
                              </w:rPr>
                            </w:pPr>
                            <w:r>
                              <w:rPr>
                                <w:rFonts w:asciiTheme="minorHAnsi" w:hAnsiTheme="minorHAnsi" w:cstheme="minorHAnsi"/>
                                <w:szCs w:val="18"/>
                                <w:lang w:val="en-US"/>
                              </w:rPr>
                              <w:t>The LIDP will be used in the tender to inform the 20 per cent Local Jobs First weightings, and commitments made in the document will be included in the contract of the successful bidder.</w:t>
                            </w:r>
                          </w:p>
                          <w:p w14:paraId="6CB66F2A" w14:textId="2DD3861C" w:rsidR="006C6B66" w:rsidRDefault="006C6B66"/>
                          <w:p w14:paraId="26CCB0B9" w14:textId="77777777" w:rsidR="006C6B66" w:rsidRPr="00084F7B" w:rsidRDefault="006C6B66"/>
                          <w:p w14:paraId="5346C4E9" w14:textId="77777777" w:rsidR="006C6B66" w:rsidRDefault="006C6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E9CD6" id="_x0000_s1028" type="#_x0000_t202" style="position:absolute;left:0;text-align:left;margin-left:5.4pt;margin-top:38.7pt;width:444pt;height:176.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VKAIAAEwEAAAOAAAAZHJzL2Uyb0RvYy54bWysVNuO0zAQfUfiHyy/06ShXbpR09XSpQhp&#10;uUi7fMDUcRoL2xNst8ny9YydbomAJ4QfLNszPjlzjifrm8FodpLOK7QVn89yzqQVWCt7qPjXx92r&#10;FWc+gK1Bo5UVf5Ke32xevlj3XSkLbFHX0jECsb7su4q3IXRllnnRSgN+hp20FGzQGQi0dYesdtAT&#10;utFZkedXWY+u7hwK6T2d3o1Bvkn4TSNF+Nw0XgamK07cQppdmvdxzjZrKA8OulaJMw34BxYGlKWP&#10;XqDuIAA7OvUHlFHCoccmzASaDJtGCZlqoGrm+W/VPLTQyVQLieO7i0z+/8GKT6cvjqmavOPMgiGL&#10;HuUQ2FscWBHV6TtfUtJDR2lhoOOYGSv13T2Kb55Z3LZgD/LWOexbCTWxm8eb2eTqiOMjyL7/iDV9&#10;Bo4BE9DQOBMBSQxG6OTS08WZSEXQ4fLq9WqVU0hQrCgWxapI3mVQPl/vnA/vJRoWFxV3ZH2Ch9O9&#10;D5EOlM8piT5qVe+U1mnjDvutduwE9Ex2aaQKqMppmrasr/j1sliOCkxjfgqRp/E3CKMCvXetTMWp&#10;HhoxCcqo2ztbp3UApcc1Udb2LGTUblQxDPshOXbxZ4/1EynrcHze1I60aNH94Kynp11x//0ITnKm&#10;P1hy53q+WMReSJvF8g1Jydw0sp9GwAqCqnjgbFxuQ+qfSNviLbnYqKRvtHtkcqZMTzbJfm6v2BPT&#10;fcr69RPY/AQAAP//AwBQSwMEFAAGAAgAAAAhADacv8reAAAACQEAAA8AAABkcnMvZG93bnJldi54&#10;bWxMj81OwzAQhO9IvIO1SFwQtaFRkoY4FUICwQ0Kaq9uvE0i/BNsNw1vz3KC4+ysZr6p17M1bMIQ&#10;B+8k3CwEMHSt14PrJHy8P16XwGJSTivjHUr4xgjr5vysVpX2J/eG0yZ1jEJcrJSEPqWx4jy2PVoV&#10;F35ER97BB6sSydBxHdSJwq3ht0Lk3KrBUUOvRnzosf3cHK2EMnuedvFl+bpt84NZpatievoKUl5e&#10;zPd3wBLO6e8ZfvEJHRpi2vuj05EZ0oLIk4SiyICRX65KOuwlZEuRA29q/n9B8wMAAP//AwBQSwEC&#10;LQAUAAYACAAAACEAtoM4kv4AAADhAQAAEwAAAAAAAAAAAAAAAAAAAAAAW0NvbnRlbnRfVHlwZXNd&#10;LnhtbFBLAQItABQABgAIAAAAIQA4/SH/1gAAAJQBAAALAAAAAAAAAAAAAAAAAC8BAABfcmVscy8u&#10;cmVsc1BLAQItABQABgAIAAAAIQDx5YJVKAIAAEwEAAAOAAAAAAAAAAAAAAAAAC4CAABkcnMvZTJv&#10;RG9jLnhtbFBLAQItABQABgAIAAAAIQA2nL/K3gAAAAkBAAAPAAAAAAAAAAAAAAAAAIIEAABkcnMv&#10;ZG93bnJldi54bWxQSwUGAAAAAAQABADzAAAAjQUAAAAA&#10;">
                <v:textbox>
                  <w:txbxContent>
                    <w:p w14:paraId="6F1FA84F" w14:textId="74DA33B3" w:rsidR="006C6B66" w:rsidRDefault="006C6B66" w:rsidP="00653DD4">
                      <w:pPr>
                        <w:jc w:val="center"/>
                      </w:pPr>
                      <w:r>
                        <w:t xml:space="preserve">A bidder must register their details on the VMC and complete the online LIDP. The ICN will issue a bidder with an </w:t>
                      </w:r>
                      <w:r w:rsidR="0055443C">
                        <w:t>Acknowledgement Letter</w:t>
                      </w:r>
                      <w:r>
                        <w:t xml:space="preserve"> only if their LIDP has been completed appropriately and submitted on time. Only bidders with </w:t>
                      </w:r>
                      <w:r w:rsidR="000830CF">
                        <w:t>an LIDP</w:t>
                      </w:r>
                      <w:r>
                        <w:t xml:space="preserve"> and ICN </w:t>
                      </w:r>
                      <w:r w:rsidR="0055443C">
                        <w:t>Acknowledgement Letter</w:t>
                      </w:r>
                      <w:r>
                        <w:t xml:space="preserve"> may be considered by the tender evaluation panel.</w:t>
                      </w:r>
                    </w:p>
                    <w:p w14:paraId="1C9494D8" w14:textId="529058A9" w:rsidR="006C6B66" w:rsidRDefault="006C6B66" w:rsidP="00653DD4">
                      <w:pPr>
                        <w:jc w:val="center"/>
                      </w:pPr>
                      <w:r>
                        <w:t>Agencies will incorporate the preferred bidders LIDP within the contract. The supplier must comply with the Local Jobs First commitments contained within their LIDP and contract.</w:t>
                      </w:r>
                    </w:p>
                    <w:p w14:paraId="6210CE08" w14:textId="06A6247D" w:rsidR="006C6B66" w:rsidRDefault="006C6B66" w:rsidP="00653DD4">
                      <w:pPr>
                        <w:jc w:val="center"/>
                        <w:rPr>
                          <w:rFonts w:asciiTheme="majorHAnsi" w:hAnsiTheme="majorHAnsi" w:cstheme="majorHAnsi"/>
                          <w:sz w:val="22"/>
                          <w:szCs w:val="22"/>
                        </w:rPr>
                      </w:pPr>
                      <w:r>
                        <w:t>The ICN can assist you in completion and LIDP.</w:t>
                      </w:r>
                    </w:p>
                    <w:p w14:paraId="28C90252" w14:textId="49B0DDB5" w:rsidR="006C6B66" w:rsidRDefault="006C6B66" w:rsidP="00653DD4">
                      <w:pPr>
                        <w:jc w:val="center"/>
                      </w:pPr>
                      <w:r w:rsidRPr="00084F7B">
                        <w:t xml:space="preserve">The LIDP required will reflect the size and complexity of the project. There are different LIDPs required for Standard, Strategic, contestable and </w:t>
                      </w:r>
                      <w:r w:rsidR="00A43439">
                        <w:rPr>
                          <w:rFonts w:asciiTheme="minorHAnsi" w:hAnsiTheme="minorHAnsi" w:cstheme="minorHAnsi"/>
                          <w:szCs w:val="18"/>
                          <w:lang w:val="en-US"/>
                        </w:rPr>
                        <w:t>limited contestability</w:t>
                      </w:r>
                      <w:r w:rsidR="00A43439" w:rsidRPr="007A58EE">
                        <w:rPr>
                          <w:rFonts w:asciiTheme="minorHAnsi" w:hAnsiTheme="minorHAnsi" w:cstheme="minorHAnsi"/>
                          <w:szCs w:val="18"/>
                          <w:lang w:val="en-US"/>
                        </w:rPr>
                        <w:t xml:space="preserve"> </w:t>
                      </w:r>
                      <w:r w:rsidRPr="00084F7B">
                        <w:t>projects.</w:t>
                      </w:r>
                    </w:p>
                    <w:p w14:paraId="15A466CD" w14:textId="77777777" w:rsidR="006C6B66" w:rsidRPr="00653DD4" w:rsidRDefault="006C6B66" w:rsidP="00653DD4">
                      <w:pPr>
                        <w:jc w:val="center"/>
                        <w:rPr>
                          <w:rFonts w:asciiTheme="minorHAnsi" w:hAnsiTheme="minorHAnsi" w:cstheme="minorHAnsi"/>
                          <w:szCs w:val="18"/>
                          <w:lang w:val="en-US"/>
                        </w:rPr>
                      </w:pPr>
                      <w:r>
                        <w:rPr>
                          <w:rFonts w:asciiTheme="minorHAnsi" w:hAnsiTheme="minorHAnsi" w:cstheme="minorHAnsi"/>
                          <w:szCs w:val="18"/>
                          <w:lang w:val="en-US"/>
                        </w:rPr>
                        <w:t>The LIDP will be used in the tender to inform the 20 per cent Local Jobs First weightings, and commitments made in the document will be included in the contract of the successful bidder.</w:t>
                      </w:r>
                    </w:p>
                    <w:p w14:paraId="6CB66F2A" w14:textId="2DD3861C" w:rsidR="006C6B66" w:rsidRDefault="006C6B66"/>
                    <w:p w14:paraId="26CCB0B9" w14:textId="77777777" w:rsidR="006C6B66" w:rsidRPr="00084F7B" w:rsidRDefault="006C6B66"/>
                    <w:p w14:paraId="5346C4E9" w14:textId="77777777" w:rsidR="006C6B66" w:rsidRDefault="006C6B66"/>
                  </w:txbxContent>
                </v:textbox>
                <w10:wrap type="square"/>
              </v:shape>
            </w:pict>
          </mc:Fallback>
        </mc:AlternateContent>
      </w:r>
      <w:r w:rsidR="000B1D2B" w:rsidRPr="000B1D2B">
        <w:rPr>
          <w:rFonts w:asciiTheme="minorHAnsi" w:hAnsiTheme="minorHAnsi" w:cstheme="minorHAnsi"/>
          <w:szCs w:val="18"/>
        </w:rPr>
        <w:t xml:space="preserve">Contractors are required to report on their </w:t>
      </w:r>
      <w:r w:rsidR="00315AFF">
        <w:rPr>
          <w:rFonts w:asciiTheme="minorHAnsi" w:hAnsiTheme="minorHAnsi" w:cstheme="minorHAnsi"/>
          <w:szCs w:val="18"/>
        </w:rPr>
        <w:t>LJF</w:t>
      </w:r>
      <w:r w:rsidR="000B1D2B" w:rsidRPr="000B1D2B">
        <w:rPr>
          <w:rFonts w:asciiTheme="minorHAnsi" w:hAnsiTheme="minorHAnsi" w:cstheme="minorHAnsi"/>
          <w:szCs w:val="18"/>
        </w:rPr>
        <w:t xml:space="preserve"> c</w:t>
      </w:r>
      <w:r w:rsidR="000B1D2B" w:rsidRPr="00366A97">
        <w:rPr>
          <w:rFonts w:cs="Arial"/>
          <w:szCs w:val="18"/>
        </w:rPr>
        <w:t xml:space="preserve">ommitments as contained in the LIDP during the life of the project to practical completion.  </w:t>
      </w:r>
    </w:p>
    <w:p w14:paraId="587460EE" w14:textId="77777777" w:rsidR="005F64D5" w:rsidRDefault="005F64D5" w:rsidP="00B407F1">
      <w:pPr>
        <w:spacing w:before="0" w:line="276" w:lineRule="auto"/>
        <w:jc w:val="both"/>
        <w:rPr>
          <w:b/>
          <w:sz w:val="20"/>
        </w:rPr>
      </w:pPr>
    </w:p>
    <w:p w14:paraId="2FDFD501" w14:textId="77777777" w:rsidR="005F64D5" w:rsidRDefault="005F64D5" w:rsidP="00B407F1">
      <w:pPr>
        <w:spacing w:before="0" w:line="276" w:lineRule="auto"/>
        <w:jc w:val="both"/>
        <w:rPr>
          <w:b/>
          <w:sz w:val="20"/>
        </w:rPr>
      </w:pPr>
    </w:p>
    <w:p w14:paraId="36A47F13" w14:textId="03B773BD" w:rsidR="009426CC" w:rsidRPr="00084F7B" w:rsidRDefault="009426CC" w:rsidP="00B407F1">
      <w:pPr>
        <w:spacing w:before="0" w:line="276" w:lineRule="auto"/>
        <w:jc w:val="both"/>
        <w:rPr>
          <w:b/>
          <w:sz w:val="20"/>
        </w:rPr>
      </w:pPr>
      <w:r w:rsidRPr="00084F7B">
        <w:rPr>
          <w:b/>
          <w:sz w:val="20"/>
        </w:rPr>
        <w:lastRenderedPageBreak/>
        <w:t xml:space="preserve">Step </w:t>
      </w:r>
      <w:r w:rsidR="000D1B81">
        <w:rPr>
          <w:b/>
          <w:sz w:val="20"/>
        </w:rPr>
        <w:t>6</w:t>
      </w:r>
      <w:r w:rsidRPr="00084F7B">
        <w:rPr>
          <w:b/>
          <w:sz w:val="20"/>
        </w:rPr>
        <w:t xml:space="preserve"> – Monitoring Local Jobs First during delivery of the project </w:t>
      </w:r>
    </w:p>
    <w:p w14:paraId="5FABCCF9" w14:textId="4EE37BED" w:rsidR="009426CC" w:rsidRPr="007B1191" w:rsidRDefault="009426CC" w:rsidP="007B1191">
      <w:pPr>
        <w:numPr>
          <w:ilvl w:val="0"/>
          <w:numId w:val="22"/>
        </w:numPr>
        <w:spacing w:before="0"/>
        <w:jc w:val="both"/>
        <w:rPr>
          <w:rFonts w:asciiTheme="minorHAnsi" w:hAnsiTheme="minorHAnsi" w:cstheme="minorHAnsi"/>
          <w:szCs w:val="18"/>
        </w:rPr>
      </w:pPr>
      <w:r w:rsidRPr="007B1191">
        <w:rPr>
          <w:rFonts w:asciiTheme="minorHAnsi" w:hAnsiTheme="minorHAnsi" w:cstheme="minorHAnsi"/>
          <w:szCs w:val="18"/>
        </w:rPr>
        <w:t>Suppliers are required to report on their LJF commitments as contained in the LIDP during the life of the project to practical completion.</w:t>
      </w:r>
    </w:p>
    <w:p w14:paraId="3F9C6E1C" w14:textId="640CCEDA" w:rsidR="009426CC" w:rsidRPr="007B1191" w:rsidRDefault="009426CC" w:rsidP="007B1191">
      <w:pPr>
        <w:numPr>
          <w:ilvl w:val="0"/>
          <w:numId w:val="22"/>
        </w:numPr>
        <w:spacing w:before="0"/>
        <w:jc w:val="both"/>
        <w:rPr>
          <w:rFonts w:asciiTheme="minorHAnsi" w:hAnsiTheme="minorHAnsi" w:cstheme="minorHAnsi"/>
          <w:szCs w:val="18"/>
        </w:rPr>
      </w:pPr>
      <w:r w:rsidRPr="007B1191">
        <w:rPr>
          <w:rFonts w:asciiTheme="minorHAnsi" w:hAnsiTheme="minorHAnsi" w:cstheme="minorHAnsi"/>
          <w:szCs w:val="18"/>
        </w:rPr>
        <w:t>For all projects valued over $20 million, agencies must re</w:t>
      </w:r>
      <w:r w:rsidR="006121FA">
        <w:rPr>
          <w:rFonts w:asciiTheme="minorHAnsi" w:hAnsiTheme="minorHAnsi" w:cstheme="minorHAnsi"/>
          <w:szCs w:val="18"/>
        </w:rPr>
        <w:t>port to DJPR on Local Jobs First outcomes on a six-monthly basis.</w:t>
      </w:r>
    </w:p>
    <w:p w14:paraId="7A6A0CD3" w14:textId="5B9F0034" w:rsidR="00BE4634" w:rsidRPr="005F64D5" w:rsidRDefault="000D1B81" w:rsidP="00BE4634">
      <w:pPr>
        <w:numPr>
          <w:ilvl w:val="0"/>
          <w:numId w:val="22"/>
        </w:numPr>
        <w:spacing w:before="0"/>
        <w:jc w:val="both"/>
        <w:rPr>
          <w:rFonts w:asciiTheme="minorHAnsi" w:hAnsiTheme="minorHAnsi" w:cstheme="minorHAnsi"/>
          <w:szCs w:val="18"/>
        </w:rPr>
      </w:pPr>
      <w:r w:rsidRPr="007B1191">
        <w:rPr>
          <w:rFonts w:asciiTheme="minorHAnsi" w:hAnsiTheme="minorHAnsi" w:cstheme="minorHAnsi"/>
          <w:szCs w:val="18"/>
        </w:rPr>
        <w:t xml:space="preserve">Further guidance on monitoring and reporting is provided below. </w:t>
      </w:r>
    </w:p>
    <w:p w14:paraId="0482135F" w14:textId="58DF5D2D" w:rsidR="00366A97" w:rsidRPr="000D1B81" w:rsidRDefault="00301F55" w:rsidP="00B407F1">
      <w:pPr>
        <w:spacing w:before="0" w:line="276" w:lineRule="auto"/>
        <w:jc w:val="both"/>
        <w:rPr>
          <w:b/>
          <w:sz w:val="20"/>
        </w:rPr>
      </w:pPr>
      <w:r w:rsidRPr="000D1B81">
        <w:rPr>
          <w:b/>
          <w:sz w:val="20"/>
        </w:rPr>
        <w:t xml:space="preserve">Step </w:t>
      </w:r>
      <w:r w:rsidR="000D1B81" w:rsidRPr="000D1B81">
        <w:rPr>
          <w:b/>
          <w:sz w:val="20"/>
        </w:rPr>
        <w:t>7</w:t>
      </w:r>
      <w:r w:rsidRPr="000D1B81">
        <w:rPr>
          <w:b/>
          <w:sz w:val="20"/>
        </w:rPr>
        <w:t xml:space="preserve"> </w:t>
      </w:r>
      <w:r w:rsidR="003F6999" w:rsidRPr="000D1B81">
        <w:rPr>
          <w:b/>
          <w:sz w:val="20"/>
        </w:rPr>
        <w:t xml:space="preserve">– </w:t>
      </w:r>
      <w:r w:rsidR="00543315" w:rsidRPr="000D1B81">
        <w:rPr>
          <w:b/>
          <w:sz w:val="20"/>
        </w:rPr>
        <w:t xml:space="preserve">Changes during delivery of the </w:t>
      </w:r>
      <w:r w:rsidR="005F64D5">
        <w:rPr>
          <w:b/>
          <w:sz w:val="20"/>
        </w:rPr>
        <w:t>p</w:t>
      </w:r>
      <w:r w:rsidR="00543315" w:rsidRPr="000D1B81">
        <w:rPr>
          <w:b/>
          <w:sz w:val="20"/>
        </w:rPr>
        <w:t>roject</w:t>
      </w:r>
      <w:r w:rsidR="009426CC" w:rsidRPr="000D1B81">
        <w:rPr>
          <w:b/>
          <w:sz w:val="20"/>
        </w:rPr>
        <w:t xml:space="preserve"> </w:t>
      </w:r>
    </w:p>
    <w:p w14:paraId="6E9F9BD5" w14:textId="5D1309B7" w:rsidR="008C7049" w:rsidRPr="007B1191" w:rsidRDefault="00301F55" w:rsidP="007B1191">
      <w:pPr>
        <w:numPr>
          <w:ilvl w:val="0"/>
          <w:numId w:val="22"/>
        </w:numPr>
        <w:spacing w:before="0"/>
        <w:jc w:val="both"/>
        <w:rPr>
          <w:rFonts w:asciiTheme="minorHAnsi" w:hAnsiTheme="minorHAnsi" w:cstheme="minorHAnsi"/>
          <w:szCs w:val="18"/>
        </w:rPr>
      </w:pPr>
      <w:r w:rsidRPr="007B1191">
        <w:rPr>
          <w:rFonts w:asciiTheme="minorHAnsi" w:hAnsiTheme="minorHAnsi" w:cstheme="minorHAnsi"/>
          <w:szCs w:val="18"/>
        </w:rPr>
        <w:t>If an agency and supplier are varying a contract, then Local Jobs First must be given due consideration according to the change in value of the contract or scope of work. If the changes to the scope of work are substantial, the supplier must re-submit the LIDP to the ICN</w:t>
      </w:r>
      <w:r w:rsidR="00265CFC">
        <w:rPr>
          <w:rFonts w:asciiTheme="minorHAnsi" w:hAnsiTheme="minorHAnsi" w:cstheme="minorHAnsi"/>
          <w:szCs w:val="18"/>
        </w:rPr>
        <w:t xml:space="preserve"> through the VMC,</w:t>
      </w:r>
      <w:r w:rsidRPr="007B1191">
        <w:rPr>
          <w:rFonts w:asciiTheme="minorHAnsi" w:hAnsiTheme="minorHAnsi" w:cstheme="minorHAnsi"/>
          <w:szCs w:val="18"/>
        </w:rPr>
        <w:t xml:space="preserve"> for re-evaluation, in order that their commitments can be re-assessed</w:t>
      </w:r>
      <w:r w:rsidR="0033770A">
        <w:rPr>
          <w:rFonts w:asciiTheme="minorHAnsi" w:hAnsiTheme="minorHAnsi" w:cstheme="minorHAnsi"/>
          <w:szCs w:val="18"/>
        </w:rPr>
        <w:t>.</w:t>
      </w:r>
      <w:r w:rsidRPr="007B1191">
        <w:rPr>
          <w:rFonts w:asciiTheme="minorHAnsi" w:hAnsiTheme="minorHAnsi" w:cstheme="minorHAnsi"/>
          <w:szCs w:val="18"/>
        </w:rPr>
        <w:t xml:space="preserve"> If</w:t>
      </w:r>
      <w:r w:rsidR="0033770A">
        <w:rPr>
          <w:rFonts w:asciiTheme="minorHAnsi" w:hAnsiTheme="minorHAnsi" w:cstheme="minorHAnsi"/>
          <w:szCs w:val="18"/>
        </w:rPr>
        <w:t xml:space="preserve"> this is</w:t>
      </w:r>
      <w:r w:rsidRPr="007B1191">
        <w:rPr>
          <w:rFonts w:asciiTheme="minorHAnsi" w:hAnsiTheme="minorHAnsi" w:cstheme="minorHAnsi"/>
          <w:szCs w:val="18"/>
        </w:rPr>
        <w:t xml:space="preserve"> an MPSG project, this may necessitate the Deemed Hours Form</w:t>
      </w:r>
      <w:r w:rsidR="0033770A">
        <w:rPr>
          <w:rFonts w:asciiTheme="minorHAnsi" w:hAnsiTheme="minorHAnsi" w:cstheme="minorHAnsi"/>
          <w:szCs w:val="18"/>
        </w:rPr>
        <w:t>ula</w:t>
      </w:r>
      <w:r w:rsidRPr="007B1191">
        <w:rPr>
          <w:rFonts w:asciiTheme="minorHAnsi" w:hAnsiTheme="minorHAnsi" w:cstheme="minorHAnsi"/>
          <w:szCs w:val="18"/>
        </w:rPr>
        <w:t xml:space="preserve"> being re</w:t>
      </w:r>
      <w:r w:rsidR="00EA6947" w:rsidRPr="007B1191">
        <w:rPr>
          <w:rFonts w:asciiTheme="minorHAnsi" w:hAnsiTheme="minorHAnsi" w:cstheme="minorHAnsi"/>
          <w:szCs w:val="18"/>
        </w:rPr>
        <w:t>-calculated</w:t>
      </w:r>
      <w:r w:rsidRPr="007B1191">
        <w:rPr>
          <w:rFonts w:asciiTheme="minorHAnsi" w:hAnsiTheme="minorHAnsi" w:cstheme="minorHAnsi"/>
          <w:szCs w:val="18"/>
        </w:rPr>
        <w:t xml:space="preserve"> and included in the contract variation as a deliverable. </w:t>
      </w:r>
      <w:r w:rsidR="007C743E" w:rsidRPr="007B1191">
        <w:rPr>
          <w:rFonts w:asciiTheme="minorHAnsi" w:hAnsiTheme="minorHAnsi" w:cstheme="minorHAnsi"/>
          <w:szCs w:val="18"/>
        </w:rPr>
        <w:t xml:space="preserve">Contact </w:t>
      </w:r>
      <w:r w:rsidR="00FD52F5">
        <w:rPr>
          <w:rFonts w:asciiTheme="minorHAnsi" w:hAnsiTheme="minorHAnsi" w:cstheme="minorHAnsi"/>
          <w:szCs w:val="18"/>
        </w:rPr>
        <w:t xml:space="preserve">DJPR </w:t>
      </w:r>
      <w:r w:rsidR="007C743E" w:rsidRPr="007B1191">
        <w:rPr>
          <w:rFonts w:asciiTheme="minorHAnsi" w:hAnsiTheme="minorHAnsi" w:cstheme="minorHAnsi"/>
          <w:szCs w:val="18"/>
        </w:rPr>
        <w:t>for more advice on a project by project basi</w:t>
      </w:r>
      <w:r w:rsidR="00510334" w:rsidRPr="007B1191">
        <w:rPr>
          <w:rFonts w:asciiTheme="minorHAnsi" w:hAnsiTheme="minorHAnsi" w:cstheme="minorHAnsi"/>
          <w:szCs w:val="18"/>
        </w:rPr>
        <w:t>s.</w:t>
      </w:r>
      <w:r w:rsidR="003F6999" w:rsidRPr="007B1191">
        <w:rPr>
          <w:rFonts w:asciiTheme="minorHAnsi" w:hAnsiTheme="minorHAnsi" w:cstheme="minorHAnsi"/>
          <w:szCs w:val="18"/>
        </w:rPr>
        <w:t xml:space="preserve"> </w:t>
      </w:r>
      <w:r w:rsidR="00232AE9" w:rsidRPr="007B1191">
        <w:rPr>
          <w:rFonts w:asciiTheme="minorHAnsi" w:hAnsiTheme="minorHAnsi" w:cstheme="minorHAnsi"/>
          <w:szCs w:val="18"/>
        </w:rPr>
        <w:t>If you wish to seek feedback on your tender</w:t>
      </w:r>
      <w:r w:rsidR="00510334" w:rsidRPr="007B1191">
        <w:rPr>
          <w:rFonts w:asciiTheme="minorHAnsi" w:hAnsiTheme="minorHAnsi" w:cstheme="minorHAnsi"/>
          <w:szCs w:val="18"/>
        </w:rPr>
        <w:t xml:space="preserve">, you must do so through the </w:t>
      </w:r>
      <w:r w:rsidR="00204263" w:rsidRPr="007B1191">
        <w:rPr>
          <w:rFonts w:asciiTheme="minorHAnsi" w:hAnsiTheme="minorHAnsi" w:cstheme="minorHAnsi"/>
          <w:szCs w:val="18"/>
        </w:rPr>
        <w:t>delivery</w:t>
      </w:r>
      <w:r w:rsidR="00222CCC" w:rsidRPr="007B1191">
        <w:rPr>
          <w:rFonts w:asciiTheme="minorHAnsi" w:hAnsiTheme="minorHAnsi" w:cstheme="minorHAnsi"/>
          <w:szCs w:val="18"/>
        </w:rPr>
        <w:t xml:space="preserve"> agency</w:t>
      </w:r>
      <w:r w:rsidR="00232AE9" w:rsidRPr="007B1191">
        <w:rPr>
          <w:rFonts w:asciiTheme="minorHAnsi" w:hAnsiTheme="minorHAnsi" w:cstheme="minorHAnsi"/>
          <w:szCs w:val="18"/>
        </w:rPr>
        <w:t>.</w:t>
      </w:r>
      <w:r w:rsidR="00510334" w:rsidRPr="007B1191">
        <w:rPr>
          <w:rFonts w:asciiTheme="minorHAnsi" w:hAnsiTheme="minorHAnsi" w:cstheme="minorHAnsi"/>
          <w:szCs w:val="18"/>
        </w:rPr>
        <w:t xml:space="preserve"> Agencies are obliged to provide this feedback if you request it. </w:t>
      </w:r>
      <w:r w:rsidR="00232AE9" w:rsidRPr="007B1191">
        <w:rPr>
          <w:rFonts w:asciiTheme="minorHAnsi" w:hAnsiTheme="minorHAnsi" w:cstheme="minorHAnsi"/>
          <w:szCs w:val="18"/>
        </w:rPr>
        <w:t xml:space="preserve"> </w:t>
      </w:r>
    </w:p>
    <w:p w14:paraId="678FF104" w14:textId="3CDB62D9" w:rsidR="008C7049" w:rsidRDefault="008C7049" w:rsidP="00B407F1">
      <w:pPr>
        <w:spacing w:before="0" w:line="276" w:lineRule="auto"/>
        <w:jc w:val="both"/>
        <w:rPr>
          <w:b/>
          <w:sz w:val="20"/>
        </w:rPr>
      </w:pPr>
      <w:r w:rsidRPr="00084F7B">
        <w:rPr>
          <w:b/>
          <w:sz w:val="20"/>
        </w:rPr>
        <w:t xml:space="preserve">Step </w:t>
      </w:r>
      <w:r w:rsidR="007B1191">
        <w:rPr>
          <w:b/>
          <w:sz w:val="20"/>
        </w:rPr>
        <w:t>8</w:t>
      </w:r>
      <w:r w:rsidRPr="00084F7B">
        <w:rPr>
          <w:b/>
          <w:sz w:val="20"/>
        </w:rPr>
        <w:t xml:space="preserve"> – </w:t>
      </w:r>
      <w:r w:rsidR="0033770A">
        <w:rPr>
          <w:b/>
          <w:sz w:val="20"/>
        </w:rPr>
        <w:t>P</w:t>
      </w:r>
      <w:r w:rsidRPr="00084F7B">
        <w:rPr>
          <w:b/>
          <w:sz w:val="20"/>
        </w:rPr>
        <w:t xml:space="preserve">roject completion </w:t>
      </w:r>
    </w:p>
    <w:bookmarkEnd w:id="30"/>
    <w:bookmarkEnd w:id="31"/>
    <w:bookmarkEnd w:id="34"/>
    <w:p w14:paraId="21FFB154" w14:textId="77777777" w:rsidR="00E97410" w:rsidRPr="00E97410" w:rsidRDefault="00E97410" w:rsidP="00E97410">
      <w:pPr>
        <w:numPr>
          <w:ilvl w:val="0"/>
          <w:numId w:val="22"/>
        </w:numPr>
        <w:spacing w:before="0"/>
        <w:jc w:val="both"/>
        <w:rPr>
          <w:rFonts w:asciiTheme="minorHAnsi" w:hAnsiTheme="minorHAnsi" w:cstheme="minorHAnsi"/>
          <w:szCs w:val="18"/>
        </w:rPr>
      </w:pPr>
      <w:r w:rsidRPr="00E97410">
        <w:rPr>
          <w:rFonts w:asciiTheme="minorHAnsi" w:hAnsiTheme="minorHAnsi" w:cstheme="minorHAnsi"/>
          <w:szCs w:val="18"/>
        </w:rPr>
        <w:t xml:space="preserve">Post-contract verification starts on practical completion of the project when works have been completed, and/or delivery of the goods or services. This does not include the ‘defect’ period. </w:t>
      </w:r>
    </w:p>
    <w:p w14:paraId="106FF32E" w14:textId="49F92003" w:rsidR="00115BF9" w:rsidRPr="00E97410" w:rsidRDefault="00E97410" w:rsidP="00084F7B">
      <w:pPr>
        <w:numPr>
          <w:ilvl w:val="0"/>
          <w:numId w:val="22"/>
        </w:numPr>
        <w:spacing w:before="0"/>
        <w:jc w:val="both"/>
        <w:rPr>
          <w:rFonts w:asciiTheme="minorHAnsi" w:hAnsiTheme="minorHAnsi" w:cstheme="minorHAnsi"/>
          <w:szCs w:val="18"/>
        </w:rPr>
      </w:pPr>
      <w:r w:rsidRPr="00E97410">
        <w:rPr>
          <w:rFonts w:asciiTheme="minorHAnsi" w:hAnsiTheme="minorHAnsi" w:cstheme="minorHAnsi"/>
          <w:szCs w:val="18"/>
        </w:rPr>
        <w:t xml:space="preserve">Further information on preparing a Statutory Declaration is provided by the Victorian Department of Justice and Regulation at </w:t>
      </w:r>
      <w:hyperlink r:id="rId18" w:history="1">
        <w:r w:rsidR="009A2F3D" w:rsidRPr="009A2F3D">
          <w:rPr>
            <w:rStyle w:val="Hyperlink"/>
            <w:rFonts w:asciiTheme="minorHAnsi" w:hAnsiTheme="minorHAnsi" w:cstheme="minorHAnsi"/>
            <w:szCs w:val="18"/>
          </w:rPr>
          <w:t>https://www.justice.vic.gov.au/statdecs</w:t>
        </w:r>
      </w:hyperlink>
      <w:r w:rsidR="009A2F3D">
        <w:rPr>
          <w:rFonts w:asciiTheme="minorHAnsi" w:hAnsiTheme="minorHAnsi" w:cstheme="minorHAnsi"/>
          <w:szCs w:val="18"/>
        </w:rPr>
        <w:t>.</w:t>
      </w:r>
    </w:p>
    <w:p w14:paraId="051FA95F" w14:textId="4E0875BB" w:rsidR="0077109F" w:rsidRDefault="0077109F" w:rsidP="00DA63F8">
      <w:pPr>
        <w:pStyle w:val="Heading1"/>
        <w:ind w:left="426" w:hanging="578"/>
      </w:pPr>
      <w:bookmarkStart w:id="35" w:name="_Toc40369047"/>
      <w:r w:rsidRPr="00C43B9E">
        <w:t xml:space="preserve">Step by step process in applying Local Jobs First to Major Projects Skills Guarantee </w:t>
      </w:r>
      <w:r w:rsidR="002F1BEF">
        <w:t>P</w:t>
      </w:r>
      <w:r w:rsidRPr="00C43B9E">
        <w:t>rojects</w:t>
      </w:r>
      <w:bookmarkEnd w:id="35"/>
      <w:r w:rsidRPr="00E40075">
        <w:t xml:space="preserve"> </w:t>
      </w:r>
    </w:p>
    <w:p w14:paraId="678FDE13" w14:textId="55A94351" w:rsidR="00C43B9E" w:rsidRPr="007B1191" w:rsidRDefault="00C43B9E" w:rsidP="007B1191">
      <w:pPr>
        <w:numPr>
          <w:ilvl w:val="0"/>
          <w:numId w:val="25"/>
        </w:numPr>
        <w:spacing w:before="0"/>
        <w:jc w:val="both"/>
        <w:rPr>
          <w:rFonts w:asciiTheme="minorHAnsi" w:hAnsiTheme="minorHAnsi" w:cstheme="minorHAnsi"/>
          <w:szCs w:val="18"/>
        </w:rPr>
      </w:pPr>
      <w:r w:rsidRPr="007B1191">
        <w:rPr>
          <w:rFonts w:asciiTheme="minorHAnsi" w:hAnsiTheme="minorHAnsi" w:cstheme="minorHAnsi"/>
          <w:szCs w:val="18"/>
        </w:rPr>
        <w:t xml:space="preserve">The </w:t>
      </w:r>
      <w:r w:rsidR="004C308A" w:rsidRPr="007B1191">
        <w:rPr>
          <w:rFonts w:asciiTheme="minorHAnsi" w:hAnsiTheme="minorHAnsi" w:cstheme="minorHAnsi"/>
          <w:szCs w:val="18"/>
        </w:rPr>
        <w:t>Major</w:t>
      </w:r>
      <w:r w:rsidRPr="007B1191">
        <w:rPr>
          <w:rFonts w:asciiTheme="minorHAnsi" w:hAnsiTheme="minorHAnsi" w:cstheme="minorHAnsi"/>
          <w:szCs w:val="18"/>
        </w:rPr>
        <w:t xml:space="preserve"> Project Skills </w:t>
      </w:r>
      <w:r w:rsidR="004C308A" w:rsidRPr="007B1191">
        <w:rPr>
          <w:rFonts w:asciiTheme="minorHAnsi" w:hAnsiTheme="minorHAnsi" w:cstheme="minorHAnsi"/>
          <w:szCs w:val="18"/>
        </w:rPr>
        <w:t>Guarantee</w:t>
      </w:r>
      <w:r w:rsidRPr="007B1191">
        <w:rPr>
          <w:rFonts w:asciiTheme="minorHAnsi" w:hAnsiTheme="minorHAnsi" w:cstheme="minorHAnsi"/>
          <w:szCs w:val="18"/>
        </w:rPr>
        <w:t xml:space="preserve"> applies to </w:t>
      </w:r>
      <w:r w:rsidR="004C308A" w:rsidRPr="007B1191">
        <w:rPr>
          <w:rFonts w:asciiTheme="minorHAnsi" w:hAnsiTheme="minorHAnsi" w:cstheme="minorHAnsi"/>
          <w:szCs w:val="18"/>
        </w:rPr>
        <w:t xml:space="preserve">construction projects with a total project value of $20 million or more. </w:t>
      </w:r>
      <w:r w:rsidR="00AA18C4" w:rsidRPr="007B1191">
        <w:rPr>
          <w:rFonts w:asciiTheme="minorHAnsi" w:hAnsiTheme="minorHAnsi" w:cstheme="minorHAnsi"/>
          <w:szCs w:val="18"/>
        </w:rPr>
        <w:t xml:space="preserve">MPSG may therefore apply to both </w:t>
      </w:r>
      <w:r w:rsidR="0033770A">
        <w:rPr>
          <w:rFonts w:asciiTheme="minorHAnsi" w:hAnsiTheme="minorHAnsi" w:cstheme="minorHAnsi"/>
          <w:szCs w:val="18"/>
        </w:rPr>
        <w:t>S</w:t>
      </w:r>
      <w:r w:rsidR="00AA18C4" w:rsidRPr="007B1191">
        <w:rPr>
          <w:rFonts w:asciiTheme="minorHAnsi" w:hAnsiTheme="minorHAnsi" w:cstheme="minorHAnsi"/>
          <w:szCs w:val="18"/>
        </w:rPr>
        <w:t xml:space="preserve">tandard ($1 million to $50 million) or </w:t>
      </w:r>
      <w:r w:rsidR="0033770A">
        <w:rPr>
          <w:rFonts w:asciiTheme="minorHAnsi" w:hAnsiTheme="minorHAnsi" w:cstheme="minorHAnsi"/>
          <w:szCs w:val="18"/>
        </w:rPr>
        <w:t>S</w:t>
      </w:r>
      <w:r w:rsidR="00AA18C4" w:rsidRPr="007B1191">
        <w:rPr>
          <w:rFonts w:asciiTheme="minorHAnsi" w:hAnsiTheme="minorHAnsi" w:cstheme="minorHAnsi"/>
          <w:szCs w:val="18"/>
        </w:rPr>
        <w:t>trategic (more th</w:t>
      </w:r>
      <w:r w:rsidR="0033770A">
        <w:rPr>
          <w:rFonts w:asciiTheme="minorHAnsi" w:hAnsiTheme="minorHAnsi" w:cstheme="minorHAnsi"/>
          <w:szCs w:val="18"/>
        </w:rPr>
        <w:t>a</w:t>
      </w:r>
      <w:r w:rsidR="00AA18C4" w:rsidRPr="007B1191">
        <w:rPr>
          <w:rFonts w:asciiTheme="minorHAnsi" w:hAnsiTheme="minorHAnsi" w:cstheme="minorHAnsi"/>
          <w:szCs w:val="18"/>
        </w:rPr>
        <w:t xml:space="preserve">n $50 million) projects. </w:t>
      </w:r>
      <w:r w:rsidR="004C308A" w:rsidRPr="007B1191">
        <w:rPr>
          <w:rFonts w:asciiTheme="minorHAnsi" w:hAnsiTheme="minorHAnsi" w:cstheme="minorHAnsi"/>
          <w:szCs w:val="18"/>
        </w:rPr>
        <w:t xml:space="preserve"> </w:t>
      </w:r>
      <w:r w:rsidRPr="007B1191">
        <w:rPr>
          <w:rFonts w:asciiTheme="minorHAnsi" w:hAnsiTheme="minorHAnsi" w:cstheme="minorHAnsi"/>
          <w:szCs w:val="18"/>
        </w:rPr>
        <w:t xml:space="preserve"> </w:t>
      </w:r>
    </w:p>
    <w:p w14:paraId="5F8453E1" w14:textId="0F8851D7" w:rsidR="00142606" w:rsidRPr="007B1191" w:rsidRDefault="00C43B9E" w:rsidP="007B1191">
      <w:pPr>
        <w:numPr>
          <w:ilvl w:val="0"/>
          <w:numId w:val="25"/>
        </w:numPr>
        <w:spacing w:before="0"/>
        <w:jc w:val="both"/>
        <w:rPr>
          <w:rFonts w:asciiTheme="minorHAnsi" w:hAnsiTheme="minorHAnsi" w:cstheme="minorHAnsi"/>
          <w:szCs w:val="18"/>
        </w:rPr>
      </w:pPr>
      <w:r w:rsidRPr="007B1191">
        <w:rPr>
          <w:rFonts w:asciiTheme="minorHAnsi" w:hAnsiTheme="minorHAnsi" w:cstheme="minorHAnsi"/>
          <w:szCs w:val="18"/>
        </w:rPr>
        <w:t>This process also applies in full to Public Private Partnership (PPP) projects and other forms of contracting such as alliance contracts, auctions, or the use of a panel of suppliers that are LJF Strategic Projects.</w:t>
      </w:r>
    </w:p>
    <w:p w14:paraId="55B16DED" w14:textId="77777777" w:rsidR="00B003CD" w:rsidRPr="00B003CD" w:rsidRDefault="00B003CD" w:rsidP="00B003CD">
      <w:pPr>
        <w:jc w:val="both"/>
        <w:rPr>
          <w:b/>
          <w:sz w:val="20"/>
        </w:rPr>
      </w:pPr>
      <w:bookmarkStart w:id="36" w:name="_Hlk29910546"/>
      <w:r w:rsidRPr="00B003CD">
        <w:rPr>
          <w:b/>
          <w:sz w:val="20"/>
        </w:rPr>
        <w:t>Step 1 – Tender and or Expression of interest issued by agency</w:t>
      </w:r>
    </w:p>
    <w:p w14:paraId="12D303D4" w14:textId="59886B91" w:rsidR="00B003CD" w:rsidRPr="00B003CD" w:rsidRDefault="00B003CD" w:rsidP="00B003CD">
      <w:pPr>
        <w:numPr>
          <w:ilvl w:val="0"/>
          <w:numId w:val="25"/>
        </w:numPr>
        <w:spacing w:before="0"/>
        <w:jc w:val="both"/>
        <w:rPr>
          <w:rFonts w:asciiTheme="minorHAnsi" w:hAnsiTheme="minorHAnsi" w:cstheme="minorHAnsi"/>
          <w:szCs w:val="18"/>
        </w:rPr>
      </w:pPr>
      <w:r w:rsidRPr="00B003CD">
        <w:rPr>
          <w:rFonts w:asciiTheme="minorHAnsi" w:hAnsiTheme="minorHAnsi" w:cstheme="minorHAnsi"/>
          <w:szCs w:val="18"/>
        </w:rPr>
        <w:t>The Expression of interest (EOI) or Request for Tender (RFT) documents will notify prospective bidders:</w:t>
      </w:r>
    </w:p>
    <w:p w14:paraId="4446909E" w14:textId="77777777" w:rsidR="00B003CD" w:rsidRPr="00B003CD" w:rsidRDefault="00B003CD" w:rsidP="00B003CD">
      <w:pPr>
        <w:pStyle w:val="ListParagraph"/>
        <w:numPr>
          <w:ilvl w:val="0"/>
          <w:numId w:val="26"/>
        </w:numPr>
        <w:jc w:val="both"/>
        <w:rPr>
          <w:rFonts w:asciiTheme="minorHAnsi" w:hAnsiTheme="minorHAnsi" w:cstheme="minorHAnsi"/>
          <w:sz w:val="18"/>
          <w:szCs w:val="18"/>
        </w:rPr>
      </w:pPr>
      <w:r w:rsidRPr="00B003CD">
        <w:rPr>
          <w:rFonts w:asciiTheme="minorHAnsi" w:hAnsiTheme="minorHAnsi" w:cstheme="minorHAnsi"/>
          <w:sz w:val="18"/>
          <w:szCs w:val="18"/>
        </w:rPr>
        <w:t>if the project must apply Local Jobs First, and when an ICN acknowledged Local Industry Development Plan (LIDP) will need to be submitted</w:t>
      </w:r>
    </w:p>
    <w:p w14:paraId="6226C481" w14:textId="452A0D09" w:rsidR="00B003CD" w:rsidRPr="00B003CD" w:rsidRDefault="00B003CD" w:rsidP="00B003CD">
      <w:pPr>
        <w:pStyle w:val="ListParagraph"/>
        <w:numPr>
          <w:ilvl w:val="0"/>
          <w:numId w:val="26"/>
        </w:numPr>
        <w:jc w:val="both"/>
        <w:rPr>
          <w:rFonts w:asciiTheme="minorHAnsi" w:hAnsiTheme="minorHAnsi" w:cstheme="minorHAnsi"/>
          <w:sz w:val="18"/>
          <w:szCs w:val="18"/>
        </w:rPr>
      </w:pPr>
      <w:r w:rsidRPr="00B003CD">
        <w:rPr>
          <w:rFonts w:asciiTheme="minorHAnsi" w:hAnsiTheme="minorHAnsi" w:cstheme="minorHAnsi"/>
          <w:sz w:val="18"/>
          <w:szCs w:val="18"/>
        </w:rPr>
        <w:t>contestable items for bidders to consider sourcing, local content and other requirements, including if applicable MPSG requirements. A detailed explanation of how to apply Local Jobs Firs to MPSG projects is outlined below</w:t>
      </w:r>
    </w:p>
    <w:p w14:paraId="044D712B" w14:textId="5BB626B9" w:rsidR="00B003CD" w:rsidRDefault="00B003CD" w:rsidP="00B003CD">
      <w:pPr>
        <w:pStyle w:val="ListParagraph"/>
        <w:numPr>
          <w:ilvl w:val="0"/>
          <w:numId w:val="26"/>
        </w:numPr>
        <w:jc w:val="both"/>
        <w:rPr>
          <w:rFonts w:asciiTheme="minorHAnsi" w:hAnsiTheme="minorHAnsi" w:cstheme="minorHAnsi"/>
          <w:sz w:val="18"/>
          <w:szCs w:val="18"/>
        </w:rPr>
      </w:pPr>
      <w:r w:rsidRPr="00B003CD">
        <w:rPr>
          <w:rFonts w:asciiTheme="minorHAnsi" w:hAnsiTheme="minorHAnsi" w:cstheme="minorHAnsi"/>
          <w:sz w:val="18"/>
          <w:szCs w:val="18"/>
        </w:rPr>
        <w:t>the tender evaluation weightings. Agencies must apply a 10 per cent weighting for industry development, and 10 per cent for jobs outcomes. It is therefore not permissible to include other evaluation criteria such as social procurement requirements, as part of the legislated 20 per cent weighting for LJF.</w:t>
      </w:r>
      <w:r w:rsidRPr="00B003CD">
        <w:rPr>
          <w:rFonts w:asciiTheme="minorHAnsi" w:hAnsiTheme="minorHAnsi" w:cstheme="minorHAnsi"/>
          <w:sz w:val="18"/>
          <w:szCs w:val="18"/>
          <w:lang w:eastAsia="en-US"/>
        </w:rPr>
        <w:t xml:space="preserve">  </w:t>
      </w:r>
      <w:r w:rsidRPr="00B003CD">
        <w:rPr>
          <w:rFonts w:asciiTheme="minorHAnsi" w:hAnsiTheme="minorHAnsi" w:cstheme="minorHAnsi"/>
          <w:sz w:val="18"/>
          <w:szCs w:val="18"/>
        </w:rPr>
        <w:t xml:space="preserve"> </w:t>
      </w:r>
    </w:p>
    <w:p w14:paraId="75F86145" w14:textId="77777777" w:rsidR="00B003CD" w:rsidRPr="00B003CD" w:rsidRDefault="00B003CD" w:rsidP="00B003CD">
      <w:pPr>
        <w:pStyle w:val="ListParagraph"/>
        <w:ind w:left="1080"/>
        <w:jc w:val="both"/>
        <w:rPr>
          <w:rFonts w:asciiTheme="minorHAnsi" w:hAnsiTheme="minorHAnsi" w:cstheme="minorHAnsi"/>
          <w:sz w:val="18"/>
          <w:szCs w:val="18"/>
        </w:rPr>
      </w:pPr>
    </w:p>
    <w:p w14:paraId="23D7C51A" w14:textId="01D749F5" w:rsidR="00B003CD" w:rsidRPr="00B003CD" w:rsidRDefault="00B003CD" w:rsidP="00B003CD">
      <w:pPr>
        <w:numPr>
          <w:ilvl w:val="0"/>
          <w:numId w:val="25"/>
        </w:numPr>
        <w:spacing w:before="0"/>
        <w:jc w:val="both"/>
        <w:rPr>
          <w:rFonts w:asciiTheme="minorHAnsi" w:hAnsiTheme="minorHAnsi" w:cstheme="minorHAnsi"/>
          <w:szCs w:val="18"/>
        </w:rPr>
      </w:pPr>
      <w:r w:rsidRPr="00B003CD">
        <w:rPr>
          <w:rFonts w:asciiTheme="minorHAnsi" w:hAnsiTheme="minorHAnsi" w:cstheme="minorHAnsi"/>
          <w:szCs w:val="18"/>
        </w:rPr>
        <w:t>LJF requires all bidders to engage local SMEs</w:t>
      </w:r>
      <w:r w:rsidR="00C20717">
        <w:rPr>
          <w:rFonts w:asciiTheme="minorHAnsi" w:hAnsiTheme="minorHAnsi" w:cstheme="minorHAnsi"/>
          <w:szCs w:val="18"/>
        </w:rPr>
        <w:t xml:space="preserve"> </w:t>
      </w:r>
      <w:r w:rsidRPr="00B003CD">
        <w:rPr>
          <w:rFonts w:asciiTheme="minorHAnsi" w:hAnsiTheme="minorHAnsi" w:cstheme="minorHAnsi"/>
          <w:szCs w:val="18"/>
        </w:rPr>
        <w:t>to supply into government projects over the life of a project.</w:t>
      </w:r>
    </w:p>
    <w:p w14:paraId="1C5FF3BF" w14:textId="26795E85" w:rsidR="00B003CD" w:rsidRPr="00B003CD" w:rsidRDefault="00B003CD" w:rsidP="00C43B9E">
      <w:pPr>
        <w:numPr>
          <w:ilvl w:val="0"/>
          <w:numId w:val="25"/>
        </w:numPr>
        <w:spacing w:before="0"/>
        <w:jc w:val="both"/>
        <w:rPr>
          <w:rFonts w:asciiTheme="minorHAnsi" w:hAnsiTheme="minorHAnsi" w:cstheme="minorHAnsi"/>
          <w:szCs w:val="18"/>
        </w:rPr>
      </w:pPr>
      <w:r w:rsidRPr="00B003CD">
        <w:rPr>
          <w:rFonts w:asciiTheme="minorHAnsi" w:hAnsiTheme="minorHAnsi" w:cstheme="minorHAnsi"/>
          <w:szCs w:val="18"/>
        </w:rPr>
        <w:t>The RFT identifies contestable items for bidders to consider sourcing in the proposal for the procurement activity.</w:t>
      </w:r>
    </w:p>
    <w:p w14:paraId="546CCE6F" w14:textId="36F4AEC6" w:rsidR="00C43B9E" w:rsidRPr="00D40534" w:rsidRDefault="00C43B9E" w:rsidP="00C43B9E">
      <w:pPr>
        <w:jc w:val="both"/>
        <w:rPr>
          <w:rFonts w:asciiTheme="minorHAnsi" w:hAnsiTheme="minorHAnsi" w:cstheme="minorHAnsi"/>
          <w:b/>
          <w:bCs/>
          <w:iCs/>
          <w:sz w:val="20"/>
          <w:szCs w:val="18"/>
          <w:lang w:val="en-US"/>
        </w:rPr>
      </w:pPr>
      <w:r w:rsidRPr="00D40534">
        <w:rPr>
          <w:rFonts w:asciiTheme="minorHAnsi" w:hAnsiTheme="minorHAnsi" w:cstheme="minorHAnsi"/>
          <w:b/>
          <w:bCs/>
          <w:iCs/>
          <w:sz w:val="20"/>
          <w:szCs w:val="18"/>
          <w:lang w:val="en-US"/>
        </w:rPr>
        <w:lastRenderedPageBreak/>
        <w:t xml:space="preserve">Step </w:t>
      </w:r>
      <w:r w:rsidR="00B003CD">
        <w:rPr>
          <w:rFonts w:asciiTheme="minorHAnsi" w:hAnsiTheme="minorHAnsi" w:cstheme="minorHAnsi"/>
          <w:b/>
          <w:bCs/>
          <w:iCs/>
          <w:sz w:val="20"/>
          <w:szCs w:val="18"/>
          <w:lang w:val="en-US"/>
        </w:rPr>
        <w:t>2</w:t>
      </w:r>
      <w:r w:rsidRPr="00D40534">
        <w:rPr>
          <w:rFonts w:asciiTheme="minorHAnsi" w:hAnsiTheme="minorHAnsi" w:cstheme="minorHAnsi"/>
          <w:b/>
          <w:bCs/>
          <w:iCs/>
          <w:sz w:val="20"/>
          <w:szCs w:val="18"/>
          <w:lang w:val="en-US"/>
        </w:rPr>
        <w:t xml:space="preserve"> – </w:t>
      </w:r>
      <w:r w:rsidR="003C57F8">
        <w:rPr>
          <w:rFonts w:asciiTheme="minorHAnsi" w:hAnsiTheme="minorHAnsi" w:cstheme="minorHAnsi"/>
          <w:b/>
          <w:bCs/>
          <w:iCs/>
          <w:sz w:val="20"/>
          <w:szCs w:val="18"/>
          <w:lang w:val="en-US"/>
        </w:rPr>
        <w:t>R</w:t>
      </w:r>
      <w:r w:rsidRPr="00D40534">
        <w:rPr>
          <w:rFonts w:asciiTheme="minorHAnsi" w:hAnsiTheme="minorHAnsi" w:cstheme="minorHAnsi"/>
          <w:b/>
          <w:bCs/>
          <w:iCs/>
          <w:sz w:val="20"/>
          <w:szCs w:val="18"/>
          <w:lang w:val="en-US"/>
        </w:rPr>
        <w:t xml:space="preserve">egistering with ICN and preparing </w:t>
      </w:r>
      <w:r w:rsidR="000830CF">
        <w:rPr>
          <w:rFonts w:asciiTheme="minorHAnsi" w:hAnsiTheme="minorHAnsi" w:cstheme="minorHAnsi"/>
          <w:b/>
          <w:bCs/>
          <w:iCs/>
          <w:sz w:val="20"/>
          <w:szCs w:val="18"/>
          <w:lang w:val="en-US"/>
        </w:rPr>
        <w:t>an LIDP</w:t>
      </w:r>
      <w:r w:rsidRPr="00D40534">
        <w:rPr>
          <w:rFonts w:asciiTheme="minorHAnsi" w:hAnsiTheme="minorHAnsi" w:cstheme="minorHAnsi"/>
          <w:b/>
          <w:bCs/>
          <w:iCs/>
          <w:sz w:val="20"/>
          <w:szCs w:val="18"/>
          <w:lang w:val="en-US"/>
        </w:rPr>
        <w:t xml:space="preserve"> </w:t>
      </w:r>
    </w:p>
    <w:p w14:paraId="6D384C17" w14:textId="6748C3B8" w:rsidR="00C43B9E" w:rsidRDefault="00C43B9E" w:rsidP="007B1191">
      <w:pPr>
        <w:numPr>
          <w:ilvl w:val="0"/>
          <w:numId w:val="25"/>
        </w:numPr>
        <w:jc w:val="both"/>
        <w:rPr>
          <w:rFonts w:asciiTheme="minorHAnsi" w:hAnsiTheme="minorHAnsi" w:cstheme="minorHAnsi"/>
          <w:szCs w:val="18"/>
          <w:lang w:val="en-US"/>
        </w:rPr>
      </w:pPr>
      <w:r>
        <w:rPr>
          <w:rFonts w:asciiTheme="minorHAnsi" w:hAnsiTheme="minorHAnsi" w:cstheme="minorHAnsi"/>
          <w:szCs w:val="18"/>
          <w:lang w:val="en-US"/>
        </w:rPr>
        <w:t>B</w:t>
      </w:r>
      <w:r w:rsidRPr="00AC4925">
        <w:rPr>
          <w:rFonts w:asciiTheme="minorHAnsi" w:hAnsiTheme="minorHAnsi" w:cstheme="minorHAnsi"/>
          <w:szCs w:val="18"/>
          <w:lang w:val="en-US"/>
        </w:rPr>
        <w:t xml:space="preserve">idders must register their </w:t>
      </w:r>
      <w:r>
        <w:rPr>
          <w:rFonts w:asciiTheme="minorHAnsi" w:hAnsiTheme="minorHAnsi" w:cstheme="minorHAnsi"/>
          <w:szCs w:val="18"/>
          <w:lang w:val="en-US"/>
        </w:rPr>
        <w:t>businesses</w:t>
      </w:r>
      <w:r w:rsidRPr="00AC4925">
        <w:rPr>
          <w:rFonts w:asciiTheme="minorHAnsi" w:hAnsiTheme="minorHAnsi" w:cstheme="minorHAnsi"/>
          <w:szCs w:val="18"/>
          <w:lang w:val="en-US"/>
        </w:rPr>
        <w:t xml:space="preserve"> details on the </w:t>
      </w:r>
      <w:r>
        <w:rPr>
          <w:rFonts w:asciiTheme="minorHAnsi" w:hAnsiTheme="minorHAnsi" w:cstheme="minorHAnsi"/>
          <w:szCs w:val="18"/>
          <w:lang w:val="en-US"/>
        </w:rPr>
        <w:t xml:space="preserve">VMC, </w:t>
      </w:r>
      <w:r w:rsidRPr="00AC4925">
        <w:rPr>
          <w:rFonts w:asciiTheme="minorHAnsi" w:hAnsiTheme="minorHAnsi" w:cstheme="minorHAnsi"/>
          <w:szCs w:val="18"/>
          <w:lang w:val="en-US"/>
        </w:rPr>
        <w:t>unless previously registered</w:t>
      </w:r>
      <w:r>
        <w:rPr>
          <w:rFonts w:asciiTheme="minorHAnsi" w:hAnsiTheme="minorHAnsi" w:cstheme="minorHAnsi"/>
          <w:szCs w:val="18"/>
          <w:lang w:val="en-US"/>
        </w:rPr>
        <w:t>. The VMC is found at</w:t>
      </w:r>
      <w:r w:rsidR="007F6572">
        <w:t xml:space="preserve"> </w:t>
      </w:r>
      <w:hyperlink r:id="rId19" w:history="1">
        <w:r w:rsidR="007F6572" w:rsidRPr="002E63A2">
          <w:rPr>
            <w:rStyle w:val="Hyperlink"/>
          </w:rPr>
          <w:t>www.icnforce.com</w:t>
        </w:r>
      </w:hyperlink>
      <w:r w:rsidR="007F6572">
        <w:t>.</w:t>
      </w:r>
    </w:p>
    <w:p w14:paraId="23CC1168" w14:textId="28C5316B" w:rsidR="00C43B9E" w:rsidRDefault="00C43B9E" w:rsidP="007B1191">
      <w:pPr>
        <w:numPr>
          <w:ilvl w:val="0"/>
          <w:numId w:val="25"/>
        </w:numPr>
        <w:jc w:val="both"/>
        <w:rPr>
          <w:rFonts w:asciiTheme="minorHAnsi" w:hAnsiTheme="minorHAnsi" w:cstheme="minorHAnsi"/>
          <w:szCs w:val="18"/>
          <w:lang w:val="en-US"/>
        </w:rPr>
      </w:pPr>
      <w:r w:rsidRPr="00AC4925">
        <w:rPr>
          <w:rFonts w:asciiTheme="minorHAnsi" w:hAnsiTheme="minorHAnsi" w:cstheme="minorHAnsi"/>
          <w:szCs w:val="18"/>
          <w:lang w:val="en-US"/>
        </w:rPr>
        <w:t xml:space="preserve">The </w:t>
      </w:r>
      <w:r>
        <w:rPr>
          <w:rFonts w:asciiTheme="minorHAnsi" w:hAnsiTheme="minorHAnsi" w:cstheme="minorHAnsi"/>
          <w:szCs w:val="18"/>
          <w:lang w:val="en-US"/>
        </w:rPr>
        <w:t>LIDP</w:t>
      </w:r>
      <w:r w:rsidRPr="00AC4925">
        <w:rPr>
          <w:rFonts w:asciiTheme="minorHAnsi" w:hAnsiTheme="minorHAnsi" w:cstheme="minorHAnsi"/>
          <w:szCs w:val="18"/>
          <w:lang w:val="en-US"/>
        </w:rPr>
        <w:t xml:space="preserve"> is completed by logging into the </w:t>
      </w:r>
      <w:r>
        <w:rPr>
          <w:rFonts w:asciiTheme="minorHAnsi" w:hAnsiTheme="minorHAnsi" w:cstheme="minorHAnsi"/>
          <w:szCs w:val="18"/>
          <w:lang w:val="en-US"/>
        </w:rPr>
        <w:t>VMC and</w:t>
      </w:r>
      <w:r w:rsidRPr="00AC4925">
        <w:rPr>
          <w:rFonts w:asciiTheme="minorHAnsi" w:hAnsiTheme="minorHAnsi" w:cstheme="minorHAnsi"/>
          <w:szCs w:val="18"/>
          <w:lang w:val="en-US"/>
        </w:rPr>
        <w:t xml:space="preserve"> selecting the relevant tender. If the tender is not listed, </w:t>
      </w:r>
      <w:r w:rsidR="00ED4D0B">
        <w:rPr>
          <w:rFonts w:asciiTheme="minorHAnsi" w:hAnsiTheme="minorHAnsi" w:cstheme="minorHAnsi"/>
          <w:szCs w:val="18"/>
          <w:lang w:val="en-US"/>
        </w:rPr>
        <w:t>contact the procuring agency.</w:t>
      </w:r>
    </w:p>
    <w:p w14:paraId="66C490C8" w14:textId="59F03E74" w:rsidR="00C43B9E" w:rsidRDefault="00C43B9E" w:rsidP="007B1191">
      <w:pPr>
        <w:numPr>
          <w:ilvl w:val="0"/>
          <w:numId w:val="25"/>
        </w:numPr>
        <w:jc w:val="both"/>
        <w:rPr>
          <w:rFonts w:asciiTheme="minorHAnsi" w:hAnsiTheme="minorHAnsi" w:cstheme="minorHAnsi"/>
          <w:szCs w:val="18"/>
          <w:lang w:val="en-US"/>
        </w:rPr>
      </w:pPr>
      <w:r w:rsidRPr="00AC4925">
        <w:rPr>
          <w:rFonts w:asciiTheme="minorHAnsi" w:hAnsiTheme="minorHAnsi" w:cstheme="minorHAnsi"/>
          <w:szCs w:val="18"/>
          <w:lang w:val="en-US"/>
        </w:rPr>
        <w:t xml:space="preserve">The bidder must then begin to complete their online </w:t>
      </w:r>
      <w:r w:rsidRPr="00B32573">
        <w:rPr>
          <w:rFonts w:asciiTheme="minorHAnsi" w:hAnsiTheme="minorHAnsi" w:cstheme="minorHAnsi"/>
          <w:szCs w:val="18"/>
          <w:lang w:val="en-US"/>
        </w:rPr>
        <w:t>LIDP</w:t>
      </w:r>
      <w:r>
        <w:rPr>
          <w:rFonts w:asciiTheme="minorHAnsi" w:hAnsiTheme="minorHAnsi" w:cstheme="minorHAnsi"/>
          <w:szCs w:val="18"/>
          <w:lang w:val="en-US"/>
        </w:rPr>
        <w:t>.</w:t>
      </w:r>
    </w:p>
    <w:p w14:paraId="42828A57" w14:textId="722AFD60" w:rsidR="00873886" w:rsidRDefault="00C43B9E" w:rsidP="007B1191">
      <w:pPr>
        <w:numPr>
          <w:ilvl w:val="0"/>
          <w:numId w:val="25"/>
        </w:numPr>
        <w:spacing w:before="0" w:after="0"/>
        <w:jc w:val="both"/>
        <w:rPr>
          <w:rFonts w:asciiTheme="minorHAnsi" w:hAnsiTheme="minorHAnsi" w:cstheme="minorHAnsi"/>
          <w:szCs w:val="18"/>
          <w:lang w:val="en-US"/>
        </w:rPr>
      </w:pPr>
      <w:r w:rsidRPr="004C4418">
        <w:rPr>
          <w:rFonts w:asciiTheme="minorHAnsi" w:hAnsiTheme="minorHAnsi" w:cstheme="minorHAnsi"/>
          <w:szCs w:val="18"/>
          <w:lang w:val="en-US"/>
        </w:rPr>
        <w:t xml:space="preserve">Information to be </w:t>
      </w:r>
      <w:r w:rsidR="00EB391E" w:rsidRPr="004C36E8">
        <w:rPr>
          <w:rFonts w:asciiTheme="minorHAnsi" w:hAnsiTheme="minorHAnsi" w:cstheme="minorHAnsi"/>
          <w:szCs w:val="18"/>
          <w:lang w:val="en-US"/>
        </w:rPr>
        <w:t>provided</w:t>
      </w:r>
      <w:r w:rsidRPr="004C4418">
        <w:rPr>
          <w:rFonts w:asciiTheme="minorHAnsi" w:hAnsiTheme="minorHAnsi" w:cstheme="minorHAnsi"/>
          <w:szCs w:val="18"/>
          <w:lang w:val="en-US"/>
        </w:rPr>
        <w:t xml:space="preserve"> in the LIDP includes:</w:t>
      </w:r>
    </w:p>
    <w:p w14:paraId="1DF325DF" w14:textId="1B2701F3" w:rsidR="00C43B9E" w:rsidRPr="004C4418" w:rsidRDefault="00C43B9E" w:rsidP="00873886">
      <w:pPr>
        <w:spacing w:before="0" w:after="0"/>
        <w:ind w:left="360"/>
        <w:jc w:val="both"/>
        <w:rPr>
          <w:rFonts w:asciiTheme="minorHAnsi" w:hAnsiTheme="minorHAnsi" w:cstheme="minorHAnsi"/>
          <w:szCs w:val="18"/>
          <w:lang w:val="en-US"/>
        </w:rPr>
      </w:pPr>
      <w:r w:rsidRPr="004C4418">
        <w:rPr>
          <w:rFonts w:asciiTheme="minorHAnsi" w:hAnsiTheme="minorHAnsi" w:cstheme="minorHAnsi"/>
          <w:szCs w:val="18"/>
          <w:lang w:val="en-US"/>
        </w:rPr>
        <w:t xml:space="preserve"> </w:t>
      </w:r>
    </w:p>
    <w:p w14:paraId="14008DFE" w14:textId="3F5FAE3A" w:rsidR="00C43B9E" w:rsidRDefault="000161B2" w:rsidP="00DE7CD3">
      <w:pPr>
        <w:numPr>
          <w:ilvl w:val="1"/>
          <w:numId w:val="8"/>
        </w:numPr>
        <w:spacing w:before="0" w:after="0"/>
        <w:jc w:val="both"/>
        <w:rPr>
          <w:rFonts w:asciiTheme="minorHAnsi" w:hAnsiTheme="minorHAnsi" w:cstheme="minorHAnsi"/>
          <w:szCs w:val="18"/>
          <w:lang w:val="en-US"/>
        </w:rPr>
      </w:pPr>
      <w:r>
        <w:rPr>
          <w:rFonts w:asciiTheme="minorHAnsi" w:hAnsiTheme="minorHAnsi" w:cstheme="minorHAnsi"/>
          <w:szCs w:val="18"/>
          <w:lang w:val="en-US"/>
        </w:rPr>
        <w:t>y</w:t>
      </w:r>
      <w:r w:rsidR="00C43B9E">
        <w:rPr>
          <w:rFonts w:asciiTheme="minorHAnsi" w:hAnsiTheme="minorHAnsi" w:cstheme="minorHAnsi"/>
          <w:szCs w:val="18"/>
          <w:lang w:val="en-US"/>
        </w:rPr>
        <w:t xml:space="preserve">our </w:t>
      </w:r>
      <w:r w:rsidR="00C43B9E" w:rsidRPr="004C4418">
        <w:rPr>
          <w:rFonts w:asciiTheme="minorHAnsi" w:hAnsiTheme="minorHAnsi" w:cstheme="minorHAnsi"/>
          <w:szCs w:val="18"/>
          <w:lang w:val="en-US"/>
        </w:rPr>
        <w:t xml:space="preserve">Victorian Industry Participation Policy (VIPP) commitments </w:t>
      </w:r>
      <w:r w:rsidR="00C43B9E">
        <w:rPr>
          <w:rFonts w:asciiTheme="minorHAnsi" w:hAnsiTheme="minorHAnsi" w:cstheme="minorHAnsi"/>
          <w:szCs w:val="18"/>
          <w:lang w:val="en-US"/>
        </w:rPr>
        <w:t xml:space="preserve">– your commitments to </w:t>
      </w:r>
      <w:r w:rsidR="00C43B9E" w:rsidRPr="004C4418">
        <w:rPr>
          <w:rFonts w:asciiTheme="minorHAnsi" w:hAnsiTheme="minorHAnsi" w:cstheme="minorHAnsi"/>
          <w:szCs w:val="18"/>
          <w:lang w:val="en-US"/>
        </w:rPr>
        <w:t>local content, new and retained jobs, training,</w:t>
      </w:r>
      <w:r w:rsidR="00C43B9E">
        <w:rPr>
          <w:rFonts w:asciiTheme="minorHAnsi" w:hAnsiTheme="minorHAnsi" w:cstheme="minorHAnsi"/>
          <w:szCs w:val="18"/>
          <w:lang w:val="en-US"/>
        </w:rPr>
        <w:t xml:space="preserve"> and</w:t>
      </w:r>
      <w:r w:rsidR="00C43B9E" w:rsidRPr="004C4418">
        <w:rPr>
          <w:rFonts w:asciiTheme="minorHAnsi" w:hAnsiTheme="minorHAnsi" w:cstheme="minorHAnsi"/>
          <w:szCs w:val="18"/>
          <w:lang w:val="en-US"/>
        </w:rPr>
        <w:t xml:space="preserve"> technology transfer</w:t>
      </w:r>
    </w:p>
    <w:p w14:paraId="571C74AA" w14:textId="77777777" w:rsidR="00873886" w:rsidRPr="004C4418" w:rsidRDefault="00873886" w:rsidP="00873886">
      <w:pPr>
        <w:spacing w:before="0" w:after="0"/>
        <w:ind w:left="1080"/>
        <w:jc w:val="both"/>
        <w:rPr>
          <w:rFonts w:asciiTheme="minorHAnsi" w:hAnsiTheme="minorHAnsi" w:cstheme="minorHAnsi"/>
          <w:szCs w:val="18"/>
          <w:lang w:val="en-US"/>
        </w:rPr>
      </w:pPr>
    </w:p>
    <w:p w14:paraId="745402AA" w14:textId="5C81B767" w:rsidR="00C43B9E" w:rsidRDefault="000161B2" w:rsidP="00DE7CD3">
      <w:pPr>
        <w:numPr>
          <w:ilvl w:val="1"/>
          <w:numId w:val="8"/>
        </w:numPr>
        <w:spacing w:before="0" w:after="0"/>
        <w:jc w:val="both"/>
        <w:rPr>
          <w:rFonts w:asciiTheme="minorHAnsi" w:hAnsiTheme="minorHAnsi" w:cstheme="minorHAnsi"/>
          <w:szCs w:val="18"/>
          <w:lang w:val="en-US"/>
        </w:rPr>
      </w:pPr>
      <w:r>
        <w:rPr>
          <w:rFonts w:asciiTheme="minorHAnsi" w:hAnsiTheme="minorHAnsi" w:cstheme="minorHAnsi"/>
          <w:szCs w:val="18"/>
          <w:lang w:val="en-US"/>
        </w:rPr>
        <w:t>y</w:t>
      </w:r>
      <w:r w:rsidR="00C43B9E">
        <w:rPr>
          <w:rFonts w:asciiTheme="minorHAnsi" w:hAnsiTheme="minorHAnsi" w:cstheme="minorHAnsi"/>
          <w:szCs w:val="18"/>
          <w:lang w:val="en-US"/>
        </w:rPr>
        <w:t xml:space="preserve">our </w:t>
      </w:r>
      <w:r w:rsidR="00C43B9E" w:rsidRPr="004C4418">
        <w:rPr>
          <w:rFonts w:asciiTheme="minorHAnsi" w:hAnsiTheme="minorHAnsi" w:cstheme="minorHAnsi"/>
          <w:szCs w:val="18"/>
          <w:lang w:val="en-US"/>
        </w:rPr>
        <w:t xml:space="preserve">MPSG commitments </w:t>
      </w:r>
      <w:r w:rsidR="00C43B9E">
        <w:rPr>
          <w:rFonts w:asciiTheme="minorHAnsi" w:hAnsiTheme="minorHAnsi" w:cstheme="minorHAnsi"/>
          <w:szCs w:val="18"/>
          <w:lang w:val="en-US"/>
        </w:rPr>
        <w:t xml:space="preserve">– providing opportunities to </w:t>
      </w:r>
      <w:r w:rsidR="00C43B9E" w:rsidRPr="00664592">
        <w:rPr>
          <w:rFonts w:asciiTheme="minorHAnsi" w:hAnsiTheme="minorHAnsi" w:cstheme="minorHAnsi"/>
          <w:szCs w:val="18"/>
          <w:lang w:val="en-US"/>
        </w:rPr>
        <w:t>apprentices, trainees and cadets</w:t>
      </w:r>
    </w:p>
    <w:p w14:paraId="1F8D2A05" w14:textId="77777777" w:rsidR="00873886" w:rsidRPr="004C4418" w:rsidRDefault="00873886" w:rsidP="00873886">
      <w:pPr>
        <w:spacing w:before="0" w:after="0"/>
        <w:jc w:val="both"/>
        <w:rPr>
          <w:rFonts w:asciiTheme="minorHAnsi" w:hAnsiTheme="minorHAnsi" w:cstheme="minorHAnsi"/>
          <w:szCs w:val="18"/>
          <w:lang w:val="en-US"/>
        </w:rPr>
      </w:pPr>
    </w:p>
    <w:p w14:paraId="55F73934" w14:textId="348CD5F5" w:rsidR="00C43B9E" w:rsidRDefault="00C43B9E" w:rsidP="00DE7CD3">
      <w:pPr>
        <w:numPr>
          <w:ilvl w:val="1"/>
          <w:numId w:val="8"/>
        </w:numPr>
        <w:spacing w:before="0" w:after="0"/>
        <w:jc w:val="both"/>
        <w:rPr>
          <w:rFonts w:asciiTheme="minorHAnsi" w:hAnsiTheme="minorHAnsi" w:cstheme="minorHAnsi"/>
          <w:szCs w:val="18"/>
          <w:lang w:val="en-US"/>
        </w:rPr>
      </w:pPr>
      <w:r w:rsidRPr="004C4418">
        <w:rPr>
          <w:rFonts w:asciiTheme="minorHAnsi" w:hAnsiTheme="minorHAnsi" w:cstheme="minorHAnsi"/>
          <w:szCs w:val="18"/>
          <w:lang w:val="en-US"/>
        </w:rPr>
        <w:t>how the LIDP will be</w:t>
      </w:r>
      <w:r>
        <w:rPr>
          <w:rFonts w:asciiTheme="minorHAnsi" w:hAnsiTheme="minorHAnsi" w:cstheme="minorHAnsi"/>
          <w:szCs w:val="18"/>
          <w:lang w:val="en-US"/>
        </w:rPr>
        <w:t xml:space="preserve"> applied</w:t>
      </w:r>
      <w:r w:rsidRPr="004C4418">
        <w:rPr>
          <w:rFonts w:asciiTheme="minorHAnsi" w:hAnsiTheme="minorHAnsi" w:cstheme="minorHAnsi"/>
          <w:szCs w:val="18"/>
          <w:lang w:val="en-US"/>
        </w:rPr>
        <w:t xml:space="preserve"> and management of risks, </w:t>
      </w:r>
      <w:r>
        <w:rPr>
          <w:rFonts w:asciiTheme="minorHAnsi" w:hAnsiTheme="minorHAnsi" w:cstheme="minorHAnsi"/>
          <w:szCs w:val="18"/>
          <w:lang w:val="en-US"/>
        </w:rPr>
        <w:t>such as</w:t>
      </w:r>
      <w:r w:rsidRPr="004C4418">
        <w:rPr>
          <w:rFonts w:asciiTheme="minorHAnsi" w:hAnsiTheme="minorHAnsi" w:cstheme="minorHAnsi"/>
          <w:szCs w:val="18"/>
          <w:lang w:val="en-US"/>
        </w:rPr>
        <w:t xml:space="preserve"> industry engagement strategies</w:t>
      </w:r>
      <w:r w:rsidR="001F6830">
        <w:rPr>
          <w:rFonts w:asciiTheme="minorHAnsi" w:hAnsiTheme="minorHAnsi" w:cstheme="minorHAnsi"/>
          <w:szCs w:val="18"/>
          <w:lang w:val="en-US"/>
        </w:rPr>
        <w:t xml:space="preserve"> and selection and benchmarking of local content</w:t>
      </w:r>
    </w:p>
    <w:p w14:paraId="19F8D72C" w14:textId="77777777" w:rsidR="00873886" w:rsidRPr="004C4418" w:rsidRDefault="00873886" w:rsidP="00873886">
      <w:pPr>
        <w:spacing w:before="0" w:after="0"/>
        <w:jc w:val="both"/>
        <w:rPr>
          <w:rFonts w:asciiTheme="minorHAnsi" w:hAnsiTheme="minorHAnsi" w:cstheme="minorHAnsi"/>
          <w:szCs w:val="18"/>
          <w:lang w:val="en-US"/>
        </w:rPr>
      </w:pPr>
    </w:p>
    <w:p w14:paraId="085A6D11" w14:textId="2D37088D" w:rsidR="00C43B9E" w:rsidRDefault="00C43B9E" w:rsidP="00DE7CD3">
      <w:pPr>
        <w:numPr>
          <w:ilvl w:val="1"/>
          <w:numId w:val="8"/>
        </w:numPr>
        <w:spacing w:before="0" w:after="0"/>
        <w:jc w:val="both"/>
        <w:rPr>
          <w:rFonts w:asciiTheme="minorHAnsi" w:hAnsiTheme="minorHAnsi" w:cstheme="minorHAnsi"/>
          <w:szCs w:val="18"/>
          <w:lang w:val="en-US"/>
        </w:rPr>
      </w:pPr>
      <w:r w:rsidRPr="004C4418">
        <w:rPr>
          <w:rFonts w:asciiTheme="minorHAnsi" w:hAnsiTheme="minorHAnsi" w:cstheme="minorHAnsi"/>
          <w:szCs w:val="18"/>
          <w:lang w:val="en-US"/>
        </w:rPr>
        <w:t xml:space="preserve">monitoring and reporting requirements, </w:t>
      </w:r>
      <w:r>
        <w:rPr>
          <w:rFonts w:asciiTheme="minorHAnsi" w:hAnsiTheme="minorHAnsi" w:cstheme="minorHAnsi"/>
          <w:szCs w:val="18"/>
          <w:lang w:val="en-US"/>
        </w:rPr>
        <w:t xml:space="preserve">such as </w:t>
      </w:r>
      <w:r w:rsidRPr="004C4418">
        <w:rPr>
          <w:rFonts w:asciiTheme="minorHAnsi" w:hAnsiTheme="minorHAnsi" w:cstheme="minorHAnsi"/>
          <w:szCs w:val="18"/>
          <w:lang w:val="en-US"/>
        </w:rPr>
        <w:t>those to be delivered as part of normal project management procedures</w:t>
      </w:r>
    </w:p>
    <w:p w14:paraId="334FD92C" w14:textId="77777777" w:rsidR="00873886" w:rsidRDefault="00873886" w:rsidP="00873886">
      <w:pPr>
        <w:spacing w:before="0" w:after="0"/>
        <w:jc w:val="both"/>
        <w:rPr>
          <w:rFonts w:asciiTheme="minorHAnsi" w:hAnsiTheme="minorHAnsi" w:cstheme="minorHAnsi"/>
          <w:szCs w:val="18"/>
          <w:lang w:val="en-US"/>
        </w:rPr>
      </w:pPr>
    </w:p>
    <w:p w14:paraId="323593C7" w14:textId="5CEA0FBB" w:rsidR="001F6830" w:rsidRDefault="003C57F8" w:rsidP="00DE7CD3">
      <w:pPr>
        <w:numPr>
          <w:ilvl w:val="1"/>
          <w:numId w:val="8"/>
        </w:numPr>
        <w:spacing w:before="0" w:after="0"/>
        <w:jc w:val="both"/>
        <w:rPr>
          <w:rFonts w:asciiTheme="minorHAnsi" w:hAnsiTheme="minorHAnsi" w:cstheme="minorHAnsi"/>
          <w:szCs w:val="18"/>
          <w:lang w:val="en-US"/>
        </w:rPr>
      </w:pPr>
      <w:r>
        <w:rPr>
          <w:rFonts w:asciiTheme="minorHAnsi" w:hAnsiTheme="minorHAnsi" w:cstheme="minorHAnsi"/>
          <w:szCs w:val="18"/>
          <w:lang w:val="en-US"/>
        </w:rPr>
        <w:t>t</w:t>
      </w:r>
      <w:r w:rsidR="001F6830">
        <w:rPr>
          <w:rFonts w:asciiTheme="minorHAnsi" w:hAnsiTheme="minorHAnsi" w:cstheme="minorHAnsi"/>
          <w:szCs w:val="18"/>
          <w:lang w:val="en-US"/>
        </w:rPr>
        <w:t xml:space="preserve">he amount of small to medium enterprises that will be engaged as part of the contract. </w:t>
      </w:r>
    </w:p>
    <w:p w14:paraId="27428D71" w14:textId="77777777" w:rsidR="00F82539" w:rsidRDefault="00F82539" w:rsidP="00952098">
      <w:pPr>
        <w:spacing w:before="0" w:after="0"/>
        <w:ind w:left="720"/>
        <w:jc w:val="both"/>
        <w:rPr>
          <w:rFonts w:asciiTheme="minorHAnsi" w:hAnsiTheme="minorHAnsi" w:cstheme="minorHAnsi"/>
          <w:szCs w:val="18"/>
          <w:lang w:val="en-US"/>
        </w:rPr>
      </w:pPr>
    </w:p>
    <w:p w14:paraId="5CF0BEDC" w14:textId="4ED1A2A7" w:rsidR="00F82539" w:rsidRPr="00F82539" w:rsidRDefault="00F82539" w:rsidP="00952098">
      <w:pPr>
        <w:numPr>
          <w:ilvl w:val="0"/>
          <w:numId w:val="25"/>
        </w:numPr>
        <w:jc w:val="both"/>
        <w:rPr>
          <w:rFonts w:asciiTheme="minorHAnsi" w:hAnsiTheme="minorHAnsi" w:cstheme="minorHAnsi"/>
          <w:szCs w:val="18"/>
          <w:lang w:val="en-US"/>
        </w:rPr>
      </w:pPr>
      <w:r w:rsidRPr="00F82539">
        <w:rPr>
          <w:rFonts w:asciiTheme="minorHAnsi" w:hAnsiTheme="minorHAnsi" w:cstheme="minorHAnsi"/>
          <w:szCs w:val="18"/>
          <w:lang w:val="en-US"/>
        </w:rPr>
        <w:t xml:space="preserve">The size and complexity of the project will help inform how detailed the LIDP will be. For </w:t>
      </w:r>
      <w:r w:rsidR="000E4390">
        <w:rPr>
          <w:rFonts w:asciiTheme="minorHAnsi" w:hAnsiTheme="minorHAnsi" w:cstheme="minorHAnsi"/>
          <w:szCs w:val="18"/>
          <w:lang w:val="en-US"/>
        </w:rPr>
        <w:t>limited contestability</w:t>
      </w:r>
      <w:r w:rsidR="000E4390" w:rsidRPr="007A58EE">
        <w:rPr>
          <w:rFonts w:asciiTheme="minorHAnsi" w:hAnsiTheme="minorHAnsi" w:cstheme="minorHAnsi"/>
          <w:szCs w:val="18"/>
          <w:lang w:val="en-US"/>
        </w:rPr>
        <w:t xml:space="preserve"> </w:t>
      </w:r>
      <w:r w:rsidRPr="00F82539">
        <w:rPr>
          <w:rFonts w:asciiTheme="minorHAnsi" w:hAnsiTheme="minorHAnsi" w:cstheme="minorHAnsi"/>
          <w:szCs w:val="18"/>
          <w:lang w:val="en-US"/>
        </w:rPr>
        <w:t xml:space="preserve">projects, only jobs outcomes and monitoring and reporting requirements are required from bidders. </w:t>
      </w:r>
    </w:p>
    <w:p w14:paraId="1AD6F177" w14:textId="760EEC4B" w:rsidR="00F82539" w:rsidRDefault="00F82539" w:rsidP="00952098">
      <w:pPr>
        <w:numPr>
          <w:ilvl w:val="0"/>
          <w:numId w:val="25"/>
        </w:numPr>
        <w:jc w:val="both"/>
        <w:rPr>
          <w:rFonts w:asciiTheme="minorHAnsi" w:hAnsiTheme="minorHAnsi" w:cstheme="minorHAnsi"/>
          <w:szCs w:val="18"/>
          <w:lang w:val="en-US"/>
        </w:rPr>
      </w:pPr>
      <w:r w:rsidRPr="00F82539">
        <w:rPr>
          <w:rFonts w:asciiTheme="minorHAnsi" w:hAnsiTheme="minorHAnsi" w:cstheme="minorHAnsi"/>
          <w:szCs w:val="18"/>
          <w:lang w:val="en-US"/>
        </w:rPr>
        <w:t>LIDPs generally take between one to six working days to prepare depending on the complexity of the project, nature of the contestable items or experience with LJF by the bidder</w:t>
      </w:r>
      <w:r w:rsidR="00A804CA">
        <w:rPr>
          <w:rFonts w:asciiTheme="minorHAnsi" w:hAnsiTheme="minorHAnsi" w:cstheme="minorHAnsi"/>
          <w:szCs w:val="18"/>
          <w:lang w:val="en-US"/>
        </w:rPr>
        <w:t>.</w:t>
      </w:r>
    </w:p>
    <w:p w14:paraId="7D44355F" w14:textId="5D29D312" w:rsidR="00653DD4" w:rsidRPr="00653DD4" w:rsidRDefault="00653DD4" w:rsidP="00653DD4">
      <w:pPr>
        <w:pStyle w:val="ListParagraph"/>
        <w:numPr>
          <w:ilvl w:val="0"/>
          <w:numId w:val="25"/>
        </w:numPr>
        <w:rPr>
          <w:rFonts w:asciiTheme="minorHAnsi" w:hAnsiTheme="minorHAnsi" w:cstheme="minorHAnsi"/>
          <w:sz w:val="18"/>
          <w:szCs w:val="18"/>
          <w:lang w:val="en-US" w:eastAsia="en-US"/>
        </w:rPr>
      </w:pPr>
      <w:r w:rsidRPr="00653DD4">
        <w:rPr>
          <w:rFonts w:asciiTheme="minorHAnsi" w:hAnsiTheme="minorHAnsi" w:cstheme="minorHAnsi"/>
          <w:sz w:val="18"/>
          <w:szCs w:val="18"/>
          <w:lang w:val="en-US" w:eastAsia="en-US"/>
        </w:rPr>
        <w:t>ICN can help bidders prepare their LIDP by choosing ‘Assistance’ mode within the VMC. Advice on local capabilities will only be given by ICN if Assistance mode is selected. The Victorian Government funds the ICN to help bidders in preparing LIDPS and identifying opportunities for local suppliers.</w:t>
      </w:r>
    </w:p>
    <w:p w14:paraId="79A08738" w14:textId="77777777" w:rsidR="00653DD4" w:rsidRPr="00653DD4" w:rsidRDefault="00653DD4" w:rsidP="00653DD4">
      <w:pPr>
        <w:ind w:left="360"/>
        <w:jc w:val="both"/>
        <w:rPr>
          <w:rFonts w:asciiTheme="minorHAnsi" w:hAnsiTheme="minorHAnsi" w:cstheme="minorHAnsi"/>
          <w:b/>
          <w:szCs w:val="18"/>
          <w:lang w:val="en-US"/>
        </w:rPr>
      </w:pPr>
      <w:r w:rsidRPr="00653DD4">
        <w:rPr>
          <w:rFonts w:asciiTheme="minorHAnsi" w:hAnsiTheme="minorHAnsi" w:cstheme="minorHAnsi"/>
          <w:b/>
          <w:szCs w:val="18"/>
          <w:lang w:val="en-US"/>
        </w:rPr>
        <w:t>Employment Commitment</w:t>
      </w:r>
    </w:p>
    <w:p w14:paraId="1E707624" w14:textId="761542D4" w:rsidR="00653DD4" w:rsidRPr="00653DD4" w:rsidRDefault="00653DD4" w:rsidP="00653DD4">
      <w:pPr>
        <w:numPr>
          <w:ilvl w:val="0"/>
          <w:numId w:val="25"/>
        </w:numPr>
        <w:jc w:val="both"/>
        <w:rPr>
          <w:rFonts w:asciiTheme="minorHAnsi" w:hAnsiTheme="minorHAnsi" w:cstheme="minorHAnsi"/>
          <w:szCs w:val="18"/>
          <w:lang w:val="en-US"/>
        </w:rPr>
      </w:pPr>
      <w:r w:rsidRPr="00653DD4">
        <w:rPr>
          <w:rFonts w:asciiTheme="minorHAnsi" w:hAnsiTheme="minorHAnsi" w:cstheme="minorHAnsi"/>
          <w:szCs w:val="18"/>
          <w:lang w:val="en-US"/>
        </w:rPr>
        <w:t xml:space="preserve">A primary objective of the Local Jobs First Policy is to promote employment and business growth by providing opportunities for local businesses. Agencies must consider the jobs outcomes of bids when awarding a contract. </w:t>
      </w:r>
    </w:p>
    <w:p w14:paraId="5B711439" w14:textId="77777777" w:rsidR="00653DD4" w:rsidRPr="00653DD4" w:rsidRDefault="00653DD4" w:rsidP="00653DD4">
      <w:pPr>
        <w:numPr>
          <w:ilvl w:val="0"/>
          <w:numId w:val="25"/>
        </w:numPr>
        <w:jc w:val="both"/>
        <w:rPr>
          <w:rFonts w:asciiTheme="minorHAnsi" w:hAnsiTheme="minorHAnsi" w:cstheme="minorHAnsi"/>
          <w:szCs w:val="18"/>
          <w:lang w:val="en-US"/>
        </w:rPr>
      </w:pPr>
      <w:r w:rsidRPr="00653DD4">
        <w:rPr>
          <w:rFonts w:asciiTheme="minorHAnsi" w:hAnsiTheme="minorHAnsi" w:cstheme="minorHAnsi"/>
          <w:szCs w:val="18"/>
          <w:lang w:val="en-US"/>
        </w:rPr>
        <w:t>Calculate the number of retained and/or new jobs to be created in Australia and/or New Zealand during the life of this project. This number covers both your company and those from your supply chain, if you are using a supply chain.</w:t>
      </w:r>
    </w:p>
    <w:p w14:paraId="1C21C40C" w14:textId="5D10C026" w:rsidR="00653DD4" w:rsidRPr="00653DD4" w:rsidRDefault="00653DD4" w:rsidP="00653DD4">
      <w:pPr>
        <w:numPr>
          <w:ilvl w:val="0"/>
          <w:numId w:val="25"/>
        </w:numPr>
        <w:jc w:val="both"/>
        <w:rPr>
          <w:rFonts w:asciiTheme="minorHAnsi" w:hAnsiTheme="minorHAnsi" w:cstheme="minorHAnsi"/>
          <w:szCs w:val="18"/>
          <w:lang w:val="en-US"/>
        </w:rPr>
      </w:pPr>
      <w:r w:rsidRPr="00653DD4">
        <w:rPr>
          <w:rFonts w:asciiTheme="minorHAnsi" w:hAnsiTheme="minorHAnsi" w:cstheme="minorHAnsi"/>
          <w:szCs w:val="18"/>
          <w:lang w:val="en-US"/>
        </w:rPr>
        <w:t xml:space="preserve">A retained job means a job (one Annual Employee </w:t>
      </w:r>
      <w:r w:rsidR="002F1BEF" w:rsidRPr="00653DD4">
        <w:rPr>
          <w:rFonts w:asciiTheme="minorHAnsi" w:hAnsiTheme="minorHAnsi" w:cstheme="minorHAnsi"/>
          <w:szCs w:val="18"/>
          <w:lang w:val="en-US"/>
        </w:rPr>
        <w:t>Equivalent)</w:t>
      </w:r>
      <w:r w:rsidRPr="00653DD4">
        <w:rPr>
          <w:rFonts w:asciiTheme="minorHAnsi" w:hAnsiTheme="minorHAnsi" w:cstheme="minorHAnsi"/>
          <w:szCs w:val="18"/>
          <w:lang w:val="en-US"/>
        </w:rPr>
        <w:t xml:space="preserve"> that has been working for a supplier or subcontractor before signing a project contract, working in tasks/works related to the project. This may also be referred to as an existing employee.</w:t>
      </w:r>
    </w:p>
    <w:p w14:paraId="566AC511" w14:textId="5BB75458" w:rsidR="00653DD4" w:rsidRPr="00653DD4" w:rsidRDefault="00653DD4" w:rsidP="00653DD4">
      <w:pPr>
        <w:numPr>
          <w:ilvl w:val="0"/>
          <w:numId w:val="25"/>
        </w:numPr>
        <w:jc w:val="both"/>
        <w:rPr>
          <w:rFonts w:asciiTheme="minorHAnsi" w:hAnsiTheme="minorHAnsi" w:cstheme="minorHAnsi"/>
          <w:szCs w:val="18"/>
          <w:lang w:val="en-US"/>
        </w:rPr>
      </w:pPr>
      <w:r w:rsidRPr="00653DD4">
        <w:rPr>
          <w:rFonts w:asciiTheme="minorHAnsi" w:hAnsiTheme="minorHAnsi" w:cstheme="minorHAnsi"/>
          <w:szCs w:val="18"/>
          <w:lang w:val="en-US"/>
        </w:rPr>
        <w:t xml:space="preserve">A new job means a job (one Annual Employee </w:t>
      </w:r>
      <w:r w:rsidR="002F1BEF" w:rsidRPr="00653DD4">
        <w:rPr>
          <w:rFonts w:asciiTheme="minorHAnsi" w:hAnsiTheme="minorHAnsi" w:cstheme="minorHAnsi"/>
          <w:szCs w:val="18"/>
          <w:lang w:val="en-US"/>
        </w:rPr>
        <w:t>Equivalent)</w:t>
      </w:r>
      <w:r w:rsidRPr="00653DD4">
        <w:rPr>
          <w:rFonts w:asciiTheme="minorHAnsi" w:hAnsiTheme="minorHAnsi" w:cstheme="minorHAnsi"/>
          <w:szCs w:val="18"/>
          <w:lang w:val="en-US"/>
        </w:rPr>
        <w:t xml:space="preserve"> that has been specifically employed by a supplier or subcontractors, because of the work generated by a specific project.</w:t>
      </w:r>
    </w:p>
    <w:p w14:paraId="59170CAB" w14:textId="77777777" w:rsidR="00653DD4" w:rsidRPr="00653DD4" w:rsidRDefault="00653DD4" w:rsidP="00653DD4">
      <w:pPr>
        <w:numPr>
          <w:ilvl w:val="0"/>
          <w:numId w:val="25"/>
        </w:numPr>
        <w:jc w:val="both"/>
        <w:rPr>
          <w:rFonts w:asciiTheme="minorHAnsi" w:hAnsiTheme="minorHAnsi" w:cstheme="minorHAnsi"/>
          <w:szCs w:val="18"/>
          <w:lang w:val="en-US"/>
        </w:rPr>
      </w:pPr>
      <w:r w:rsidRPr="00653DD4">
        <w:rPr>
          <w:rFonts w:asciiTheme="minorHAnsi" w:hAnsiTheme="minorHAnsi" w:cstheme="minorHAnsi"/>
          <w:szCs w:val="18"/>
          <w:lang w:val="en-US"/>
        </w:rPr>
        <w:t>Annual Employee Equivalent (AEE) is used in place of Full Time Equivalence (FTE). Created/retained numbers must be provided in AEE. Annualized Employee Equivalent is calculated by dividing the total paid hours of the contract by 1,976. 1,976 reflects the total full-time working hours paid yearly to a full-time employee (38 hours per week for 52 weeks). Agencies will not give a higher weighting for more created or retained jobs – they will be considered equal.</w:t>
      </w:r>
    </w:p>
    <w:p w14:paraId="644DE0BF" w14:textId="77777777" w:rsidR="00653DD4" w:rsidRPr="00653DD4" w:rsidRDefault="00653DD4" w:rsidP="00653DD4">
      <w:pPr>
        <w:ind w:left="360"/>
        <w:jc w:val="both"/>
        <w:rPr>
          <w:rFonts w:asciiTheme="minorHAnsi" w:hAnsiTheme="minorHAnsi" w:cstheme="minorHAnsi"/>
          <w:b/>
          <w:szCs w:val="18"/>
          <w:lang w:val="en-US"/>
        </w:rPr>
      </w:pPr>
      <w:r w:rsidRPr="00653DD4">
        <w:rPr>
          <w:rFonts w:asciiTheme="minorHAnsi" w:hAnsiTheme="minorHAnsi" w:cstheme="minorHAnsi"/>
          <w:b/>
          <w:szCs w:val="18"/>
          <w:lang w:val="en-US"/>
        </w:rPr>
        <w:t>Importance of the LIDP</w:t>
      </w:r>
    </w:p>
    <w:p w14:paraId="0809940E" w14:textId="332AE997" w:rsidR="00653DD4" w:rsidRPr="00653DD4" w:rsidRDefault="00653DD4" w:rsidP="00653DD4">
      <w:pPr>
        <w:numPr>
          <w:ilvl w:val="0"/>
          <w:numId w:val="25"/>
        </w:numPr>
        <w:jc w:val="both"/>
        <w:rPr>
          <w:rFonts w:asciiTheme="minorHAnsi" w:hAnsiTheme="minorHAnsi" w:cstheme="minorHAnsi"/>
          <w:szCs w:val="18"/>
          <w:lang w:val="en-US"/>
        </w:rPr>
      </w:pPr>
      <w:r w:rsidRPr="00653DD4">
        <w:rPr>
          <w:rFonts w:asciiTheme="minorHAnsi" w:hAnsiTheme="minorHAnsi" w:cstheme="minorHAnsi"/>
          <w:szCs w:val="18"/>
          <w:lang w:val="en-US"/>
        </w:rPr>
        <w:t>The LIDP will be used in the tender to inform the 20 per cent Local Jobs First weightings, and commitments made in the document will be included in the contract of the successful bidder.</w:t>
      </w:r>
    </w:p>
    <w:p w14:paraId="71A73316" w14:textId="116881EA" w:rsidR="00653DD4" w:rsidRPr="00653DD4" w:rsidRDefault="00653DD4" w:rsidP="00653DD4">
      <w:pPr>
        <w:ind w:left="360"/>
        <w:jc w:val="both"/>
        <w:rPr>
          <w:rFonts w:asciiTheme="minorHAnsi" w:hAnsiTheme="minorHAnsi" w:cstheme="minorHAnsi"/>
          <w:b/>
          <w:szCs w:val="18"/>
          <w:lang w:val="en-US"/>
        </w:rPr>
      </w:pPr>
      <w:r>
        <w:rPr>
          <w:rFonts w:asciiTheme="minorHAnsi" w:hAnsiTheme="minorHAnsi" w:cstheme="minorHAnsi"/>
          <w:b/>
          <w:szCs w:val="18"/>
          <w:lang w:val="en-US"/>
        </w:rPr>
        <w:lastRenderedPageBreak/>
        <w:t>MPSG Commitments</w:t>
      </w:r>
    </w:p>
    <w:p w14:paraId="78281727" w14:textId="4590D6AD" w:rsidR="0068140E" w:rsidRPr="00B63D2B" w:rsidRDefault="00334B90" w:rsidP="00B63D2B">
      <w:pPr>
        <w:numPr>
          <w:ilvl w:val="0"/>
          <w:numId w:val="25"/>
        </w:numPr>
        <w:jc w:val="both"/>
        <w:rPr>
          <w:rFonts w:asciiTheme="minorHAnsi" w:hAnsiTheme="minorHAnsi" w:cstheme="minorHAnsi"/>
          <w:szCs w:val="18"/>
          <w:lang w:val="en-US"/>
        </w:rPr>
      </w:pPr>
      <w:r w:rsidRPr="00322A75">
        <w:rPr>
          <w:rFonts w:asciiTheme="minorHAnsi" w:hAnsiTheme="minorHAnsi" w:cstheme="minorHAnsi"/>
          <w:szCs w:val="18"/>
          <w:lang w:val="en-US"/>
        </w:rPr>
        <w:t>The total labour hours under the MPSG are based on the total value of the contract, including all sub-contracting under the principal contract</w:t>
      </w:r>
      <w:r w:rsidR="003C57F8">
        <w:rPr>
          <w:rFonts w:asciiTheme="minorHAnsi" w:hAnsiTheme="minorHAnsi" w:cstheme="minorHAnsi"/>
          <w:szCs w:val="18"/>
          <w:lang w:val="en-US"/>
        </w:rPr>
        <w:t>or</w:t>
      </w:r>
      <w:r w:rsidRPr="00322A75">
        <w:rPr>
          <w:rFonts w:asciiTheme="minorHAnsi" w:hAnsiTheme="minorHAnsi" w:cstheme="minorHAnsi"/>
          <w:szCs w:val="18"/>
          <w:lang w:val="en-US"/>
        </w:rPr>
        <w:t>, and is determined by</w:t>
      </w:r>
      <w:r w:rsidR="00414268">
        <w:rPr>
          <w:rFonts w:asciiTheme="minorHAnsi" w:hAnsiTheme="minorHAnsi" w:cstheme="minorHAnsi"/>
          <w:szCs w:val="18"/>
          <w:lang w:val="en-US"/>
        </w:rPr>
        <w:t xml:space="preserve"> bidders</w:t>
      </w:r>
      <w:r w:rsidRPr="00322A75">
        <w:rPr>
          <w:rFonts w:asciiTheme="minorHAnsi" w:hAnsiTheme="minorHAnsi" w:cstheme="minorHAnsi"/>
          <w:szCs w:val="18"/>
          <w:lang w:val="en-US"/>
        </w:rPr>
        <w:t xml:space="preserve"> using the Deemed Hours Formula</w:t>
      </w:r>
      <w:r w:rsidR="00B63D2B">
        <w:rPr>
          <w:rFonts w:asciiTheme="minorHAnsi" w:hAnsiTheme="minorHAnsi" w:cstheme="minorHAnsi"/>
          <w:szCs w:val="18"/>
          <w:lang w:val="en-US"/>
        </w:rPr>
        <w:t xml:space="preserve">, outlined below. </w:t>
      </w:r>
    </w:p>
    <w:p w14:paraId="6DEE83A5" w14:textId="6C382AC7" w:rsidR="00334B90" w:rsidRPr="00A718F5" w:rsidRDefault="00334B90" w:rsidP="007B1191">
      <w:pPr>
        <w:numPr>
          <w:ilvl w:val="0"/>
          <w:numId w:val="25"/>
        </w:numPr>
        <w:jc w:val="both"/>
        <w:rPr>
          <w:rFonts w:asciiTheme="minorHAnsi" w:hAnsiTheme="minorHAnsi" w:cstheme="minorHAnsi"/>
          <w:szCs w:val="18"/>
        </w:rPr>
      </w:pPr>
      <w:r w:rsidRPr="00084F7B">
        <w:rPr>
          <w:rFonts w:asciiTheme="minorHAnsi" w:hAnsiTheme="minorHAnsi" w:cstheme="minorHAnsi"/>
          <w:szCs w:val="18"/>
          <w:lang w:val="en-US"/>
        </w:rPr>
        <w:t>The ratios and rates used within the Deemed Hours Formula vary with the type of project. Separate labour ratios and hourly rates have been developed for building construction projects, civil and infrastructure projects, and for mixed building</w:t>
      </w:r>
      <w:r>
        <w:rPr>
          <w:rFonts w:asciiTheme="minorHAnsi" w:hAnsiTheme="minorHAnsi" w:cstheme="minorHAnsi"/>
          <w:szCs w:val="18"/>
        </w:rPr>
        <w:t xml:space="preserve"> </w:t>
      </w:r>
      <w:r w:rsidRPr="00A718F5">
        <w:rPr>
          <w:rFonts w:asciiTheme="minorHAnsi" w:hAnsiTheme="minorHAnsi" w:cstheme="minorHAnsi"/>
          <w:szCs w:val="18"/>
        </w:rPr>
        <w:t>and infrastructure</w:t>
      </w:r>
      <w:r>
        <w:rPr>
          <w:rFonts w:asciiTheme="minorHAnsi" w:hAnsiTheme="minorHAnsi" w:cstheme="minorHAnsi"/>
          <w:szCs w:val="18"/>
        </w:rPr>
        <w:t xml:space="preserve"> construction</w:t>
      </w:r>
      <w:r w:rsidRPr="00A718F5">
        <w:rPr>
          <w:rFonts w:asciiTheme="minorHAnsi" w:hAnsiTheme="minorHAnsi" w:cstheme="minorHAnsi"/>
          <w:szCs w:val="18"/>
        </w:rPr>
        <w:t xml:space="preserve"> projects based on industry data </w:t>
      </w:r>
      <w:r>
        <w:rPr>
          <w:rFonts w:asciiTheme="minorHAnsi" w:hAnsiTheme="minorHAnsi" w:cstheme="minorHAnsi"/>
          <w:szCs w:val="18"/>
        </w:rPr>
        <w:t>as detailed in the table below</w:t>
      </w:r>
      <w:r w:rsidRPr="00A718F5">
        <w:rPr>
          <w:rFonts w:asciiTheme="minorHAnsi" w:hAnsiTheme="minorHAnsi" w:cstheme="minorHAnsi"/>
          <w:szCs w:val="18"/>
        </w:rPr>
        <w:t xml:space="preserve">. </w:t>
      </w:r>
      <w:r w:rsidR="00952098">
        <w:rPr>
          <w:rFonts w:asciiTheme="minorHAnsi" w:hAnsiTheme="minorHAnsi" w:cstheme="minorHAnsi"/>
          <w:szCs w:val="18"/>
        </w:rPr>
        <w:t xml:space="preserve">The determined ratio </w:t>
      </w:r>
      <w:r w:rsidR="00D62658">
        <w:rPr>
          <w:rFonts w:asciiTheme="minorHAnsi" w:hAnsiTheme="minorHAnsi" w:cstheme="minorHAnsi"/>
          <w:szCs w:val="18"/>
        </w:rPr>
        <w:t xml:space="preserve">and how to apply it will be provided by the agency. </w:t>
      </w:r>
    </w:p>
    <w:p w14:paraId="723D38F0" w14:textId="77777777" w:rsidR="00334B90" w:rsidRPr="00182E50" w:rsidRDefault="00334B90" w:rsidP="00CD1D2A">
      <w:pPr>
        <w:jc w:val="both"/>
        <w:rPr>
          <w:b/>
          <w:bCs/>
        </w:rPr>
      </w:pPr>
      <w:r w:rsidRPr="00182E50">
        <w:rPr>
          <w:b/>
          <w:bCs/>
        </w:rPr>
        <w:t>Table 1: Project Types and the Deemed Hours Formula</w:t>
      </w:r>
    </w:p>
    <w:tbl>
      <w:tblPr>
        <w:tblStyle w:val="ListTable3"/>
        <w:tblW w:w="8505" w:type="dxa"/>
        <w:tblInd w:w="817" w:type="dxa"/>
        <w:tblLook w:val="04A0" w:firstRow="1" w:lastRow="0" w:firstColumn="1" w:lastColumn="0" w:noHBand="0" w:noVBand="1"/>
      </w:tblPr>
      <w:tblGrid>
        <w:gridCol w:w="1387"/>
        <w:gridCol w:w="4374"/>
        <w:gridCol w:w="1433"/>
        <w:gridCol w:w="1311"/>
      </w:tblGrid>
      <w:tr w:rsidR="00334B90" w:rsidRPr="00B102D3" w14:paraId="5E28E57F" w14:textId="77777777" w:rsidTr="006F16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97" w:type="dxa"/>
            <w:tcBorders>
              <w:top w:val="single" w:sz="4" w:space="0" w:color="201547" w:themeColor="text1"/>
              <w:bottom w:val="single" w:sz="4" w:space="0" w:color="201547" w:themeColor="text1"/>
            </w:tcBorders>
            <w:shd w:val="clear" w:color="auto" w:fill="auto"/>
          </w:tcPr>
          <w:p w14:paraId="31BE53E3" w14:textId="77777777" w:rsidR="00334B90" w:rsidRPr="00B102D3" w:rsidRDefault="00334B90" w:rsidP="006F16A0">
            <w:pPr>
              <w:spacing w:after="200"/>
            </w:pPr>
            <w:r w:rsidRPr="00B102D3">
              <w:t>Project Type</w:t>
            </w:r>
          </w:p>
        </w:tc>
        <w:tc>
          <w:tcPr>
            <w:tcW w:w="4592" w:type="dxa"/>
            <w:tcBorders>
              <w:top w:val="single" w:sz="4" w:space="0" w:color="201547" w:themeColor="text1"/>
              <w:bottom w:val="single" w:sz="4" w:space="0" w:color="201547" w:themeColor="text1"/>
            </w:tcBorders>
            <w:shd w:val="clear" w:color="auto" w:fill="auto"/>
          </w:tcPr>
          <w:p w14:paraId="6DA4F950" w14:textId="77777777" w:rsidR="00334B90" w:rsidRPr="00B102D3" w:rsidRDefault="00334B90" w:rsidP="006F16A0">
            <w:pPr>
              <w:spacing w:after="200"/>
              <w:cnfStyle w:val="100000000000" w:firstRow="1" w:lastRow="0" w:firstColumn="0" w:lastColumn="0" w:oddVBand="0" w:evenVBand="0" w:oddHBand="0" w:evenHBand="0" w:firstRowFirstColumn="0" w:firstRowLastColumn="0" w:lastRowFirstColumn="0" w:lastRowLastColumn="0"/>
            </w:pPr>
            <w:r w:rsidRPr="00B102D3">
              <w:t>Project Description</w:t>
            </w:r>
          </w:p>
        </w:tc>
        <w:tc>
          <w:tcPr>
            <w:tcW w:w="1474" w:type="dxa"/>
            <w:tcBorders>
              <w:top w:val="single" w:sz="4" w:space="0" w:color="201547" w:themeColor="text1"/>
              <w:bottom w:val="single" w:sz="4" w:space="0" w:color="201547" w:themeColor="text1"/>
            </w:tcBorders>
            <w:shd w:val="clear" w:color="auto" w:fill="auto"/>
          </w:tcPr>
          <w:p w14:paraId="6CFD67B3" w14:textId="77777777" w:rsidR="00334B90" w:rsidRPr="00B102D3" w:rsidRDefault="00334B90" w:rsidP="006F16A0">
            <w:pPr>
              <w:spacing w:after="200"/>
              <w:cnfStyle w:val="100000000000" w:firstRow="1" w:lastRow="0" w:firstColumn="0" w:lastColumn="0" w:oddVBand="0" w:evenVBand="0" w:oddHBand="0" w:evenHBand="0" w:firstRowFirstColumn="0" w:firstRowLastColumn="0" w:lastRowFirstColumn="0" w:lastRowLastColumn="0"/>
            </w:pPr>
            <w:r w:rsidRPr="00B102D3">
              <w:t>Deemed Labour Ratio</w:t>
            </w:r>
          </w:p>
        </w:tc>
        <w:tc>
          <w:tcPr>
            <w:tcW w:w="1342" w:type="dxa"/>
            <w:tcBorders>
              <w:top w:val="single" w:sz="4" w:space="0" w:color="201547" w:themeColor="text1"/>
              <w:bottom w:val="single" w:sz="4" w:space="0" w:color="201547" w:themeColor="text1"/>
            </w:tcBorders>
            <w:shd w:val="clear" w:color="auto" w:fill="auto"/>
          </w:tcPr>
          <w:p w14:paraId="50801EC2" w14:textId="77777777" w:rsidR="00334B90" w:rsidRPr="00B102D3" w:rsidRDefault="00334B90" w:rsidP="006F16A0">
            <w:pPr>
              <w:spacing w:after="200"/>
              <w:cnfStyle w:val="100000000000" w:firstRow="1" w:lastRow="0" w:firstColumn="0" w:lastColumn="0" w:oddVBand="0" w:evenVBand="0" w:oddHBand="0" w:evenHBand="0" w:firstRowFirstColumn="0" w:firstRowLastColumn="0" w:lastRowFirstColumn="0" w:lastRowLastColumn="0"/>
            </w:pPr>
            <w:r w:rsidRPr="00B102D3">
              <w:t>Deemed Hourly Rate</w:t>
            </w:r>
          </w:p>
        </w:tc>
      </w:tr>
      <w:tr w:rsidR="00334B90" w:rsidRPr="00B102D3" w14:paraId="6DEB0E0B" w14:textId="77777777" w:rsidTr="006F16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7" w:type="dxa"/>
          </w:tcPr>
          <w:p w14:paraId="61F91DFD" w14:textId="77777777" w:rsidR="00334B90" w:rsidRPr="00B102D3" w:rsidRDefault="00334B90" w:rsidP="006F16A0">
            <w:pPr>
              <w:spacing w:after="200"/>
            </w:pPr>
            <w:r w:rsidRPr="00B102D3">
              <w:t>Building construction projects</w:t>
            </w:r>
          </w:p>
        </w:tc>
        <w:tc>
          <w:tcPr>
            <w:tcW w:w="4592" w:type="dxa"/>
          </w:tcPr>
          <w:p w14:paraId="2D005F7C" w14:textId="77777777" w:rsidR="00334B90" w:rsidRPr="00B102D3" w:rsidRDefault="00334B90" w:rsidP="006F16A0">
            <w:pPr>
              <w:spacing w:after="200"/>
              <w:cnfStyle w:val="000000100000" w:firstRow="0" w:lastRow="0" w:firstColumn="0" w:lastColumn="0" w:oddVBand="0" w:evenVBand="0" w:oddHBand="1" w:evenHBand="0" w:firstRowFirstColumn="0" w:firstRowLastColumn="0" w:lastRowFirstColumn="0" w:lastRowLastColumn="0"/>
            </w:pPr>
            <w:r w:rsidRPr="00B102D3">
              <w:t xml:space="preserve">Building </w:t>
            </w:r>
            <w:r>
              <w:t xml:space="preserve">construction projects </w:t>
            </w:r>
            <w:r w:rsidRPr="00B102D3">
              <w:t xml:space="preserve">include commercial </w:t>
            </w:r>
            <w:r>
              <w:t xml:space="preserve">building </w:t>
            </w:r>
            <w:r w:rsidRPr="00B102D3">
              <w:t xml:space="preserve">projects, schools, education, hospitals, police, fire and ambulance stations, civic buildings, courts and </w:t>
            </w:r>
            <w:r>
              <w:t>similar structures</w:t>
            </w:r>
            <w:r w:rsidRPr="00B102D3">
              <w:t xml:space="preserve">. </w:t>
            </w:r>
          </w:p>
        </w:tc>
        <w:tc>
          <w:tcPr>
            <w:tcW w:w="1474" w:type="dxa"/>
          </w:tcPr>
          <w:p w14:paraId="025BD318" w14:textId="77777777" w:rsidR="00334B90" w:rsidRPr="00B102D3" w:rsidRDefault="00334B90" w:rsidP="006F16A0">
            <w:pPr>
              <w:spacing w:after="200"/>
              <w:cnfStyle w:val="000000100000" w:firstRow="0" w:lastRow="0" w:firstColumn="0" w:lastColumn="0" w:oddVBand="0" w:evenVBand="0" w:oddHBand="1" w:evenHBand="0" w:firstRowFirstColumn="0" w:firstRowLastColumn="0" w:lastRowFirstColumn="0" w:lastRowLastColumn="0"/>
            </w:pPr>
            <w:r w:rsidRPr="00B102D3">
              <w:t>35%</w:t>
            </w:r>
          </w:p>
        </w:tc>
        <w:tc>
          <w:tcPr>
            <w:tcW w:w="1342" w:type="dxa"/>
          </w:tcPr>
          <w:p w14:paraId="17BDF84B" w14:textId="77777777" w:rsidR="00334B90" w:rsidRPr="00B102D3" w:rsidRDefault="00334B90" w:rsidP="006F16A0">
            <w:pPr>
              <w:spacing w:after="200"/>
              <w:cnfStyle w:val="000000100000" w:firstRow="0" w:lastRow="0" w:firstColumn="0" w:lastColumn="0" w:oddVBand="0" w:evenVBand="0" w:oddHBand="1" w:evenHBand="0" w:firstRowFirstColumn="0" w:firstRowLastColumn="0" w:lastRowFirstColumn="0" w:lastRowLastColumn="0"/>
            </w:pPr>
            <w:r w:rsidRPr="00B102D3">
              <w:t>$75.00</w:t>
            </w:r>
          </w:p>
        </w:tc>
      </w:tr>
      <w:tr w:rsidR="00334B90" w:rsidRPr="00B102D3" w14:paraId="169E22CF" w14:textId="77777777" w:rsidTr="006F16A0">
        <w:trPr>
          <w:cantSplit/>
        </w:trPr>
        <w:tc>
          <w:tcPr>
            <w:cnfStyle w:val="001000000000" w:firstRow="0" w:lastRow="0" w:firstColumn="1" w:lastColumn="0" w:oddVBand="0" w:evenVBand="0" w:oddHBand="0" w:evenHBand="0" w:firstRowFirstColumn="0" w:firstRowLastColumn="0" w:lastRowFirstColumn="0" w:lastRowLastColumn="0"/>
            <w:tcW w:w="1097" w:type="dxa"/>
            <w:tcBorders>
              <w:bottom w:val="single" w:sz="4" w:space="0" w:color="201547" w:themeColor="text1"/>
            </w:tcBorders>
          </w:tcPr>
          <w:p w14:paraId="6D86A0B2" w14:textId="77777777" w:rsidR="00334B90" w:rsidRPr="00B102D3" w:rsidRDefault="00334B90" w:rsidP="006F16A0">
            <w:pPr>
              <w:spacing w:after="200"/>
            </w:pPr>
            <w:r w:rsidRPr="00B102D3">
              <w:t xml:space="preserve">Civil and infrastructure </w:t>
            </w:r>
            <w:r>
              <w:t xml:space="preserve">construction </w:t>
            </w:r>
            <w:r w:rsidRPr="00B102D3">
              <w:t>projects</w:t>
            </w:r>
          </w:p>
        </w:tc>
        <w:tc>
          <w:tcPr>
            <w:tcW w:w="4592" w:type="dxa"/>
            <w:tcBorders>
              <w:bottom w:val="single" w:sz="4" w:space="0" w:color="201547" w:themeColor="text1"/>
            </w:tcBorders>
          </w:tcPr>
          <w:p w14:paraId="60CFD1A9" w14:textId="77777777" w:rsidR="00334B90" w:rsidRPr="00B102D3" w:rsidRDefault="00334B90" w:rsidP="006F16A0">
            <w:pPr>
              <w:spacing w:after="200"/>
              <w:cnfStyle w:val="000000000000" w:firstRow="0" w:lastRow="0" w:firstColumn="0" w:lastColumn="0" w:oddVBand="0" w:evenVBand="0" w:oddHBand="0" w:evenHBand="0" w:firstRowFirstColumn="0" w:firstRowLastColumn="0" w:lastRowFirstColumn="0" w:lastRowLastColumn="0"/>
            </w:pPr>
            <w:r w:rsidRPr="00B102D3">
              <w:t>Civil a</w:t>
            </w:r>
            <w:r>
              <w:t>nd i</w:t>
            </w:r>
            <w:r w:rsidRPr="00B102D3">
              <w:t>nfrastructure project</w:t>
            </w:r>
            <w:r>
              <w:t>s</w:t>
            </w:r>
            <w:r w:rsidRPr="00B102D3">
              <w:t xml:space="preserve"> include engineering-based </w:t>
            </w:r>
            <w:r>
              <w:t>projects</w:t>
            </w:r>
            <w:r w:rsidRPr="00B102D3">
              <w:t xml:space="preserve"> </w:t>
            </w:r>
            <w:r>
              <w:t>that i</w:t>
            </w:r>
            <w:r w:rsidRPr="00B102D3">
              <w:t>nclude, but not limited to, roads, bridges, tunnels, train and tramway</w:t>
            </w:r>
            <w:r>
              <w:t xml:space="preserve"> works</w:t>
            </w:r>
            <w:r w:rsidRPr="00B102D3">
              <w:t xml:space="preserve">, water and sewerage treatment plants, water and sewerage reticulation pipelines and </w:t>
            </w:r>
            <w:r>
              <w:t>similar works</w:t>
            </w:r>
            <w:r w:rsidRPr="00B102D3">
              <w:t xml:space="preserve">. </w:t>
            </w:r>
          </w:p>
        </w:tc>
        <w:tc>
          <w:tcPr>
            <w:tcW w:w="1474" w:type="dxa"/>
            <w:tcBorders>
              <w:bottom w:val="single" w:sz="4" w:space="0" w:color="201547" w:themeColor="text1"/>
            </w:tcBorders>
          </w:tcPr>
          <w:p w14:paraId="1FAB2A1F" w14:textId="77777777" w:rsidR="00334B90" w:rsidRPr="00B102D3" w:rsidRDefault="00334B90" w:rsidP="006F16A0">
            <w:pPr>
              <w:spacing w:after="200"/>
              <w:cnfStyle w:val="000000000000" w:firstRow="0" w:lastRow="0" w:firstColumn="0" w:lastColumn="0" w:oddVBand="0" w:evenVBand="0" w:oddHBand="0" w:evenHBand="0" w:firstRowFirstColumn="0" w:firstRowLastColumn="0" w:lastRowFirstColumn="0" w:lastRowLastColumn="0"/>
            </w:pPr>
            <w:r w:rsidRPr="00B102D3">
              <w:t>15%</w:t>
            </w:r>
          </w:p>
        </w:tc>
        <w:tc>
          <w:tcPr>
            <w:tcW w:w="1342" w:type="dxa"/>
            <w:tcBorders>
              <w:bottom w:val="single" w:sz="4" w:space="0" w:color="201547" w:themeColor="text1"/>
            </w:tcBorders>
          </w:tcPr>
          <w:p w14:paraId="047BA60E" w14:textId="77777777" w:rsidR="00334B90" w:rsidRPr="00B102D3" w:rsidRDefault="00334B90" w:rsidP="006F16A0">
            <w:pPr>
              <w:spacing w:after="200"/>
              <w:cnfStyle w:val="000000000000" w:firstRow="0" w:lastRow="0" w:firstColumn="0" w:lastColumn="0" w:oddVBand="0" w:evenVBand="0" w:oddHBand="0" w:evenHBand="0" w:firstRowFirstColumn="0" w:firstRowLastColumn="0" w:lastRowFirstColumn="0" w:lastRowLastColumn="0"/>
            </w:pPr>
            <w:r w:rsidRPr="00B102D3">
              <w:t>$70.00</w:t>
            </w:r>
          </w:p>
        </w:tc>
      </w:tr>
      <w:tr w:rsidR="00334B90" w:rsidRPr="00B102D3" w14:paraId="230D0C07" w14:textId="77777777" w:rsidTr="006F16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7" w:type="dxa"/>
            <w:tcBorders>
              <w:bottom w:val="single" w:sz="4" w:space="0" w:color="auto"/>
            </w:tcBorders>
          </w:tcPr>
          <w:p w14:paraId="4BAA09C2" w14:textId="77777777" w:rsidR="00334B90" w:rsidRPr="00B102D3" w:rsidRDefault="00334B90" w:rsidP="006F16A0">
            <w:pPr>
              <w:spacing w:after="200"/>
            </w:pPr>
            <w:r>
              <w:t>Building</w:t>
            </w:r>
            <w:r w:rsidRPr="00B102D3">
              <w:t xml:space="preserve"> and infrastructure </w:t>
            </w:r>
            <w:r>
              <w:t xml:space="preserve">construction </w:t>
            </w:r>
            <w:r w:rsidRPr="00B102D3">
              <w:t>(mixed) projects</w:t>
            </w:r>
          </w:p>
        </w:tc>
        <w:tc>
          <w:tcPr>
            <w:tcW w:w="4592" w:type="dxa"/>
            <w:tcBorders>
              <w:bottom w:val="single" w:sz="4" w:space="0" w:color="auto"/>
            </w:tcBorders>
          </w:tcPr>
          <w:p w14:paraId="554537E9" w14:textId="77777777" w:rsidR="00334B90" w:rsidRPr="00B102D3" w:rsidRDefault="00334B90" w:rsidP="006F16A0">
            <w:pPr>
              <w:spacing w:after="200"/>
              <w:cnfStyle w:val="000000100000" w:firstRow="0" w:lastRow="0" w:firstColumn="0" w:lastColumn="0" w:oddVBand="0" w:evenVBand="0" w:oddHBand="1" w:evenHBand="0" w:firstRowFirstColumn="0" w:firstRowLastColumn="0" w:lastRowFirstColumn="0" w:lastRowLastColumn="0"/>
            </w:pPr>
            <w:r>
              <w:t xml:space="preserve">Building and </w:t>
            </w:r>
            <w:r w:rsidRPr="00B102D3">
              <w:t xml:space="preserve">infrastructure </w:t>
            </w:r>
            <w:r>
              <w:t xml:space="preserve">construction </w:t>
            </w:r>
            <w:r w:rsidRPr="00B102D3">
              <w:t>(mixed) project</w:t>
            </w:r>
            <w:r>
              <w:t xml:space="preserve">s are where the </w:t>
            </w:r>
            <w:r w:rsidRPr="00B102D3">
              <w:t xml:space="preserve">specified works are civil/infrastructure in nature but include significant building construction elements such </w:t>
            </w:r>
            <w:r>
              <w:t xml:space="preserve">rail </w:t>
            </w:r>
            <w:r w:rsidRPr="00B102D3">
              <w:t xml:space="preserve">upgrades </w:t>
            </w:r>
            <w:r>
              <w:t xml:space="preserve">or projects </w:t>
            </w:r>
            <w:r w:rsidRPr="00B102D3">
              <w:t xml:space="preserve">that include stations, or water treatment plants that include facility buildings or sheds. </w:t>
            </w:r>
          </w:p>
        </w:tc>
        <w:tc>
          <w:tcPr>
            <w:tcW w:w="1474" w:type="dxa"/>
            <w:tcBorders>
              <w:bottom w:val="single" w:sz="4" w:space="0" w:color="auto"/>
            </w:tcBorders>
          </w:tcPr>
          <w:p w14:paraId="5B7EB6B7" w14:textId="77777777" w:rsidR="00334B90" w:rsidRPr="00B102D3" w:rsidRDefault="00334B90" w:rsidP="006F16A0">
            <w:pPr>
              <w:spacing w:after="200"/>
              <w:cnfStyle w:val="000000100000" w:firstRow="0" w:lastRow="0" w:firstColumn="0" w:lastColumn="0" w:oddVBand="0" w:evenVBand="0" w:oddHBand="1" w:evenHBand="0" w:firstRowFirstColumn="0" w:firstRowLastColumn="0" w:lastRowFirstColumn="0" w:lastRowLastColumn="0"/>
            </w:pPr>
            <w:r w:rsidRPr="00B102D3">
              <w:t>25%</w:t>
            </w:r>
          </w:p>
        </w:tc>
        <w:tc>
          <w:tcPr>
            <w:tcW w:w="1342" w:type="dxa"/>
            <w:tcBorders>
              <w:bottom w:val="single" w:sz="4" w:space="0" w:color="auto"/>
            </w:tcBorders>
          </w:tcPr>
          <w:p w14:paraId="273478DA" w14:textId="77777777" w:rsidR="00334B90" w:rsidRPr="00B102D3" w:rsidRDefault="00334B90" w:rsidP="006F16A0">
            <w:pPr>
              <w:spacing w:after="200"/>
              <w:cnfStyle w:val="000000100000" w:firstRow="0" w:lastRow="0" w:firstColumn="0" w:lastColumn="0" w:oddVBand="0" w:evenVBand="0" w:oddHBand="1" w:evenHBand="0" w:firstRowFirstColumn="0" w:firstRowLastColumn="0" w:lastRowFirstColumn="0" w:lastRowLastColumn="0"/>
            </w:pPr>
            <w:r w:rsidRPr="00B102D3">
              <w:t>$75.00</w:t>
            </w:r>
          </w:p>
        </w:tc>
      </w:tr>
    </w:tbl>
    <w:p w14:paraId="4693314C" w14:textId="77777777" w:rsidR="00334B90" w:rsidRPr="007400EE" w:rsidRDefault="00334B90" w:rsidP="00334B90">
      <w:pPr>
        <w:rPr>
          <w:rFonts w:asciiTheme="minorHAnsi" w:hAnsiTheme="minorHAnsi" w:cstheme="minorHAnsi"/>
          <w:b/>
          <w:szCs w:val="18"/>
          <w:u w:val="single"/>
        </w:rPr>
      </w:pPr>
      <w:r w:rsidRPr="007400EE">
        <w:rPr>
          <w:rFonts w:asciiTheme="minorHAnsi" w:hAnsiTheme="minorHAnsi" w:cstheme="minorHAnsi"/>
          <w:b/>
          <w:szCs w:val="18"/>
          <w:u w:val="single"/>
        </w:rPr>
        <w:t>Deemed hours formula</w:t>
      </w:r>
    </w:p>
    <w:p w14:paraId="17D718C3" w14:textId="50F7F5E3" w:rsidR="00334B90" w:rsidRPr="00A718F5" w:rsidRDefault="00334B90" w:rsidP="00B63D2B">
      <w:pPr>
        <w:pStyle w:val="ListParagraph"/>
        <w:numPr>
          <w:ilvl w:val="0"/>
          <w:numId w:val="25"/>
        </w:numPr>
        <w:rPr>
          <w:rFonts w:asciiTheme="minorHAnsi" w:hAnsiTheme="minorHAnsi" w:cstheme="minorHAnsi"/>
          <w:sz w:val="18"/>
          <w:szCs w:val="18"/>
        </w:rPr>
      </w:pPr>
      <w:r w:rsidRPr="00A718F5">
        <w:rPr>
          <w:rFonts w:asciiTheme="minorHAnsi" w:hAnsiTheme="minorHAnsi" w:cstheme="minorHAnsi"/>
          <w:sz w:val="18"/>
          <w:szCs w:val="18"/>
        </w:rPr>
        <w:t xml:space="preserve">Use the above project definitions to pick the deemed labour ratios and hourly rates for your specific </w:t>
      </w:r>
      <w:r>
        <w:rPr>
          <w:rFonts w:asciiTheme="minorHAnsi" w:hAnsiTheme="minorHAnsi" w:cstheme="minorHAnsi"/>
          <w:sz w:val="18"/>
          <w:szCs w:val="18"/>
        </w:rPr>
        <w:t xml:space="preserve">construction </w:t>
      </w:r>
      <w:r w:rsidRPr="00A718F5">
        <w:rPr>
          <w:rFonts w:asciiTheme="minorHAnsi" w:hAnsiTheme="minorHAnsi" w:cstheme="minorHAnsi"/>
          <w:sz w:val="18"/>
          <w:szCs w:val="18"/>
        </w:rPr>
        <w:t>project. Use the below formula to find your projects</w:t>
      </w:r>
      <w:r>
        <w:rPr>
          <w:rFonts w:asciiTheme="minorHAnsi" w:hAnsiTheme="minorHAnsi" w:cstheme="minorHAnsi"/>
          <w:sz w:val="18"/>
          <w:szCs w:val="18"/>
        </w:rPr>
        <w:t>’</w:t>
      </w:r>
      <w:r w:rsidRPr="00A718F5">
        <w:rPr>
          <w:rFonts w:asciiTheme="minorHAnsi" w:hAnsiTheme="minorHAnsi" w:cstheme="minorHAnsi"/>
          <w:sz w:val="18"/>
          <w:szCs w:val="18"/>
        </w:rPr>
        <w:t xml:space="preserve"> deemed hours.</w:t>
      </w:r>
    </w:p>
    <w:p w14:paraId="31DDB6C0" w14:textId="23323E0B" w:rsidR="00334B90" w:rsidRPr="00A70C14" w:rsidRDefault="00334B90" w:rsidP="00A70C14">
      <w:pPr>
        <w:rPr>
          <w:rFonts w:asciiTheme="minorHAnsi" w:hAnsiTheme="minorHAnsi" w:cstheme="minorHAnsi"/>
          <w:b/>
          <w:bCs/>
          <w:szCs w:val="18"/>
        </w:rPr>
      </w:pPr>
      <w:r w:rsidRPr="00A70C14">
        <w:rPr>
          <w:rFonts w:asciiTheme="minorHAnsi" w:hAnsiTheme="minorHAnsi" w:cstheme="minorHAnsi"/>
          <w:b/>
          <w:bCs/>
          <w:szCs w:val="18"/>
        </w:rPr>
        <w:t xml:space="preserve">Figure </w:t>
      </w:r>
      <w:r w:rsidR="000817BA">
        <w:rPr>
          <w:rFonts w:asciiTheme="minorHAnsi" w:hAnsiTheme="minorHAnsi" w:cstheme="minorHAnsi"/>
          <w:b/>
          <w:bCs/>
          <w:szCs w:val="18"/>
        </w:rPr>
        <w:t>1</w:t>
      </w:r>
      <w:r w:rsidRPr="00A70C14">
        <w:rPr>
          <w:rFonts w:asciiTheme="minorHAnsi" w:hAnsiTheme="minorHAnsi" w:cstheme="minorHAnsi"/>
          <w:b/>
          <w:bCs/>
          <w:szCs w:val="18"/>
        </w:rPr>
        <w:t>: Deemed Hours Formula</w:t>
      </w:r>
    </w:p>
    <w:p w14:paraId="21B8A949" w14:textId="77777777" w:rsidR="00334B90" w:rsidRPr="00B102D3" w:rsidRDefault="00334B90" w:rsidP="00334B90">
      <w:pPr>
        <w:ind w:left="720" w:firstLine="720"/>
      </w:pPr>
      <m:oMathPara>
        <m:oMath>
          <m:r>
            <w:rPr>
              <w:rFonts w:ascii="Cambria Math" w:hAnsi="Cambria Math"/>
            </w:rPr>
            <m:t>Total Contract Sum-</m:t>
          </m:r>
          <m:d>
            <m:dPr>
              <m:ctrlPr>
                <w:rPr>
                  <w:rFonts w:ascii="Cambria Math" w:hAnsi="Cambria Math"/>
                  <w:i/>
                </w:rPr>
              </m:ctrlPr>
            </m:dPr>
            <m:e>
              <m:r>
                <w:rPr>
                  <w:rFonts w:ascii="Cambria Math" w:hAnsi="Cambria Math"/>
                </w:rPr>
                <m:t>10% GST-Profit Margin-Specialist Equiptment</m:t>
              </m:r>
            </m:e>
          </m:d>
          <m:r>
            <w:rPr>
              <w:rFonts w:ascii="Cambria Math" w:hAnsi="Cambria Math"/>
            </w:rPr>
            <m:t>=Adjusted Contract Price</m:t>
          </m:r>
        </m:oMath>
      </m:oMathPara>
    </w:p>
    <w:p w14:paraId="44431E93" w14:textId="77777777" w:rsidR="00334B90" w:rsidRPr="00B102D3" w:rsidRDefault="0058723C" w:rsidP="00334B90">
      <m:oMathPara>
        <m:oMath>
          <m:f>
            <m:fPr>
              <m:ctrlPr>
                <w:rPr>
                  <w:rFonts w:ascii="Cambria Math" w:hAnsi="Cambria Math"/>
                  <w:i/>
                </w:rPr>
              </m:ctrlPr>
            </m:fPr>
            <m:num>
              <m:r>
                <w:rPr>
                  <w:rFonts w:ascii="Cambria Math" w:hAnsi="Cambria Math"/>
                </w:rPr>
                <m:t>Adjusted Contract Price×Deemed Labor Ratio</m:t>
              </m:r>
            </m:num>
            <m:den>
              <m:r>
                <w:rPr>
                  <w:rFonts w:ascii="Cambria Math" w:hAnsi="Cambria Math"/>
                </w:rPr>
                <m:t>Deemed Hourly Rate</m:t>
              </m:r>
            </m:den>
          </m:f>
          <m:r>
            <w:rPr>
              <w:rFonts w:ascii="Cambria Math" w:hAnsi="Cambria Math"/>
            </w:rPr>
            <m:t>=Total Labour Hours</m:t>
          </m:r>
        </m:oMath>
      </m:oMathPara>
    </w:p>
    <w:p w14:paraId="5DF8CB10" w14:textId="77777777" w:rsidR="00334B90" w:rsidRPr="00B102D3" w:rsidRDefault="0058723C" w:rsidP="00334B90">
      <m:oMathPara>
        <m:oMath>
          <m:f>
            <m:fPr>
              <m:ctrlPr>
                <w:rPr>
                  <w:rFonts w:ascii="Cambria Math" w:hAnsi="Cambria Math"/>
                  <w:i/>
                </w:rPr>
              </m:ctrlPr>
            </m:fPr>
            <m:num>
              <m:r>
                <w:rPr>
                  <w:rFonts w:ascii="Cambria Math" w:hAnsi="Cambria Math"/>
                </w:rPr>
                <m:t>Total Labour Hours</m:t>
              </m:r>
            </m:num>
            <m:den>
              <m:r>
                <w:rPr>
                  <w:rFonts w:ascii="Cambria Math" w:hAnsi="Cambria Math"/>
                </w:rPr>
                <m:t>10% Minimum Target</m:t>
              </m:r>
            </m:den>
          </m:f>
          <m:r>
            <w:rPr>
              <w:rFonts w:ascii="Cambria Math" w:hAnsi="Cambria Math"/>
            </w:rPr>
            <m:t xml:space="preserve">=Minimum 10% target </m:t>
          </m:r>
        </m:oMath>
      </m:oMathPara>
    </w:p>
    <w:p w14:paraId="2C93009A" w14:textId="77777777" w:rsidR="00334B90" w:rsidRDefault="00334B90" w:rsidP="00334B90">
      <w:pPr>
        <w:ind w:left="720"/>
      </w:pPr>
    </w:p>
    <w:p w14:paraId="717261AE" w14:textId="2B1454B4" w:rsidR="00B63D2B" w:rsidRDefault="00482ED0" w:rsidP="00B63D2B">
      <w:pPr>
        <w:pStyle w:val="ListParagraph"/>
        <w:numPr>
          <w:ilvl w:val="0"/>
          <w:numId w:val="25"/>
        </w:numPr>
        <w:rPr>
          <w:rFonts w:asciiTheme="minorHAnsi" w:hAnsiTheme="minorHAnsi" w:cstheme="minorHAnsi"/>
          <w:sz w:val="18"/>
          <w:szCs w:val="18"/>
        </w:rPr>
      </w:pPr>
      <w:r w:rsidRPr="00B63D2B">
        <w:rPr>
          <w:rFonts w:asciiTheme="minorHAnsi" w:hAnsiTheme="minorHAnsi" w:cstheme="minorHAnsi"/>
          <w:sz w:val="18"/>
          <w:szCs w:val="18"/>
        </w:rPr>
        <w:t>Specialist equipment as it pertains to the MPSG deemed hours formula refers to significant items or systems of equipment of significant cost for the specific Local Jobs First project. Items may include but not limited to elect</w:t>
      </w:r>
      <w:r w:rsidR="00814852">
        <w:rPr>
          <w:rFonts w:asciiTheme="minorHAnsi" w:hAnsiTheme="minorHAnsi" w:cstheme="minorHAnsi"/>
          <w:sz w:val="18"/>
          <w:szCs w:val="18"/>
        </w:rPr>
        <w:t>r</w:t>
      </w:r>
      <w:r w:rsidRPr="00B63D2B">
        <w:rPr>
          <w:rFonts w:asciiTheme="minorHAnsi" w:hAnsiTheme="minorHAnsi" w:cstheme="minorHAnsi"/>
          <w:sz w:val="18"/>
          <w:szCs w:val="18"/>
        </w:rPr>
        <w:t>o-medical equipment, rail signalling, ICT systems, etc. Agencies should seek to clarify at a project specific level to prospective bidders what items are deemed to be specialist equipment.</w:t>
      </w:r>
      <w:r w:rsidR="00B63D2B">
        <w:rPr>
          <w:rFonts w:asciiTheme="minorHAnsi" w:hAnsiTheme="minorHAnsi" w:cstheme="minorHAnsi"/>
          <w:sz w:val="18"/>
          <w:szCs w:val="18"/>
        </w:rPr>
        <w:t xml:space="preserve"> </w:t>
      </w:r>
    </w:p>
    <w:p w14:paraId="26B179AC" w14:textId="77777777" w:rsidR="00B63D2B" w:rsidRDefault="00B63D2B" w:rsidP="00B63D2B">
      <w:pPr>
        <w:pStyle w:val="ListParagraph"/>
        <w:ind w:left="360"/>
        <w:rPr>
          <w:rFonts w:asciiTheme="minorHAnsi" w:hAnsiTheme="minorHAnsi" w:cstheme="minorHAnsi"/>
          <w:sz w:val="18"/>
          <w:szCs w:val="18"/>
        </w:rPr>
      </w:pPr>
    </w:p>
    <w:p w14:paraId="5D3EBFFE" w14:textId="79C3E6F2" w:rsidR="00B63D2B" w:rsidRDefault="003F38A1" w:rsidP="00B63D2B">
      <w:pPr>
        <w:pStyle w:val="ListParagraph"/>
        <w:numPr>
          <w:ilvl w:val="0"/>
          <w:numId w:val="25"/>
        </w:numPr>
        <w:rPr>
          <w:rFonts w:asciiTheme="minorHAnsi" w:hAnsiTheme="minorHAnsi" w:cstheme="minorHAnsi"/>
          <w:sz w:val="18"/>
          <w:szCs w:val="18"/>
        </w:rPr>
      </w:pPr>
      <w:r w:rsidRPr="00B63D2B">
        <w:rPr>
          <w:rFonts w:asciiTheme="minorHAnsi" w:hAnsiTheme="minorHAnsi" w:cstheme="minorHAnsi"/>
          <w:sz w:val="18"/>
          <w:szCs w:val="18"/>
        </w:rPr>
        <w:t xml:space="preserve">Profit margin refers to the expected profit the </w:t>
      </w:r>
      <w:r w:rsidR="00F66903" w:rsidRPr="00B63D2B">
        <w:rPr>
          <w:rFonts w:asciiTheme="minorHAnsi" w:hAnsiTheme="minorHAnsi" w:cstheme="minorHAnsi"/>
          <w:sz w:val="18"/>
          <w:szCs w:val="18"/>
        </w:rPr>
        <w:t>bidder</w:t>
      </w:r>
      <w:r w:rsidRPr="00B63D2B">
        <w:rPr>
          <w:rFonts w:asciiTheme="minorHAnsi" w:hAnsiTheme="minorHAnsi" w:cstheme="minorHAnsi"/>
          <w:sz w:val="18"/>
          <w:szCs w:val="18"/>
        </w:rPr>
        <w:t xml:space="preserve"> expects to make as a result from the project. It is omitted from the total contract sum in order to create an Adjusted Contract Price that is just focused on the cost of labour on the projec</w:t>
      </w:r>
      <w:r w:rsidR="00B63D2B">
        <w:rPr>
          <w:rFonts w:asciiTheme="minorHAnsi" w:hAnsiTheme="minorHAnsi" w:cstheme="minorHAnsi"/>
          <w:sz w:val="18"/>
          <w:szCs w:val="18"/>
        </w:rPr>
        <w:t>t.</w:t>
      </w:r>
    </w:p>
    <w:p w14:paraId="4B586BC2" w14:textId="77777777" w:rsidR="00B63D2B" w:rsidRPr="00B63D2B" w:rsidRDefault="00B63D2B" w:rsidP="00B63D2B">
      <w:pPr>
        <w:pStyle w:val="ListParagraph"/>
        <w:rPr>
          <w:rFonts w:asciiTheme="minorHAnsi" w:hAnsiTheme="minorHAnsi" w:cstheme="minorHAnsi"/>
          <w:sz w:val="18"/>
          <w:szCs w:val="18"/>
        </w:rPr>
      </w:pPr>
    </w:p>
    <w:p w14:paraId="4A234B2A" w14:textId="5CC9635B" w:rsidR="00053A35" w:rsidRPr="00101B96" w:rsidRDefault="00334B90" w:rsidP="00B63D2B">
      <w:pPr>
        <w:rPr>
          <w:rFonts w:asciiTheme="minorHAnsi" w:hAnsiTheme="minorHAnsi" w:cstheme="minorHAnsi"/>
          <w:b/>
          <w:bCs/>
          <w:szCs w:val="18"/>
        </w:rPr>
      </w:pPr>
      <w:r w:rsidRPr="000817BA">
        <w:rPr>
          <w:rFonts w:asciiTheme="minorHAnsi" w:hAnsiTheme="minorHAnsi" w:cstheme="minorHAnsi"/>
          <w:b/>
          <w:bCs/>
          <w:szCs w:val="18"/>
        </w:rPr>
        <w:lastRenderedPageBreak/>
        <w:t>Table 2: Example of the Deemed Hours Formula: Indicative example of a civil and infrastructure construction project:  Road Project - Total Project Value of $250m</w:t>
      </w:r>
    </w:p>
    <w:tbl>
      <w:tblPr>
        <w:tblStyle w:val="TableGrid"/>
        <w:tblW w:w="0" w:type="auto"/>
        <w:jc w:val="center"/>
        <w:tblLook w:val="04A0" w:firstRow="1" w:lastRow="0" w:firstColumn="1" w:lastColumn="0" w:noHBand="0" w:noVBand="1"/>
        <w:tblCaption w:val="Example of deemed hours formula applied to the civil/infrastructure project contracts"/>
        <w:tblDescription w:val="Column two provides the rate example and column three outlines the value."/>
      </w:tblPr>
      <w:tblGrid>
        <w:gridCol w:w="3004"/>
        <w:gridCol w:w="992"/>
        <w:gridCol w:w="1559"/>
      </w:tblGrid>
      <w:tr w:rsidR="00334B90" w:rsidRPr="00B102D3" w14:paraId="691E0278" w14:textId="77777777" w:rsidTr="006F16A0">
        <w:trPr>
          <w:trHeight w:val="340"/>
          <w:tblHeader/>
          <w:jc w:val="center"/>
        </w:trPr>
        <w:tc>
          <w:tcPr>
            <w:tcW w:w="3004" w:type="dxa"/>
            <w:shd w:val="clear" w:color="auto" w:fill="D9D9D6" w:themeFill="background2"/>
          </w:tcPr>
          <w:p w14:paraId="55F41A92" w14:textId="77777777" w:rsidR="00334B90" w:rsidRPr="00B102D3" w:rsidRDefault="00334B90" w:rsidP="006F16A0">
            <w:pPr>
              <w:spacing w:after="200"/>
            </w:pPr>
          </w:p>
        </w:tc>
        <w:tc>
          <w:tcPr>
            <w:tcW w:w="992" w:type="dxa"/>
            <w:shd w:val="clear" w:color="auto" w:fill="D9D9D6" w:themeFill="background2"/>
          </w:tcPr>
          <w:p w14:paraId="10AC2A2F" w14:textId="77777777" w:rsidR="00334B90" w:rsidRPr="00B102D3" w:rsidRDefault="00334B90" w:rsidP="006F16A0">
            <w:pPr>
              <w:spacing w:after="200"/>
              <w:rPr>
                <w:b/>
              </w:rPr>
            </w:pPr>
            <w:r w:rsidRPr="00B102D3">
              <w:rPr>
                <w:b/>
              </w:rPr>
              <w:t xml:space="preserve">Rate </w:t>
            </w:r>
          </w:p>
        </w:tc>
        <w:tc>
          <w:tcPr>
            <w:tcW w:w="1559" w:type="dxa"/>
            <w:shd w:val="clear" w:color="auto" w:fill="D9D9D6" w:themeFill="background2"/>
          </w:tcPr>
          <w:p w14:paraId="37DB0A11" w14:textId="77777777" w:rsidR="00334B90" w:rsidRPr="00B102D3" w:rsidRDefault="00334B90" w:rsidP="006F16A0">
            <w:pPr>
              <w:spacing w:after="200"/>
              <w:rPr>
                <w:b/>
              </w:rPr>
            </w:pPr>
            <w:r w:rsidRPr="00B102D3">
              <w:rPr>
                <w:b/>
              </w:rPr>
              <w:t>Value ($)</w:t>
            </w:r>
          </w:p>
        </w:tc>
      </w:tr>
      <w:tr w:rsidR="00334B90" w:rsidRPr="00B102D3" w14:paraId="7F1434A7" w14:textId="77777777" w:rsidTr="006F16A0">
        <w:trPr>
          <w:trHeight w:val="340"/>
          <w:jc w:val="center"/>
        </w:trPr>
        <w:tc>
          <w:tcPr>
            <w:tcW w:w="3004" w:type="dxa"/>
          </w:tcPr>
          <w:p w14:paraId="3F519CB2" w14:textId="77777777" w:rsidR="00334B90" w:rsidRPr="00B102D3" w:rsidRDefault="00334B90" w:rsidP="006F16A0">
            <w:pPr>
              <w:spacing w:after="200"/>
              <w:rPr>
                <w:b/>
              </w:rPr>
            </w:pPr>
            <w:r w:rsidRPr="00B102D3">
              <w:rPr>
                <w:b/>
              </w:rPr>
              <w:t xml:space="preserve">Total </w:t>
            </w:r>
            <w:r>
              <w:rPr>
                <w:b/>
              </w:rPr>
              <w:t>project value (excluding GST)</w:t>
            </w:r>
          </w:p>
        </w:tc>
        <w:tc>
          <w:tcPr>
            <w:tcW w:w="992" w:type="dxa"/>
            <w:shd w:val="clear" w:color="auto" w:fill="C8BEEC" w:themeFill="text1" w:themeFillTint="33"/>
          </w:tcPr>
          <w:p w14:paraId="38F5301B" w14:textId="77777777" w:rsidR="00334B90" w:rsidRPr="00B102D3" w:rsidRDefault="00334B90" w:rsidP="006F16A0">
            <w:pPr>
              <w:spacing w:after="200"/>
            </w:pPr>
          </w:p>
        </w:tc>
        <w:tc>
          <w:tcPr>
            <w:tcW w:w="1559" w:type="dxa"/>
          </w:tcPr>
          <w:p w14:paraId="314354AD" w14:textId="77777777" w:rsidR="00334B90" w:rsidRPr="00B102D3" w:rsidRDefault="00334B90" w:rsidP="006F16A0">
            <w:pPr>
              <w:spacing w:after="200"/>
              <w:rPr>
                <w:b/>
              </w:rPr>
            </w:pPr>
            <w:r w:rsidRPr="00B102D3">
              <w:rPr>
                <w:b/>
              </w:rPr>
              <w:t>$250,000,000</w:t>
            </w:r>
          </w:p>
        </w:tc>
      </w:tr>
      <w:tr w:rsidR="00334B90" w:rsidRPr="00B102D3" w14:paraId="1B3AC1E7" w14:textId="77777777" w:rsidTr="006F16A0">
        <w:trPr>
          <w:trHeight w:val="340"/>
          <w:jc w:val="center"/>
        </w:trPr>
        <w:tc>
          <w:tcPr>
            <w:tcW w:w="3004" w:type="dxa"/>
          </w:tcPr>
          <w:p w14:paraId="4534F9A2" w14:textId="32FC463C" w:rsidR="00334B90" w:rsidRPr="00B102D3" w:rsidRDefault="00334B90" w:rsidP="006F16A0">
            <w:pPr>
              <w:spacing w:after="200"/>
            </w:pPr>
            <w:r w:rsidRPr="00B102D3">
              <w:t xml:space="preserve">       Less </w:t>
            </w:r>
            <w:r w:rsidR="00DF133A">
              <w:t xml:space="preserve">profit </w:t>
            </w:r>
            <w:r w:rsidRPr="00B102D3">
              <w:t>margin</w:t>
            </w:r>
          </w:p>
        </w:tc>
        <w:tc>
          <w:tcPr>
            <w:tcW w:w="992" w:type="dxa"/>
            <w:shd w:val="clear" w:color="auto" w:fill="C8BEEC" w:themeFill="text1" w:themeFillTint="33"/>
          </w:tcPr>
          <w:p w14:paraId="1C598535" w14:textId="77777777" w:rsidR="00334B90" w:rsidRPr="00B102D3" w:rsidRDefault="00334B90" w:rsidP="006F16A0">
            <w:pPr>
              <w:spacing w:after="200"/>
            </w:pPr>
          </w:p>
        </w:tc>
        <w:tc>
          <w:tcPr>
            <w:tcW w:w="1559" w:type="dxa"/>
          </w:tcPr>
          <w:p w14:paraId="3158156D" w14:textId="77777777" w:rsidR="00334B90" w:rsidRPr="00B102D3" w:rsidRDefault="00334B90" w:rsidP="006F16A0">
            <w:pPr>
              <w:spacing w:after="200"/>
            </w:pPr>
            <w:r w:rsidRPr="00B102D3">
              <w:t>$20,000,000</w:t>
            </w:r>
          </w:p>
        </w:tc>
      </w:tr>
      <w:tr w:rsidR="00334B90" w:rsidRPr="00B102D3" w14:paraId="4552548D" w14:textId="77777777" w:rsidTr="006F16A0">
        <w:trPr>
          <w:trHeight w:val="340"/>
          <w:jc w:val="center"/>
        </w:trPr>
        <w:tc>
          <w:tcPr>
            <w:tcW w:w="3004" w:type="dxa"/>
          </w:tcPr>
          <w:p w14:paraId="382D8373" w14:textId="77777777" w:rsidR="00334B90" w:rsidRPr="00B102D3" w:rsidRDefault="00334B90" w:rsidP="006F16A0">
            <w:pPr>
              <w:spacing w:after="200"/>
            </w:pPr>
            <w:r w:rsidRPr="00B102D3">
              <w:t xml:space="preserve">       Less specialist equipment</w:t>
            </w:r>
          </w:p>
        </w:tc>
        <w:tc>
          <w:tcPr>
            <w:tcW w:w="992" w:type="dxa"/>
            <w:shd w:val="clear" w:color="auto" w:fill="C8BEEC" w:themeFill="text1" w:themeFillTint="33"/>
          </w:tcPr>
          <w:p w14:paraId="4518A606" w14:textId="77777777" w:rsidR="00334B90" w:rsidRPr="00B102D3" w:rsidRDefault="00334B90" w:rsidP="006F16A0">
            <w:pPr>
              <w:spacing w:after="200"/>
            </w:pPr>
          </w:p>
        </w:tc>
        <w:tc>
          <w:tcPr>
            <w:tcW w:w="1559" w:type="dxa"/>
          </w:tcPr>
          <w:p w14:paraId="5DA60673" w14:textId="77777777" w:rsidR="00334B90" w:rsidRPr="00B102D3" w:rsidRDefault="00334B90" w:rsidP="006F16A0">
            <w:pPr>
              <w:spacing w:after="200"/>
            </w:pPr>
            <w:r w:rsidRPr="00B102D3">
              <w:t>$</w:t>
            </w:r>
            <w:r>
              <w:t>55</w:t>
            </w:r>
            <w:r w:rsidRPr="00B102D3">
              <w:t>,500,000</w:t>
            </w:r>
          </w:p>
        </w:tc>
      </w:tr>
      <w:tr w:rsidR="00334B90" w:rsidRPr="00B102D3" w14:paraId="3E704D16" w14:textId="77777777" w:rsidTr="006F16A0">
        <w:trPr>
          <w:trHeight w:val="340"/>
          <w:jc w:val="center"/>
        </w:trPr>
        <w:tc>
          <w:tcPr>
            <w:tcW w:w="3004" w:type="dxa"/>
          </w:tcPr>
          <w:p w14:paraId="028278D9" w14:textId="77777777" w:rsidR="00334B90" w:rsidRPr="00B102D3" w:rsidRDefault="00334B90" w:rsidP="006F16A0">
            <w:pPr>
              <w:spacing w:after="200"/>
            </w:pPr>
            <w:r w:rsidRPr="00B102D3">
              <w:t>Total contract deductions</w:t>
            </w:r>
          </w:p>
        </w:tc>
        <w:tc>
          <w:tcPr>
            <w:tcW w:w="992" w:type="dxa"/>
            <w:shd w:val="clear" w:color="auto" w:fill="C8BEEC" w:themeFill="text1" w:themeFillTint="33"/>
          </w:tcPr>
          <w:p w14:paraId="6262C537" w14:textId="77777777" w:rsidR="00334B90" w:rsidRPr="00B102D3" w:rsidRDefault="00334B90" w:rsidP="006F16A0">
            <w:pPr>
              <w:spacing w:after="200"/>
            </w:pPr>
          </w:p>
        </w:tc>
        <w:tc>
          <w:tcPr>
            <w:tcW w:w="1559" w:type="dxa"/>
          </w:tcPr>
          <w:p w14:paraId="0234CB85" w14:textId="77777777" w:rsidR="00334B90" w:rsidRPr="00B102D3" w:rsidRDefault="00334B90" w:rsidP="006F16A0">
            <w:pPr>
              <w:spacing w:after="200"/>
            </w:pPr>
            <w:r w:rsidRPr="00B102D3">
              <w:t>$75,500,000</w:t>
            </w:r>
          </w:p>
        </w:tc>
      </w:tr>
      <w:tr w:rsidR="00334B90" w:rsidRPr="00B102D3" w14:paraId="471B9BB0" w14:textId="77777777" w:rsidTr="006F16A0">
        <w:trPr>
          <w:trHeight w:val="340"/>
          <w:jc w:val="center"/>
        </w:trPr>
        <w:tc>
          <w:tcPr>
            <w:tcW w:w="3004" w:type="dxa"/>
          </w:tcPr>
          <w:p w14:paraId="754A1F6E" w14:textId="77777777" w:rsidR="00334B90" w:rsidRPr="00B102D3" w:rsidRDefault="00334B90" w:rsidP="006F16A0">
            <w:pPr>
              <w:spacing w:after="200"/>
              <w:rPr>
                <w:b/>
              </w:rPr>
            </w:pPr>
            <w:r w:rsidRPr="00B102D3">
              <w:rPr>
                <w:b/>
              </w:rPr>
              <w:t xml:space="preserve">Adjusted </w:t>
            </w:r>
            <w:r>
              <w:rPr>
                <w:b/>
              </w:rPr>
              <w:t>MPSG value</w:t>
            </w:r>
            <w:r w:rsidRPr="00B102D3">
              <w:rPr>
                <w:b/>
              </w:rPr>
              <w:t xml:space="preserve"> </w:t>
            </w:r>
          </w:p>
        </w:tc>
        <w:tc>
          <w:tcPr>
            <w:tcW w:w="992" w:type="dxa"/>
            <w:shd w:val="clear" w:color="auto" w:fill="C8BEEC" w:themeFill="text1" w:themeFillTint="33"/>
          </w:tcPr>
          <w:p w14:paraId="37A4B905" w14:textId="77777777" w:rsidR="00334B90" w:rsidRPr="00B102D3" w:rsidRDefault="00334B90" w:rsidP="006F16A0">
            <w:pPr>
              <w:spacing w:after="200"/>
            </w:pPr>
          </w:p>
        </w:tc>
        <w:tc>
          <w:tcPr>
            <w:tcW w:w="1559" w:type="dxa"/>
          </w:tcPr>
          <w:p w14:paraId="455ACA9C" w14:textId="77777777" w:rsidR="00334B90" w:rsidRPr="00B102D3" w:rsidRDefault="00334B90" w:rsidP="006F16A0">
            <w:pPr>
              <w:spacing w:after="200"/>
              <w:rPr>
                <w:b/>
              </w:rPr>
            </w:pPr>
            <w:r w:rsidRPr="00B102D3">
              <w:rPr>
                <w:b/>
              </w:rPr>
              <w:t>$174,500,000</w:t>
            </w:r>
          </w:p>
        </w:tc>
      </w:tr>
      <w:tr w:rsidR="00334B90" w:rsidRPr="00B102D3" w14:paraId="1ACE8997" w14:textId="77777777" w:rsidTr="006F16A0">
        <w:trPr>
          <w:trHeight w:val="340"/>
          <w:jc w:val="center"/>
        </w:trPr>
        <w:tc>
          <w:tcPr>
            <w:tcW w:w="3004" w:type="dxa"/>
          </w:tcPr>
          <w:p w14:paraId="093080B0" w14:textId="77777777" w:rsidR="00334B90" w:rsidRPr="00B102D3" w:rsidRDefault="00334B90" w:rsidP="006F16A0">
            <w:pPr>
              <w:spacing w:after="200"/>
            </w:pPr>
            <w:r w:rsidRPr="00B102D3">
              <w:t xml:space="preserve">       Deemed labour ratio</w:t>
            </w:r>
          </w:p>
        </w:tc>
        <w:tc>
          <w:tcPr>
            <w:tcW w:w="992" w:type="dxa"/>
          </w:tcPr>
          <w:p w14:paraId="24C599EF" w14:textId="77777777" w:rsidR="00334B90" w:rsidRPr="00B102D3" w:rsidRDefault="00334B90" w:rsidP="006F16A0">
            <w:pPr>
              <w:spacing w:after="200"/>
            </w:pPr>
            <w:r w:rsidRPr="00B102D3">
              <w:t>15%</w:t>
            </w:r>
          </w:p>
        </w:tc>
        <w:tc>
          <w:tcPr>
            <w:tcW w:w="1559" w:type="dxa"/>
          </w:tcPr>
          <w:p w14:paraId="4BAF2FEE" w14:textId="77777777" w:rsidR="00334B90" w:rsidRPr="00B102D3" w:rsidRDefault="00334B90" w:rsidP="006F16A0">
            <w:pPr>
              <w:spacing w:after="200"/>
            </w:pPr>
            <w:r w:rsidRPr="00B102D3">
              <w:t>$26,175,000</w:t>
            </w:r>
          </w:p>
        </w:tc>
      </w:tr>
      <w:tr w:rsidR="00334B90" w:rsidRPr="00B102D3" w14:paraId="2D03E6A6" w14:textId="77777777" w:rsidTr="006F16A0">
        <w:trPr>
          <w:trHeight w:val="340"/>
          <w:jc w:val="center"/>
        </w:trPr>
        <w:tc>
          <w:tcPr>
            <w:tcW w:w="3004" w:type="dxa"/>
          </w:tcPr>
          <w:p w14:paraId="00812E51" w14:textId="77777777" w:rsidR="00334B90" w:rsidRPr="00B102D3" w:rsidRDefault="00334B90" w:rsidP="006F16A0">
            <w:pPr>
              <w:spacing w:after="200"/>
            </w:pPr>
            <w:r w:rsidRPr="00B102D3">
              <w:t xml:space="preserve">       Deemed labour hourly rate</w:t>
            </w:r>
          </w:p>
        </w:tc>
        <w:tc>
          <w:tcPr>
            <w:tcW w:w="992" w:type="dxa"/>
          </w:tcPr>
          <w:p w14:paraId="76DA7F56" w14:textId="77777777" w:rsidR="00334B90" w:rsidRPr="00B102D3" w:rsidRDefault="00334B90" w:rsidP="006F16A0">
            <w:pPr>
              <w:spacing w:after="200"/>
            </w:pPr>
            <w:r w:rsidRPr="00B102D3">
              <w:t>$70 p/h</w:t>
            </w:r>
          </w:p>
        </w:tc>
        <w:tc>
          <w:tcPr>
            <w:tcW w:w="1559" w:type="dxa"/>
          </w:tcPr>
          <w:p w14:paraId="37540300" w14:textId="77777777" w:rsidR="00334B90" w:rsidRPr="00B102D3" w:rsidRDefault="00334B90" w:rsidP="006F16A0">
            <w:pPr>
              <w:spacing w:after="200"/>
            </w:pPr>
            <w:r w:rsidRPr="00B102D3">
              <w:t>373,929 hours</w:t>
            </w:r>
          </w:p>
        </w:tc>
      </w:tr>
      <w:tr w:rsidR="00334B90" w:rsidRPr="00B102D3" w14:paraId="1F60050B" w14:textId="77777777" w:rsidTr="006F16A0">
        <w:trPr>
          <w:trHeight w:val="340"/>
          <w:jc w:val="center"/>
        </w:trPr>
        <w:tc>
          <w:tcPr>
            <w:tcW w:w="3004" w:type="dxa"/>
          </w:tcPr>
          <w:p w14:paraId="09B44B5F" w14:textId="77777777" w:rsidR="00334B90" w:rsidRPr="00B102D3" w:rsidRDefault="00334B90" w:rsidP="006F16A0">
            <w:pPr>
              <w:spacing w:after="200"/>
              <w:rPr>
                <w:b/>
              </w:rPr>
            </w:pPr>
            <w:r w:rsidRPr="00B102D3">
              <w:rPr>
                <w:b/>
              </w:rPr>
              <w:t xml:space="preserve">Minimum 10% </w:t>
            </w:r>
            <w:r>
              <w:rPr>
                <w:b/>
              </w:rPr>
              <w:t>requirement</w:t>
            </w:r>
          </w:p>
        </w:tc>
        <w:tc>
          <w:tcPr>
            <w:tcW w:w="992" w:type="dxa"/>
          </w:tcPr>
          <w:p w14:paraId="64BC1F8D" w14:textId="77777777" w:rsidR="00334B90" w:rsidRPr="00B102D3" w:rsidRDefault="00334B90" w:rsidP="006F16A0">
            <w:pPr>
              <w:spacing w:after="200"/>
              <w:rPr>
                <w:b/>
              </w:rPr>
            </w:pPr>
            <w:r w:rsidRPr="00B102D3">
              <w:rPr>
                <w:b/>
              </w:rPr>
              <w:t>10%</w:t>
            </w:r>
          </w:p>
        </w:tc>
        <w:tc>
          <w:tcPr>
            <w:tcW w:w="1559" w:type="dxa"/>
          </w:tcPr>
          <w:p w14:paraId="20134C3A" w14:textId="77777777" w:rsidR="00334B90" w:rsidRPr="00B102D3" w:rsidRDefault="00334B90" w:rsidP="006F16A0">
            <w:pPr>
              <w:spacing w:after="200"/>
              <w:rPr>
                <w:b/>
              </w:rPr>
            </w:pPr>
            <w:r w:rsidRPr="00B102D3">
              <w:rPr>
                <w:b/>
              </w:rPr>
              <w:t xml:space="preserve">37,392 hours </w:t>
            </w:r>
          </w:p>
        </w:tc>
      </w:tr>
    </w:tbl>
    <w:p w14:paraId="4CC2F500" w14:textId="77777777" w:rsidR="00334B90" w:rsidRPr="007400EE" w:rsidRDefault="00334B90" w:rsidP="00334B90">
      <w:pPr>
        <w:jc w:val="both"/>
        <w:rPr>
          <w:rFonts w:asciiTheme="minorHAnsi" w:hAnsiTheme="minorHAnsi" w:cstheme="minorHAnsi"/>
          <w:b/>
          <w:szCs w:val="18"/>
          <w:u w:val="single"/>
        </w:rPr>
      </w:pPr>
      <w:r w:rsidRPr="00012198">
        <w:rPr>
          <w:rFonts w:asciiTheme="minorHAnsi" w:hAnsiTheme="minorHAnsi" w:cstheme="minorHAnsi"/>
          <w:b/>
          <w:szCs w:val="18"/>
          <w:u w:val="single"/>
        </w:rPr>
        <w:t>Meeting the 10 per cent requirement</w:t>
      </w:r>
    </w:p>
    <w:p w14:paraId="6E3DDF2F" w14:textId="77777777" w:rsidR="00334B90" w:rsidRPr="007400EE" w:rsidRDefault="00334B90" w:rsidP="00334B90">
      <w:pPr>
        <w:jc w:val="both"/>
        <w:rPr>
          <w:rFonts w:asciiTheme="minorHAnsi" w:hAnsiTheme="minorHAnsi" w:cstheme="minorHAnsi"/>
          <w:b/>
          <w:szCs w:val="18"/>
        </w:rPr>
      </w:pPr>
      <w:r w:rsidRPr="007400EE">
        <w:rPr>
          <w:rFonts w:asciiTheme="minorHAnsi" w:hAnsiTheme="minorHAnsi" w:cstheme="minorHAnsi"/>
          <w:b/>
          <w:szCs w:val="18"/>
        </w:rPr>
        <w:t xml:space="preserve">Who and what counts towards 10 per cent hours requirement? </w:t>
      </w:r>
    </w:p>
    <w:p w14:paraId="56A7F446" w14:textId="336CB4B4" w:rsidR="00334B90" w:rsidRDefault="00334B90" w:rsidP="00B63D2B">
      <w:pPr>
        <w:pStyle w:val="ListParagraph"/>
        <w:numPr>
          <w:ilvl w:val="0"/>
          <w:numId w:val="25"/>
        </w:numPr>
        <w:jc w:val="both"/>
        <w:rPr>
          <w:rFonts w:asciiTheme="minorHAnsi" w:hAnsiTheme="minorHAnsi" w:cstheme="minorHAnsi"/>
          <w:sz w:val="18"/>
        </w:rPr>
      </w:pPr>
      <w:r w:rsidRPr="00A718F5">
        <w:rPr>
          <w:rFonts w:asciiTheme="minorHAnsi" w:hAnsiTheme="minorHAnsi" w:cstheme="minorHAnsi"/>
          <w:sz w:val="18"/>
        </w:rPr>
        <w:t xml:space="preserve">The </w:t>
      </w:r>
      <w:r>
        <w:rPr>
          <w:rFonts w:asciiTheme="minorHAnsi" w:hAnsiTheme="minorHAnsi" w:cstheme="minorHAnsi"/>
          <w:sz w:val="18"/>
        </w:rPr>
        <w:t>MPSG</w:t>
      </w:r>
      <w:r w:rsidRPr="00A718F5">
        <w:rPr>
          <w:rFonts w:asciiTheme="minorHAnsi" w:hAnsiTheme="minorHAnsi" w:cstheme="minorHAnsi"/>
          <w:sz w:val="18"/>
        </w:rPr>
        <w:t xml:space="preserve"> does not prescribe the breakdown of labour hour contributions from apprentices, trainees or cadets</w:t>
      </w:r>
      <w:r w:rsidR="00A85274">
        <w:rPr>
          <w:rFonts w:asciiTheme="minorHAnsi" w:hAnsiTheme="minorHAnsi" w:cstheme="minorHAnsi"/>
          <w:sz w:val="18"/>
        </w:rPr>
        <w:t>, or how it is to be applied across different contracts on a particular project</w:t>
      </w:r>
      <w:r w:rsidRPr="00A718F5">
        <w:rPr>
          <w:rFonts w:asciiTheme="minorHAnsi" w:hAnsiTheme="minorHAnsi" w:cstheme="minorHAnsi"/>
          <w:sz w:val="18"/>
        </w:rPr>
        <w:t xml:space="preserve">. They can be used in any combination of hours. However, the Victorian apprentices, trainees or cadets that are </w:t>
      </w:r>
      <w:r>
        <w:rPr>
          <w:rFonts w:asciiTheme="minorHAnsi" w:hAnsiTheme="minorHAnsi" w:cstheme="minorHAnsi"/>
          <w:sz w:val="18"/>
        </w:rPr>
        <w:t>use</w:t>
      </w:r>
      <w:r w:rsidRPr="00A718F5">
        <w:rPr>
          <w:rFonts w:asciiTheme="minorHAnsi" w:hAnsiTheme="minorHAnsi" w:cstheme="minorHAnsi"/>
          <w:sz w:val="18"/>
        </w:rPr>
        <w:t xml:space="preserve">d must reflect the existing occupational profile of the sector workforce, and </w:t>
      </w:r>
      <w:r w:rsidR="00F92ACE">
        <w:rPr>
          <w:rFonts w:asciiTheme="minorHAnsi" w:hAnsiTheme="minorHAnsi" w:cstheme="minorHAnsi"/>
          <w:sz w:val="18"/>
        </w:rPr>
        <w:t>bidders</w:t>
      </w:r>
      <w:r w:rsidRPr="00A718F5">
        <w:rPr>
          <w:rFonts w:asciiTheme="minorHAnsi" w:hAnsiTheme="minorHAnsi" w:cstheme="minorHAnsi"/>
          <w:sz w:val="18"/>
        </w:rPr>
        <w:t xml:space="preserve"> are to avoid reliance on any one group to achieve compliance where this is outside the industry or sector norm. </w:t>
      </w:r>
    </w:p>
    <w:p w14:paraId="04531858" w14:textId="77777777" w:rsidR="00334B90" w:rsidRPr="00A718F5" w:rsidRDefault="00334B90" w:rsidP="00334B90">
      <w:pPr>
        <w:pStyle w:val="ListParagraph"/>
        <w:jc w:val="both"/>
        <w:rPr>
          <w:rFonts w:asciiTheme="minorHAnsi" w:hAnsiTheme="minorHAnsi" w:cstheme="minorHAnsi"/>
          <w:sz w:val="18"/>
        </w:rPr>
      </w:pPr>
    </w:p>
    <w:p w14:paraId="02D9A590" w14:textId="77777777" w:rsidR="00334B90" w:rsidRDefault="00334B90" w:rsidP="00B63D2B">
      <w:pPr>
        <w:pStyle w:val="ListParagraph"/>
        <w:numPr>
          <w:ilvl w:val="0"/>
          <w:numId w:val="25"/>
        </w:numPr>
        <w:jc w:val="both"/>
        <w:rPr>
          <w:rFonts w:asciiTheme="minorHAnsi" w:hAnsiTheme="minorHAnsi" w:cstheme="minorHAnsi"/>
          <w:sz w:val="18"/>
        </w:rPr>
      </w:pPr>
      <w:r w:rsidRPr="00A718F5">
        <w:rPr>
          <w:rFonts w:asciiTheme="minorHAnsi" w:hAnsiTheme="minorHAnsi" w:cstheme="minorHAnsi"/>
          <w:sz w:val="18"/>
        </w:rPr>
        <w:t xml:space="preserve">The contribution can include work hour contributions from either existing or new Victorian apprentices, Victorian trainees or cadets or combinations of these.     </w:t>
      </w:r>
    </w:p>
    <w:p w14:paraId="72B144A0" w14:textId="77777777" w:rsidR="00334B90" w:rsidRPr="00A718F5" w:rsidRDefault="00334B90" w:rsidP="00334B90">
      <w:pPr>
        <w:pStyle w:val="ListParagraph"/>
        <w:jc w:val="both"/>
        <w:rPr>
          <w:rFonts w:asciiTheme="minorHAnsi" w:hAnsiTheme="minorHAnsi" w:cstheme="minorHAnsi"/>
          <w:sz w:val="18"/>
        </w:rPr>
      </w:pPr>
    </w:p>
    <w:p w14:paraId="15A29AA0" w14:textId="60887972" w:rsidR="00334B90" w:rsidRDefault="00334B90" w:rsidP="00B63D2B">
      <w:pPr>
        <w:pStyle w:val="ListParagraph"/>
        <w:numPr>
          <w:ilvl w:val="0"/>
          <w:numId w:val="25"/>
        </w:numPr>
        <w:jc w:val="both"/>
        <w:rPr>
          <w:rFonts w:asciiTheme="minorHAnsi" w:hAnsiTheme="minorHAnsi" w:cstheme="minorHAnsi"/>
          <w:sz w:val="18"/>
        </w:rPr>
      </w:pPr>
      <w:r w:rsidRPr="00A718F5">
        <w:rPr>
          <w:rFonts w:asciiTheme="minorHAnsi" w:hAnsiTheme="minorHAnsi" w:cstheme="minorHAnsi"/>
          <w:sz w:val="18"/>
        </w:rPr>
        <w:t xml:space="preserve">Only the hours spent working on the applying project </w:t>
      </w:r>
      <w:r w:rsidR="007A3A02">
        <w:rPr>
          <w:rFonts w:asciiTheme="minorHAnsi" w:hAnsiTheme="minorHAnsi" w:cstheme="minorHAnsi"/>
          <w:sz w:val="18"/>
        </w:rPr>
        <w:t xml:space="preserve">or at offsite training </w:t>
      </w:r>
      <w:r w:rsidRPr="00A718F5">
        <w:rPr>
          <w:rFonts w:asciiTheme="minorHAnsi" w:hAnsiTheme="minorHAnsi" w:cstheme="minorHAnsi"/>
          <w:sz w:val="18"/>
        </w:rPr>
        <w:t>can be counted towards the project</w:t>
      </w:r>
      <w:r>
        <w:rPr>
          <w:rFonts w:asciiTheme="minorHAnsi" w:hAnsiTheme="minorHAnsi" w:cstheme="minorHAnsi"/>
          <w:sz w:val="18"/>
        </w:rPr>
        <w:t>’</w:t>
      </w:r>
      <w:r w:rsidRPr="00A718F5">
        <w:rPr>
          <w:rFonts w:asciiTheme="minorHAnsi" w:hAnsiTheme="minorHAnsi" w:cstheme="minorHAnsi"/>
          <w:sz w:val="18"/>
        </w:rPr>
        <w:t>s 10 per cent requirement</w:t>
      </w:r>
      <w:r w:rsidR="003C57F8">
        <w:rPr>
          <w:rFonts w:asciiTheme="minorHAnsi" w:hAnsiTheme="minorHAnsi" w:cstheme="minorHAnsi"/>
          <w:sz w:val="18"/>
        </w:rPr>
        <w:t>.</w:t>
      </w:r>
      <w:r w:rsidRPr="00A718F5">
        <w:rPr>
          <w:rFonts w:asciiTheme="minorHAnsi" w:hAnsiTheme="minorHAnsi" w:cstheme="minorHAnsi"/>
          <w:sz w:val="18"/>
        </w:rPr>
        <w:t xml:space="preserve"> For example, a full-time business administration trainee may work across a </w:t>
      </w:r>
      <w:r>
        <w:rPr>
          <w:rFonts w:asciiTheme="minorHAnsi" w:hAnsiTheme="minorHAnsi" w:cstheme="minorHAnsi"/>
          <w:sz w:val="18"/>
        </w:rPr>
        <w:t>few</w:t>
      </w:r>
      <w:r w:rsidRPr="00A718F5">
        <w:rPr>
          <w:rFonts w:asciiTheme="minorHAnsi" w:hAnsiTheme="minorHAnsi" w:cstheme="minorHAnsi"/>
          <w:sz w:val="18"/>
        </w:rPr>
        <w:t xml:space="preserve"> projects, only spending an equivalent of two days working on the</w:t>
      </w:r>
      <w:r>
        <w:rPr>
          <w:rFonts w:asciiTheme="minorHAnsi" w:hAnsiTheme="minorHAnsi" w:cstheme="minorHAnsi"/>
          <w:sz w:val="18"/>
        </w:rPr>
        <w:t xml:space="preserve"> MPSG applicable</w:t>
      </w:r>
      <w:r w:rsidRPr="00A718F5">
        <w:rPr>
          <w:rFonts w:asciiTheme="minorHAnsi" w:hAnsiTheme="minorHAnsi" w:cstheme="minorHAnsi"/>
          <w:sz w:val="18"/>
        </w:rPr>
        <w:t xml:space="preserve"> project. Only 16 hours a week can be counted towards the requirement.</w:t>
      </w:r>
    </w:p>
    <w:p w14:paraId="1A12B748" w14:textId="77777777" w:rsidR="00334B90" w:rsidRPr="00A718F5" w:rsidRDefault="00334B90" w:rsidP="007A3A02">
      <w:pPr>
        <w:pStyle w:val="ListParagraph"/>
        <w:ind w:left="360"/>
        <w:jc w:val="both"/>
        <w:rPr>
          <w:rFonts w:asciiTheme="minorHAnsi" w:hAnsiTheme="minorHAnsi" w:cstheme="minorHAnsi"/>
          <w:sz w:val="18"/>
        </w:rPr>
      </w:pPr>
    </w:p>
    <w:p w14:paraId="5B0DFFC0" w14:textId="1E44EB95" w:rsidR="00334B90" w:rsidRPr="007A3A02" w:rsidRDefault="00334B90" w:rsidP="007A3A02">
      <w:pPr>
        <w:pStyle w:val="ListParagraph"/>
        <w:numPr>
          <w:ilvl w:val="0"/>
          <w:numId w:val="25"/>
        </w:numPr>
        <w:jc w:val="both"/>
        <w:rPr>
          <w:rFonts w:asciiTheme="minorHAnsi" w:hAnsiTheme="minorHAnsi" w:cstheme="minorHAnsi"/>
          <w:sz w:val="18"/>
        </w:rPr>
      </w:pPr>
      <w:r w:rsidRPr="00A718F5">
        <w:rPr>
          <w:rFonts w:asciiTheme="minorHAnsi" w:hAnsiTheme="minorHAnsi" w:cstheme="minorHAnsi"/>
          <w:sz w:val="18"/>
        </w:rPr>
        <w:t xml:space="preserve">Hours spent offsite for training and education can be counted towards the 10 per cent requirement. This allows the time apprentices, trainees and cadets spend away from the project at TAFE or university to </w:t>
      </w:r>
      <w:r w:rsidRPr="00733CB5">
        <w:rPr>
          <w:rFonts w:asciiTheme="minorHAnsi" w:hAnsiTheme="minorHAnsi" w:cstheme="minorHAnsi"/>
          <w:sz w:val="18"/>
        </w:rPr>
        <w:t xml:space="preserve">still be counted. For example, a cadet working two days on the project with </w:t>
      </w:r>
      <w:r>
        <w:rPr>
          <w:rFonts w:asciiTheme="minorHAnsi" w:hAnsiTheme="minorHAnsi" w:cstheme="minorHAnsi"/>
          <w:sz w:val="18"/>
        </w:rPr>
        <w:t>five</w:t>
      </w:r>
      <w:r w:rsidRPr="00733CB5">
        <w:rPr>
          <w:rFonts w:asciiTheme="minorHAnsi" w:hAnsiTheme="minorHAnsi" w:cstheme="minorHAnsi"/>
          <w:sz w:val="18"/>
        </w:rPr>
        <w:t xml:space="preserve"> contact hours at university,</w:t>
      </w:r>
      <w:r>
        <w:rPr>
          <w:rFonts w:asciiTheme="minorHAnsi" w:hAnsiTheme="minorHAnsi" w:cstheme="minorHAnsi"/>
          <w:sz w:val="18"/>
        </w:rPr>
        <w:t xml:space="preserve"> </w:t>
      </w:r>
      <w:r w:rsidRPr="00733CB5">
        <w:rPr>
          <w:rFonts w:asciiTheme="minorHAnsi" w:hAnsiTheme="minorHAnsi" w:cstheme="minorHAnsi"/>
          <w:sz w:val="18"/>
        </w:rPr>
        <w:t>a total of 21 hours can be counted towards the hours requirement. However, if a cadet is on summer break from university and therefore not attending classes, no contact hours at university can be counted. Only training</w:t>
      </w:r>
      <w:r w:rsidRPr="007A3A02">
        <w:rPr>
          <w:rFonts w:asciiTheme="minorHAnsi" w:hAnsiTheme="minorHAnsi" w:cstheme="minorHAnsi"/>
          <w:sz w:val="18"/>
        </w:rPr>
        <w:t xml:space="preserve"> contact hours while concurrently working on the project can contribute toward the 10 per cent requirement.</w:t>
      </w:r>
    </w:p>
    <w:p w14:paraId="2F0538A7" w14:textId="77777777" w:rsidR="002105E9" w:rsidRDefault="002105E9" w:rsidP="00084F7B">
      <w:pPr>
        <w:pStyle w:val="ListParagraph"/>
      </w:pPr>
    </w:p>
    <w:p w14:paraId="1540DB18" w14:textId="5E8DA145" w:rsidR="009F0CD2" w:rsidRPr="002A74A0" w:rsidRDefault="002105E9" w:rsidP="00334B90">
      <w:pPr>
        <w:pStyle w:val="ListParagraph"/>
        <w:numPr>
          <w:ilvl w:val="0"/>
          <w:numId w:val="25"/>
        </w:numPr>
        <w:jc w:val="both"/>
        <w:rPr>
          <w:rFonts w:asciiTheme="minorHAnsi" w:hAnsiTheme="minorHAnsi" w:cstheme="minorHAnsi"/>
          <w:sz w:val="18"/>
        </w:rPr>
      </w:pPr>
      <w:bookmarkStart w:id="37" w:name="_Hlk31182715"/>
      <w:r w:rsidRPr="009F0CD2">
        <w:rPr>
          <w:rFonts w:asciiTheme="minorHAnsi" w:hAnsiTheme="minorHAnsi" w:cstheme="minorHAnsi"/>
          <w:sz w:val="18"/>
        </w:rPr>
        <w:t xml:space="preserve">Trainees and </w:t>
      </w:r>
      <w:r w:rsidR="000012F6" w:rsidRPr="009F0CD2">
        <w:rPr>
          <w:rFonts w:asciiTheme="minorHAnsi" w:hAnsiTheme="minorHAnsi" w:cstheme="minorHAnsi"/>
          <w:sz w:val="18"/>
        </w:rPr>
        <w:t>apprentices</w:t>
      </w:r>
      <w:r w:rsidRPr="009F0CD2">
        <w:rPr>
          <w:rFonts w:asciiTheme="minorHAnsi" w:hAnsiTheme="minorHAnsi" w:cstheme="minorHAnsi"/>
          <w:sz w:val="18"/>
        </w:rPr>
        <w:t xml:space="preserve"> must </w:t>
      </w:r>
      <w:r w:rsidR="000012F6" w:rsidRPr="009F0CD2">
        <w:rPr>
          <w:rFonts w:asciiTheme="minorHAnsi" w:hAnsiTheme="minorHAnsi" w:cstheme="minorHAnsi"/>
          <w:sz w:val="18"/>
        </w:rPr>
        <w:t xml:space="preserve">be registered with the Victorian Registration and Qualification Authority. </w:t>
      </w:r>
      <w:bookmarkEnd w:id="37"/>
    </w:p>
    <w:p w14:paraId="4319443D" w14:textId="769D8D41" w:rsidR="00334B90" w:rsidRPr="007400EE" w:rsidRDefault="00334B90" w:rsidP="00334B90">
      <w:pPr>
        <w:jc w:val="both"/>
        <w:rPr>
          <w:rFonts w:asciiTheme="minorHAnsi" w:hAnsiTheme="minorHAnsi" w:cstheme="minorHAnsi"/>
          <w:b/>
          <w:szCs w:val="18"/>
        </w:rPr>
      </w:pPr>
      <w:r w:rsidRPr="007400EE">
        <w:rPr>
          <w:rFonts w:asciiTheme="minorHAnsi" w:hAnsiTheme="minorHAnsi" w:cstheme="minorHAnsi"/>
          <w:b/>
          <w:szCs w:val="18"/>
        </w:rPr>
        <w:t>Engaging new Apprentices, Trainees and Cadets</w:t>
      </w:r>
    </w:p>
    <w:p w14:paraId="3B5BA9AF" w14:textId="22B776F9" w:rsidR="00334B90" w:rsidRPr="009F0CD2" w:rsidRDefault="00334B90" w:rsidP="009F0CD2">
      <w:pPr>
        <w:pStyle w:val="ListParagraph"/>
        <w:numPr>
          <w:ilvl w:val="0"/>
          <w:numId w:val="25"/>
        </w:numPr>
        <w:jc w:val="both"/>
        <w:rPr>
          <w:rFonts w:asciiTheme="minorHAnsi" w:hAnsiTheme="minorHAnsi" w:cstheme="minorHAnsi"/>
          <w:sz w:val="18"/>
        </w:rPr>
      </w:pPr>
      <w:r w:rsidRPr="009F0CD2">
        <w:rPr>
          <w:rFonts w:asciiTheme="minorHAnsi" w:hAnsiTheme="minorHAnsi" w:cstheme="minorHAnsi"/>
          <w:sz w:val="18"/>
        </w:rPr>
        <w:t xml:space="preserve">Contributions </w:t>
      </w:r>
      <w:r w:rsidR="002A74A0">
        <w:rPr>
          <w:rFonts w:asciiTheme="minorHAnsi" w:hAnsiTheme="minorHAnsi" w:cstheme="minorHAnsi"/>
          <w:sz w:val="18"/>
        </w:rPr>
        <w:t>to the MPSG</w:t>
      </w:r>
      <w:r w:rsidRPr="009F0CD2">
        <w:rPr>
          <w:rFonts w:asciiTheme="minorHAnsi" w:hAnsiTheme="minorHAnsi" w:cstheme="minorHAnsi"/>
          <w:sz w:val="18"/>
        </w:rPr>
        <w:t xml:space="preserve"> may be from apprentices, trainees and cadets directly employed by the princip</w:t>
      </w:r>
      <w:r w:rsidR="003C57F8">
        <w:rPr>
          <w:rFonts w:asciiTheme="minorHAnsi" w:hAnsiTheme="minorHAnsi" w:cstheme="minorHAnsi"/>
          <w:sz w:val="18"/>
        </w:rPr>
        <w:t>al</w:t>
      </w:r>
      <w:r w:rsidRPr="009F0CD2">
        <w:rPr>
          <w:rFonts w:asciiTheme="minorHAnsi" w:hAnsiTheme="minorHAnsi" w:cstheme="minorHAnsi"/>
          <w:sz w:val="18"/>
        </w:rPr>
        <w:t xml:space="preserve"> contractor or subcontractors or indirectly employed through group training organisations (GTOs).</w:t>
      </w:r>
    </w:p>
    <w:p w14:paraId="46896A07" w14:textId="75A4147A" w:rsidR="00334B90" w:rsidRPr="009F0CD2" w:rsidRDefault="00334B90" w:rsidP="009F0CD2">
      <w:pPr>
        <w:pStyle w:val="ListParagraph"/>
        <w:ind w:left="360"/>
        <w:jc w:val="both"/>
        <w:rPr>
          <w:rFonts w:asciiTheme="minorHAnsi" w:hAnsiTheme="minorHAnsi" w:cstheme="minorHAnsi"/>
          <w:sz w:val="18"/>
        </w:rPr>
      </w:pPr>
    </w:p>
    <w:p w14:paraId="20B56503" w14:textId="4B510FD1" w:rsidR="00334B90" w:rsidRPr="009F0CD2" w:rsidRDefault="00F92ACE" w:rsidP="009F0CD2">
      <w:pPr>
        <w:pStyle w:val="ListParagraph"/>
        <w:numPr>
          <w:ilvl w:val="0"/>
          <w:numId w:val="25"/>
        </w:numPr>
        <w:jc w:val="both"/>
        <w:rPr>
          <w:rFonts w:asciiTheme="minorHAnsi" w:hAnsiTheme="minorHAnsi" w:cstheme="minorHAnsi"/>
          <w:sz w:val="18"/>
        </w:rPr>
      </w:pPr>
      <w:r w:rsidRPr="009F0CD2">
        <w:rPr>
          <w:rFonts w:asciiTheme="minorHAnsi" w:hAnsiTheme="minorHAnsi" w:cstheme="minorHAnsi"/>
          <w:sz w:val="18"/>
        </w:rPr>
        <w:t>Bidders</w:t>
      </w:r>
      <w:r w:rsidR="00334B90" w:rsidRPr="009F0CD2">
        <w:rPr>
          <w:rFonts w:asciiTheme="minorHAnsi" w:hAnsiTheme="minorHAnsi" w:cstheme="minorHAnsi"/>
          <w:sz w:val="18"/>
        </w:rPr>
        <w:t xml:space="preserve"> are encouraged to use Victorian apprentices, trainees or cadets drawn from groups who are generally under-represented in industry vocational training such as women, and/or who face barriers to vocational training or the workforce more generally, such as indigenous or older apprentices, trainees or </w:t>
      </w:r>
      <w:r w:rsidR="00334B90" w:rsidRPr="009F0CD2">
        <w:rPr>
          <w:rFonts w:asciiTheme="minorHAnsi" w:hAnsiTheme="minorHAnsi" w:cstheme="minorHAnsi"/>
          <w:sz w:val="18"/>
        </w:rPr>
        <w:lastRenderedPageBreak/>
        <w:t>cadets or those with a disability. A key resource to achieve this will be state and federal employment programs for helping long-term job seekers, such as Jobs Victoria.</w:t>
      </w:r>
    </w:p>
    <w:p w14:paraId="52676211" w14:textId="77777777" w:rsidR="00D2003A" w:rsidRPr="009F0CD2" w:rsidRDefault="00D2003A" w:rsidP="009F0CD2">
      <w:pPr>
        <w:pStyle w:val="ListParagraph"/>
        <w:ind w:left="360"/>
        <w:jc w:val="both"/>
        <w:rPr>
          <w:rFonts w:asciiTheme="minorHAnsi" w:hAnsiTheme="minorHAnsi" w:cstheme="minorHAnsi"/>
          <w:sz w:val="18"/>
        </w:rPr>
      </w:pPr>
    </w:p>
    <w:p w14:paraId="5CA8CA57" w14:textId="35F4EEAD" w:rsidR="00D2003A" w:rsidRDefault="00D2003A" w:rsidP="009F0CD2">
      <w:pPr>
        <w:pStyle w:val="ListParagraph"/>
        <w:numPr>
          <w:ilvl w:val="0"/>
          <w:numId w:val="25"/>
        </w:numPr>
        <w:jc w:val="both"/>
        <w:rPr>
          <w:rFonts w:asciiTheme="minorHAnsi" w:hAnsiTheme="minorHAnsi" w:cstheme="minorHAnsi"/>
          <w:sz w:val="18"/>
        </w:rPr>
      </w:pPr>
      <w:r w:rsidRPr="009F0CD2">
        <w:rPr>
          <w:rFonts w:asciiTheme="minorHAnsi" w:hAnsiTheme="minorHAnsi" w:cstheme="minorHAnsi"/>
          <w:sz w:val="18"/>
        </w:rPr>
        <w:t>Cadets</w:t>
      </w:r>
      <w:r w:rsidR="007D7EF0" w:rsidRPr="009F0CD2">
        <w:rPr>
          <w:rFonts w:asciiTheme="minorHAnsi" w:hAnsiTheme="minorHAnsi" w:cstheme="minorHAnsi"/>
          <w:sz w:val="18"/>
        </w:rPr>
        <w:t xml:space="preserve"> combine formal tertiary training with practical work experience. Cadets are individuals enrolled in a recognised tertiary level organisation and who receive structured learning opportunities as part of their engagement to a Local Jobs First </w:t>
      </w:r>
      <w:r w:rsidR="00792D8C">
        <w:rPr>
          <w:rFonts w:asciiTheme="minorHAnsi" w:hAnsiTheme="minorHAnsi" w:cstheme="minorHAnsi"/>
          <w:sz w:val="18"/>
        </w:rPr>
        <w:t>P</w:t>
      </w:r>
      <w:r w:rsidR="007D7EF0" w:rsidRPr="009F0CD2">
        <w:rPr>
          <w:rFonts w:asciiTheme="minorHAnsi" w:hAnsiTheme="minorHAnsi" w:cstheme="minorHAnsi"/>
          <w:sz w:val="18"/>
        </w:rPr>
        <w:t>roject (e.g. cadets in architecture, quantity surveying, and engineering). Cadetships vary in length depending on the vocation but are generally 18 months to two years in length. A cadetship does not fall under a National Training Contract.</w:t>
      </w:r>
    </w:p>
    <w:p w14:paraId="7FEAEDC2" w14:textId="415B5B85" w:rsidR="0093585C" w:rsidRDefault="0093585C" w:rsidP="0093585C">
      <w:pPr>
        <w:pStyle w:val="ListParagraph"/>
        <w:ind w:left="360"/>
        <w:jc w:val="both"/>
        <w:rPr>
          <w:rFonts w:asciiTheme="minorHAnsi" w:hAnsiTheme="minorHAnsi" w:cstheme="minorHAnsi"/>
          <w:sz w:val="18"/>
        </w:rPr>
      </w:pPr>
    </w:p>
    <w:p w14:paraId="68D2C505" w14:textId="77777777" w:rsidR="002B1588" w:rsidRPr="009F0CD2" w:rsidRDefault="002B1588" w:rsidP="0093585C">
      <w:pPr>
        <w:pStyle w:val="ListParagraph"/>
        <w:ind w:left="360"/>
        <w:jc w:val="both"/>
        <w:rPr>
          <w:rFonts w:asciiTheme="minorHAnsi" w:hAnsiTheme="minorHAnsi" w:cstheme="minorHAnsi"/>
          <w:sz w:val="18"/>
        </w:rPr>
      </w:pPr>
    </w:p>
    <w:p w14:paraId="3CBF978C" w14:textId="6061A4A3" w:rsidR="0093585C" w:rsidRPr="0093585C" w:rsidRDefault="0093585C" w:rsidP="0093585C">
      <w:pPr>
        <w:spacing w:before="0" w:line="276" w:lineRule="auto"/>
        <w:jc w:val="both"/>
        <w:rPr>
          <w:rFonts w:asciiTheme="minorHAnsi" w:hAnsiTheme="minorHAnsi" w:cstheme="minorHAnsi"/>
          <w:b/>
          <w:sz w:val="20"/>
          <w:szCs w:val="18"/>
        </w:rPr>
      </w:pPr>
      <w:r w:rsidRPr="0093585C">
        <w:rPr>
          <w:rFonts w:asciiTheme="minorHAnsi" w:hAnsiTheme="minorHAnsi" w:cstheme="minorHAnsi"/>
          <w:b/>
          <w:sz w:val="20"/>
          <w:szCs w:val="18"/>
        </w:rPr>
        <w:t xml:space="preserve">Step 3 – </w:t>
      </w:r>
      <w:r w:rsidR="003C57F8">
        <w:rPr>
          <w:rFonts w:asciiTheme="minorHAnsi" w:hAnsiTheme="minorHAnsi" w:cstheme="minorHAnsi"/>
          <w:b/>
          <w:sz w:val="20"/>
          <w:szCs w:val="18"/>
        </w:rPr>
        <w:t>S</w:t>
      </w:r>
      <w:r w:rsidRPr="0093585C">
        <w:rPr>
          <w:rFonts w:asciiTheme="minorHAnsi" w:hAnsiTheme="minorHAnsi" w:cstheme="minorHAnsi"/>
          <w:b/>
          <w:sz w:val="20"/>
          <w:szCs w:val="18"/>
        </w:rPr>
        <w:t xml:space="preserve">ubmitting </w:t>
      </w:r>
      <w:r w:rsidR="000830CF">
        <w:rPr>
          <w:rFonts w:asciiTheme="minorHAnsi" w:hAnsiTheme="minorHAnsi" w:cstheme="minorHAnsi"/>
          <w:b/>
          <w:sz w:val="20"/>
          <w:szCs w:val="18"/>
        </w:rPr>
        <w:t>an LIDP</w:t>
      </w:r>
      <w:r w:rsidRPr="0093585C">
        <w:rPr>
          <w:rFonts w:asciiTheme="minorHAnsi" w:hAnsiTheme="minorHAnsi" w:cstheme="minorHAnsi"/>
          <w:b/>
          <w:sz w:val="20"/>
          <w:szCs w:val="18"/>
        </w:rPr>
        <w:t xml:space="preserve"> to ICN</w:t>
      </w:r>
    </w:p>
    <w:p w14:paraId="60B25924" w14:textId="0E6989D7" w:rsidR="00283F1D" w:rsidRDefault="00283F1D" w:rsidP="00283F1D">
      <w:pPr>
        <w:pStyle w:val="ListParagraph"/>
        <w:numPr>
          <w:ilvl w:val="0"/>
          <w:numId w:val="25"/>
        </w:numPr>
        <w:jc w:val="both"/>
        <w:rPr>
          <w:rFonts w:asciiTheme="minorHAnsi" w:hAnsiTheme="minorHAnsi" w:cstheme="minorHAnsi"/>
          <w:sz w:val="18"/>
        </w:rPr>
      </w:pPr>
      <w:r w:rsidRPr="00283F1D">
        <w:rPr>
          <w:rFonts w:asciiTheme="minorHAnsi" w:hAnsiTheme="minorHAnsi" w:cstheme="minorHAnsi"/>
          <w:sz w:val="18"/>
        </w:rPr>
        <w:t xml:space="preserve">All fields within the online LIDP must be completed before it can be submitted. </w:t>
      </w:r>
    </w:p>
    <w:p w14:paraId="01D9B35C" w14:textId="77777777" w:rsidR="00283F1D" w:rsidRPr="00283F1D" w:rsidRDefault="00283F1D" w:rsidP="00283F1D">
      <w:pPr>
        <w:pStyle w:val="ListParagraph"/>
        <w:ind w:left="360"/>
        <w:jc w:val="both"/>
        <w:rPr>
          <w:rFonts w:asciiTheme="minorHAnsi" w:hAnsiTheme="minorHAnsi" w:cstheme="minorHAnsi"/>
          <w:sz w:val="18"/>
        </w:rPr>
      </w:pPr>
    </w:p>
    <w:p w14:paraId="2F58F313" w14:textId="5802F327" w:rsidR="00555385" w:rsidRDefault="00283F1D" w:rsidP="00555385">
      <w:pPr>
        <w:pStyle w:val="ListParagraph"/>
        <w:numPr>
          <w:ilvl w:val="0"/>
          <w:numId w:val="25"/>
        </w:numPr>
        <w:jc w:val="both"/>
        <w:rPr>
          <w:rFonts w:asciiTheme="minorHAnsi" w:hAnsiTheme="minorHAnsi" w:cstheme="minorHAnsi"/>
          <w:sz w:val="18"/>
        </w:rPr>
      </w:pPr>
      <w:r w:rsidRPr="00283F1D">
        <w:rPr>
          <w:rFonts w:asciiTheme="minorHAnsi" w:hAnsiTheme="minorHAnsi" w:cstheme="minorHAnsi"/>
          <w:sz w:val="18"/>
        </w:rPr>
        <w:t>If you wish to submit a</w:t>
      </w:r>
      <w:r w:rsidR="000830CF">
        <w:rPr>
          <w:rFonts w:asciiTheme="minorHAnsi" w:hAnsiTheme="minorHAnsi" w:cstheme="minorHAnsi"/>
          <w:sz w:val="18"/>
        </w:rPr>
        <w:t>n</w:t>
      </w:r>
      <w:r w:rsidRPr="00283F1D">
        <w:rPr>
          <w:rFonts w:asciiTheme="minorHAnsi" w:hAnsiTheme="minorHAnsi" w:cstheme="minorHAnsi"/>
          <w:sz w:val="18"/>
        </w:rPr>
        <w:t xml:space="preserve"> LIDP after the tender close date, contact the agency. </w:t>
      </w:r>
    </w:p>
    <w:p w14:paraId="04370B12" w14:textId="77777777" w:rsidR="00410E07" w:rsidRPr="002D3492" w:rsidRDefault="00410E07" w:rsidP="002D3492">
      <w:pPr>
        <w:pStyle w:val="ListParagraph"/>
        <w:ind w:left="360"/>
        <w:jc w:val="both"/>
        <w:rPr>
          <w:rFonts w:asciiTheme="minorHAnsi" w:hAnsiTheme="minorHAnsi" w:cstheme="minorHAnsi"/>
          <w:sz w:val="18"/>
        </w:rPr>
      </w:pPr>
    </w:p>
    <w:p w14:paraId="291F9DBD" w14:textId="25DF84FC" w:rsidR="00283F1D" w:rsidRDefault="00283F1D" w:rsidP="00283F1D">
      <w:pPr>
        <w:pStyle w:val="ListParagraph"/>
        <w:numPr>
          <w:ilvl w:val="0"/>
          <w:numId w:val="25"/>
        </w:numPr>
        <w:jc w:val="both"/>
        <w:rPr>
          <w:rFonts w:asciiTheme="minorHAnsi" w:hAnsiTheme="minorHAnsi" w:cstheme="minorHAnsi"/>
          <w:sz w:val="18"/>
        </w:rPr>
      </w:pPr>
      <w:r w:rsidRPr="00283F1D">
        <w:rPr>
          <w:rFonts w:asciiTheme="minorHAnsi" w:hAnsiTheme="minorHAnsi" w:cstheme="minorHAnsi"/>
          <w:sz w:val="18"/>
        </w:rPr>
        <w:t xml:space="preserve">The agency will notify the ICN and all bidders on whether an extension has been allowed and will advise on the revised due date for all LIDPs. The agency will then revise the timeline on the VMC as appropriate. </w:t>
      </w:r>
    </w:p>
    <w:p w14:paraId="08205369" w14:textId="77777777" w:rsidR="00283F1D" w:rsidRPr="00283F1D" w:rsidRDefault="00283F1D" w:rsidP="002D3492">
      <w:pPr>
        <w:pStyle w:val="ListParagraph"/>
        <w:ind w:left="360"/>
        <w:jc w:val="both"/>
        <w:rPr>
          <w:rFonts w:asciiTheme="minorHAnsi" w:hAnsiTheme="minorHAnsi" w:cstheme="minorHAnsi"/>
          <w:sz w:val="18"/>
        </w:rPr>
      </w:pPr>
    </w:p>
    <w:p w14:paraId="3274730D" w14:textId="66F49B97" w:rsidR="002D3492" w:rsidRPr="002D3492" w:rsidRDefault="00283F1D" w:rsidP="002D3492">
      <w:pPr>
        <w:pStyle w:val="ListParagraph"/>
        <w:numPr>
          <w:ilvl w:val="0"/>
          <w:numId w:val="25"/>
        </w:numPr>
        <w:jc w:val="both"/>
        <w:rPr>
          <w:rFonts w:asciiTheme="minorHAnsi" w:hAnsiTheme="minorHAnsi" w:cstheme="minorHAnsi"/>
          <w:sz w:val="18"/>
        </w:rPr>
      </w:pPr>
      <w:r w:rsidRPr="00283F1D">
        <w:rPr>
          <w:rFonts w:asciiTheme="minorHAnsi" w:hAnsiTheme="minorHAnsi" w:cstheme="minorHAnsi"/>
          <w:sz w:val="18"/>
        </w:rPr>
        <w:t xml:space="preserve">Bidders should allow time for </w:t>
      </w:r>
      <w:r w:rsidR="00CC1D2F">
        <w:rPr>
          <w:rFonts w:asciiTheme="minorHAnsi" w:hAnsiTheme="minorHAnsi" w:cstheme="minorHAnsi"/>
          <w:sz w:val="18"/>
        </w:rPr>
        <w:t xml:space="preserve">the </w:t>
      </w:r>
      <w:r w:rsidRPr="00283F1D">
        <w:rPr>
          <w:rFonts w:asciiTheme="minorHAnsi" w:hAnsiTheme="minorHAnsi" w:cstheme="minorHAnsi"/>
          <w:sz w:val="18"/>
        </w:rPr>
        <w:t xml:space="preserve">ICN to acknowledge the LIDP. </w:t>
      </w:r>
    </w:p>
    <w:p w14:paraId="3CF86B03" w14:textId="77777777" w:rsidR="002D3492" w:rsidRDefault="002D3492" w:rsidP="002D3492">
      <w:pPr>
        <w:pStyle w:val="ListParagraph"/>
        <w:ind w:left="360"/>
        <w:jc w:val="both"/>
        <w:rPr>
          <w:rFonts w:asciiTheme="minorHAnsi" w:hAnsiTheme="minorHAnsi" w:cstheme="minorHAnsi"/>
          <w:sz w:val="18"/>
        </w:rPr>
      </w:pPr>
    </w:p>
    <w:p w14:paraId="25F6E797" w14:textId="5208B91B" w:rsidR="00283F1D" w:rsidRDefault="00276240" w:rsidP="00283F1D">
      <w:pPr>
        <w:pStyle w:val="ListParagraph"/>
        <w:numPr>
          <w:ilvl w:val="0"/>
          <w:numId w:val="25"/>
        </w:numPr>
        <w:jc w:val="both"/>
        <w:rPr>
          <w:rFonts w:asciiTheme="minorHAnsi" w:hAnsiTheme="minorHAnsi" w:cstheme="minorHAnsi"/>
          <w:sz w:val="18"/>
        </w:rPr>
      </w:pPr>
      <w:r w:rsidRPr="00B21CDB">
        <w:rPr>
          <w:rFonts w:asciiTheme="minorHAnsi" w:hAnsiTheme="minorHAnsi" w:cstheme="minorHAnsi"/>
          <w:sz w:val="18"/>
        </w:rPr>
        <w:t xml:space="preserve">The </w:t>
      </w:r>
      <w:r w:rsidR="00283F1D" w:rsidRPr="00283F1D">
        <w:rPr>
          <w:rFonts w:asciiTheme="minorHAnsi" w:hAnsiTheme="minorHAnsi" w:cstheme="minorHAnsi"/>
          <w:sz w:val="18"/>
        </w:rPr>
        <w:t>ICN will review each bidder’s LIDP and consider completeness, compliance and</w:t>
      </w:r>
      <w:r w:rsidR="003C57F8">
        <w:rPr>
          <w:rFonts w:asciiTheme="minorHAnsi" w:hAnsiTheme="minorHAnsi" w:cstheme="minorHAnsi"/>
          <w:sz w:val="18"/>
        </w:rPr>
        <w:t xml:space="preserve"> quality</w:t>
      </w:r>
      <w:r w:rsidR="00283F1D" w:rsidRPr="00283F1D">
        <w:rPr>
          <w:rFonts w:asciiTheme="minorHAnsi" w:hAnsiTheme="minorHAnsi" w:cstheme="minorHAnsi"/>
          <w:sz w:val="18"/>
        </w:rPr>
        <w:t xml:space="preserve"> of the information.</w:t>
      </w:r>
    </w:p>
    <w:p w14:paraId="3F9B3335" w14:textId="77777777" w:rsidR="00283F1D" w:rsidRPr="00283F1D" w:rsidRDefault="00283F1D" w:rsidP="00283F1D">
      <w:pPr>
        <w:pStyle w:val="ListParagraph"/>
        <w:ind w:left="360"/>
        <w:jc w:val="both"/>
        <w:rPr>
          <w:rFonts w:asciiTheme="minorHAnsi" w:hAnsiTheme="minorHAnsi" w:cstheme="minorHAnsi"/>
          <w:sz w:val="18"/>
        </w:rPr>
      </w:pPr>
    </w:p>
    <w:p w14:paraId="64B67A55" w14:textId="6E8F9474" w:rsidR="002A74A0" w:rsidRPr="002A74A0" w:rsidRDefault="00276240" w:rsidP="002A74A0">
      <w:pPr>
        <w:pStyle w:val="ListParagraph"/>
        <w:numPr>
          <w:ilvl w:val="0"/>
          <w:numId w:val="25"/>
        </w:numPr>
        <w:jc w:val="both"/>
        <w:rPr>
          <w:rFonts w:asciiTheme="minorHAnsi" w:hAnsiTheme="minorHAnsi" w:cstheme="minorHAnsi"/>
          <w:sz w:val="18"/>
        </w:rPr>
      </w:pPr>
      <w:r w:rsidRPr="00B21CDB">
        <w:rPr>
          <w:rFonts w:asciiTheme="minorHAnsi" w:hAnsiTheme="minorHAnsi" w:cstheme="minorHAnsi"/>
          <w:sz w:val="18"/>
        </w:rPr>
        <w:t xml:space="preserve">The </w:t>
      </w:r>
      <w:r w:rsidR="00283F1D" w:rsidRPr="00283F1D">
        <w:rPr>
          <w:rFonts w:asciiTheme="minorHAnsi" w:hAnsiTheme="minorHAnsi" w:cstheme="minorHAnsi"/>
          <w:sz w:val="18"/>
        </w:rPr>
        <w:t xml:space="preserve">ICN will issue an </w:t>
      </w:r>
      <w:r w:rsidR="0055443C">
        <w:rPr>
          <w:rFonts w:asciiTheme="minorHAnsi" w:hAnsiTheme="minorHAnsi" w:cstheme="minorHAnsi"/>
          <w:sz w:val="18"/>
        </w:rPr>
        <w:t>Acknowledgement Letter</w:t>
      </w:r>
      <w:r w:rsidR="00283F1D" w:rsidRPr="00283F1D">
        <w:rPr>
          <w:rFonts w:asciiTheme="minorHAnsi" w:hAnsiTheme="minorHAnsi" w:cstheme="minorHAnsi"/>
          <w:sz w:val="18"/>
        </w:rPr>
        <w:t xml:space="preserve"> to respective bidders that have submitted a complete and compliant LIDP. This can take two to three working days minimum.</w:t>
      </w:r>
    </w:p>
    <w:p w14:paraId="6B12B6F8" w14:textId="77777777" w:rsidR="002A74A0" w:rsidRDefault="002A74A0" w:rsidP="002A74A0">
      <w:pPr>
        <w:pStyle w:val="ListParagraph"/>
        <w:ind w:left="360"/>
        <w:jc w:val="both"/>
        <w:rPr>
          <w:rFonts w:asciiTheme="minorHAnsi" w:hAnsiTheme="minorHAnsi" w:cstheme="minorHAnsi"/>
          <w:sz w:val="18"/>
        </w:rPr>
      </w:pPr>
    </w:p>
    <w:p w14:paraId="06744EE5" w14:textId="5924675B" w:rsidR="00EA57FF" w:rsidRPr="00EA57FF" w:rsidRDefault="00276240" w:rsidP="00EA57FF">
      <w:pPr>
        <w:pStyle w:val="ListParagraph"/>
        <w:numPr>
          <w:ilvl w:val="0"/>
          <w:numId w:val="25"/>
        </w:numPr>
        <w:jc w:val="both"/>
        <w:rPr>
          <w:rFonts w:asciiTheme="minorHAnsi" w:hAnsiTheme="minorHAnsi" w:cstheme="minorHAnsi"/>
          <w:sz w:val="18"/>
        </w:rPr>
      </w:pPr>
      <w:r w:rsidRPr="00B21CDB">
        <w:rPr>
          <w:rFonts w:asciiTheme="minorHAnsi" w:hAnsiTheme="minorHAnsi" w:cstheme="minorHAnsi"/>
          <w:sz w:val="18"/>
        </w:rPr>
        <w:t xml:space="preserve">The </w:t>
      </w:r>
      <w:r w:rsidR="00283F1D" w:rsidRPr="00283F1D">
        <w:rPr>
          <w:rFonts w:asciiTheme="minorHAnsi" w:hAnsiTheme="minorHAnsi" w:cstheme="minorHAnsi"/>
          <w:sz w:val="18"/>
        </w:rPr>
        <w:t xml:space="preserve">ICN will only issue the </w:t>
      </w:r>
      <w:r w:rsidR="0055443C">
        <w:rPr>
          <w:rFonts w:asciiTheme="minorHAnsi" w:hAnsiTheme="minorHAnsi" w:cstheme="minorHAnsi"/>
          <w:sz w:val="18"/>
        </w:rPr>
        <w:t>Acknowledgement Letter</w:t>
      </w:r>
      <w:r w:rsidR="00283F1D" w:rsidRPr="00283F1D">
        <w:rPr>
          <w:rFonts w:asciiTheme="minorHAnsi" w:hAnsiTheme="minorHAnsi" w:cstheme="minorHAnsi"/>
          <w:sz w:val="18"/>
        </w:rPr>
        <w:t xml:space="preserve"> if:</w:t>
      </w:r>
    </w:p>
    <w:p w14:paraId="1671665B" w14:textId="28E57989" w:rsidR="00283F1D" w:rsidRPr="00C95676" w:rsidRDefault="00283F1D" w:rsidP="00283F1D">
      <w:pPr>
        <w:numPr>
          <w:ilvl w:val="0"/>
          <w:numId w:val="23"/>
        </w:numPr>
        <w:spacing w:before="0"/>
        <w:jc w:val="both"/>
        <w:rPr>
          <w:rFonts w:cs="Arial"/>
          <w:szCs w:val="18"/>
        </w:rPr>
      </w:pPr>
      <w:r w:rsidRPr="00C95676">
        <w:rPr>
          <w:rFonts w:cs="Arial"/>
          <w:szCs w:val="18"/>
        </w:rPr>
        <w:t xml:space="preserve">all sections of the LIDP are fully complete; </w:t>
      </w:r>
    </w:p>
    <w:p w14:paraId="177077A5" w14:textId="1DC3942D" w:rsidR="00283F1D" w:rsidRDefault="00283F1D" w:rsidP="00283F1D">
      <w:pPr>
        <w:numPr>
          <w:ilvl w:val="0"/>
          <w:numId w:val="23"/>
        </w:numPr>
        <w:spacing w:before="0"/>
        <w:jc w:val="both"/>
        <w:rPr>
          <w:rFonts w:cs="Arial"/>
          <w:szCs w:val="18"/>
        </w:rPr>
      </w:pPr>
      <w:r w:rsidRPr="00C95676">
        <w:rPr>
          <w:rFonts w:cs="Arial"/>
          <w:szCs w:val="18"/>
        </w:rPr>
        <w:t>the LIDP has been submitted within the specified tender timeframe</w:t>
      </w:r>
      <w:r w:rsidR="00EA57FF">
        <w:rPr>
          <w:rFonts w:cs="Arial"/>
          <w:szCs w:val="18"/>
        </w:rPr>
        <w:t>;</w:t>
      </w:r>
    </w:p>
    <w:p w14:paraId="50AAAC76" w14:textId="5668A43A" w:rsidR="00283F1D" w:rsidRPr="00C95676" w:rsidRDefault="00283F1D" w:rsidP="00283F1D">
      <w:pPr>
        <w:numPr>
          <w:ilvl w:val="0"/>
          <w:numId w:val="23"/>
        </w:numPr>
        <w:spacing w:before="0"/>
        <w:jc w:val="both"/>
        <w:rPr>
          <w:rFonts w:cs="Arial"/>
          <w:szCs w:val="18"/>
        </w:rPr>
      </w:pPr>
      <w:r>
        <w:rPr>
          <w:rFonts w:cs="Arial"/>
          <w:szCs w:val="18"/>
        </w:rPr>
        <w:t>the information provided in the LIDP can be assessed</w:t>
      </w:r>
      <w:r w:rsidRPr="00C95676">
        <w:rPr>
          <w:rFonts w:cs="Arial"/>
          <w:szCs w:val="18"/>
        </w:rPr>
        <w:t>;</w:t>
      </w:r>
      <w:r w:rsidR="003C57F8">
        <w:rPr>
          <w:rFonts w:cs="Arial"/>
          <w:szCs w:val="18"/>
        </w:rPr>
        <w:t xml:space="preserve"> and</w:t>
      </w:r>
    </w:p>
    <w:p w14:paraId="3EA71B8F" w14:textId="77777777" w:rsidR="00283F1D" w:rsidRPr="006875FB" w:rsidRDefault="00283F1D" w:rsidP="00283F1D">
      <w:pPr>
        <w:numPr>
          <w:ilvl w:val="0"/>
          <w:numId w:val="23"/>
        </w:numPr>
        <w:spacing w:before="0"/>
        <w:jc w:val="both"/>
        <w:rPr>
          <w:rFonts w:cs="Arial"/>
          <w:szCs w:val="18"/>
        </w:rPr>
      </w:pPr>
      <w:r w:rsidRPr="00C95676">
        <w:rPr>
          <w:rFonts w:cs="Arial"/>
          <w:szCs w:val="18"/>
        </w:rPr>
        <w:t>the Statutory Declaration and all other conditions are agreed, including monitoring, reporting, auditing and compliance.</w:t>
      </w:r>
    </w:p>
    <w:p w14:paraId="2BD91DFC" w14:textId="68B7AFB5" w:rsidR="00283F1D" w:rsidRDefault="00276240" w:rsidP="00283F1D">
      <w:pPr>
        <w:pStyle w:val="ListParagraph"/>
        <w:numPr>
          <w:ilvl w:val="0"/>
          <w:numId w:val="25"/>
        </w:numPr>
        <w:jc w:val="both"/>
        <w:rPr>
          <w:rFonts w:asciiTheme="minorHAnsi" w:hAnsiTheme="minorHAnsi" w:cstheme="minorHAnsi"/>
          <w:sz w:val="18"/>
        </w:rPr>
      </w:pPr>
      <w:r w:rsidRPr="00B21CDB">
        <w:rPr>
          <w:rFonts w:asciiTheme="minorHAnsi" w:hAnsiTheme="minorHAnsi" w:cstheme="minorHAnsi"/>
          <w:sz w:val="18"/>
        </w:rPr>
        <w:t xml:space="preserve">The </w:t>
      </w:r>
      <w:r w:rsidR="00283F1D" w:rsidRPr="00283F1D">
        <w:rPr>
          <w:rFonts w:asciiTheme="minorHAnsi" w:hAnsiTheme="minorHAnsi" w:cstheme="minorHAnsi"/>
          <w:sz w:val="18"/>
        </w:rPr>
        <w:t xml:space="preserve">ICN will also issue the Agency with </w:t>
      </w:r>
      <w:r w:rsidR="000830CF">
        <w:rPr>
          <w:rFonts w:asciiTheme="minorHAnsi" w:hAnsiTheme="minorHAnsi" w:cstheme="minorHAnsi"/>
          <w:sz w:val="18"/>
        </w:rPr>
        <w:t>an LJF</w:t>
      </w:r>
      <w:r w:rsidR="00283F1D" w:rsidRPr="00283F1D">
        <w:rPr>
          <w:rFonts w:asciiTheme="minorHAnsi" w:hAnsiTheme="minorHAnsi" w:cstheme="minorHAnsi"/>
          <w:sz w:val="18"/>
        </w:rPr>
        <w:t xml:space="preserve"> risk evaluation report, which assesses the achievability of the commitments made in each of the LIDPs submitted by all bidders and provides a risk rating of either high, medium or low. This risk rating reflects </w:t>
      </w:r>
      <w:r w:rsidR="00CC1D2F">
        <w:rPr>
          <w:rFonts w:asciiTheme="minorHAnsi" w:hAnsiTheme="minorHAnsi" w:cstheme="minorHAnsi"/>
          <w:sz w:val="18"/>
        </w:rPr>
        <w:t xml:space="preserve">the </w:t>
      </w:r>
      <w:r w:rsidR="00283F1D" w:rsidRPr="00283F1D">
        <w:rPr>
          <w:rFonts w:asciiTheme="minorHAnsi" w:hAnsiTheme="minorHAnsi" w:cstheme="minorHAnsi"/>
          <w:sz w:val="18"/>
        </w:rPr>
        <w:t>ICN’s expert opinion on how likely you are to meet the commitments you have made in your LIDP</w:t>
      </w:r>
      <w:r w:rsidR="000830CF">
        <w:rPr>
          <w:rFonts w:asciiTheme="minorHAnsi" w:hAnsiTheme="minorHAnsi" w:cstheme="minorHAnsi"/>
          <w:sz w:val="18"/>
        </w:rPr>
        <w:t xml:space="preserve"> </w:t>
      </w:r>
      <w:r w:rsidR="00283F1D" w:rsidRPr="00283F1D">
        <w:rPr>
          <w:rFonts w:asciiTheme="minorHAnsi" w:hAnsiTheme="minorHAnsi" w:cstheme="minorHAnsi"/>
          <w:sz w:val="18"/>
        </w:rPr>
        <w:t>and allows for agencies to provide a full and fair opportunity to bidders. It is therefore very important to fill out the LIDP correctly and honestly.</w:t>
      </w:r>
    </w:p>
    <w:p w14:paraId="00E0FFC3" w14:textId="77777777" w:rsidR="00283F1D" w:rsidRPr="00283F1D" w:rsidRDefault="00283F1D" w:rsidP="002D3492">
      <w:pPr>
        <w:pStyle w:val="ListParagraph"/>
        <w:ind w:left="360"/>
        <w:jc w:val="both"/>
        <w:rPr>
          <w:rFonts w:asciiTheme="minorHAnsi" w:hAnsiTheme="minorHAnsi" w:cstheme="minorHAnsi"/>
          <w:sz w:val="18"/>
        </w:rPr>
      </w:pPr>
    </w:p>
    <w:p w14:paraId="40D98181" w14:textId="33BBD5BE" w:rsidR="00283F1D" w:rsidRDefault="00283F1D" w:rsidP="00283F1D">
      <w:pPr>
        <w:pStyle w:val="ListParagraph"/>
        <w:numPr>
          <w:ilvl w:val="0"/>
          <w:numId w:val="25"/>
        </w:numPr>
        <w:jc w:val="both"/>
        <w:rPr>
          <w:rFonts w:asciiTheme="minorHAnsi" w:hAnsiTheme="minorHAnsi" w:cstheme="minorHAnsi"/>
          <w:sz w:val="18"/>
        </w:rPr>
      </w:pPr>
      <w:r w:rsidRPr="00283F1D">
        <w:rPr>
          <w:rFonts w:asciiTheme="minorHAnsi" w:hAnsiTheme="minorHAnsi" w:cstheme="minorHAnsi"/>
          <w:sz w:val="18"/>
        </w:rPr>
        <w:t xml:space="preserve">The ICN will inform a bidder and the agency in writing if the bidder’s LIDP has been deemed non-compliant due to incompleteness or inaccessible information being provided. When this happens, a non-compliance letter will be issued instead. </w:t>
      </w:r>
    </w:p>
    <w:p w14:paraId="4803A6E6" w14:textId="77777777" w:rsidR="00283F1D" w:rsidRPr="002D3492" w:rsidRDefault="00283F1D" w:rsidP="002D3492">
      <w:pPr>
        <w:pStyle w:val="ListParagraph"/>
        <w:ind w:left="360"/>
        <w:jc w:val="both"/>
        <w:rPr>
          <w:rFonts w:asciiTheme="minorHAnsi" w:hAnsiTheme="minorHAnsi" w:cstheme="minorHAnsi"/>
          <w:sz w:val="18"/>
        </w:rPr>
      </w:pPr>
    </w:p>
    <w:p w14:paraId="563848FA" w14:textId="66DC53B9" w:rsidR="00283F1D" w:rsidRDefault="00283F1D" w:rsidP="00283F1D">
      <w:pPr>
        <w:pStyle w:val="ListParagraph"/>
        <w:numPr>
          <w:ilvl w:val="0"/>
          <w:numId w:val="25"/>
        </w:numPr>
        <w:jc w:val="both"/>
        <w:rPr>
          <w:rFonts w:asciiTheme="minorHAnsi" w:hAnsiTheme="minorHAnsi" w:cstheme="minorHAnsi"/>
          <w:sz w:val="18"/>
        </w:rPr>
      </w:pPr>
      <w:r w:rsidRPr="00283F1D">
        <w:rPr>
          <w:rFonts w:asciiTheme="minorHAnsi" w:hAnsiTheme="minorHAnsi" w:cstheme="minorHAnsi"/>
          <w:sz w:val="18"/>
        </w:rPr>
        <w:t xml:space="preserve">Agencies may request bidders re-submit an LIDP in order to rectify mistakes or clarify any points. If this changes the nature of the LIDP, then it must be revised and resubmitted to </w:t>
      </w:r>
      <w:r w:rsidR="00BC73E5" w:rsidRPr="00B21CDB">
        <w:rPr>
          <w:rFonts w:asciiTheme="minorHAnsi" w:hAnsiTheme="minorHAnsi" w:cstheme="minorHAnsi"/>
          <w:sz w:val="18"/>
        </w:rPr>
        <w:t>the</w:t>
      </w:r>
      <w:r w:rsidR="00BC73E5">
        <w:rPr>
          <w:rFonts w:asciiTheme="minorHAnsi" w:hAnsiTheme="minorHAnsi" w:cstheme="minorHAnsi"/>
          <w:color w:val="FF0000"/>
          <w:sz w:val="18"/>
        </w:rPr>
        <w:t xml:space="preserve"> </w:t>
      </w:r>
      <w:r w:rsidRPr="00283F1D">
        <w:rPr>
          <w:rFonts w:asciiTheme="minorHAnsi" w:hAnsiTheme="minorHAnsi" w:cstheme="minorHAnsi"/>
          <w:sz w:val="18"/>
        </w:rPr>
        <w:t>ICN for acknowledg</w:t>
      </w:r>
      <w:r w:rsidR="00E425F1">
        <w:rPr>
          <w:rFonts w:asciiTheme="minorHAnsi" w:hAnsiTheme="minorHAnsi" w:cstheme="minorHAnsi"/>
          <w:sz w:val="18"/>
        </w:rPr>
        <w:t>e</w:t>
      </w:r>
      <w:r w:rsidRPr="00283F1D">
        <w:rPr>
          <w:rFonts w:asciiTheme="minorHAnsi" w:hAnsiTheme="minorHAnsi" w:cstheme="minorHAnsi"/>
          <w:sz w:val="18"/>
        </w:rPr>
        <w:t xml:space="preserve">ment through the VMC, and subsequent reassessment by the ICN and agency. </w:t>
      </w:r>
    </w:p>
    <w:p w14:paraId="2F784355" w14:textId="77777777" w:rsidR="00283F1D" w:rsidRPr="00283F1D" w:rsidRDefault="00283F1D" w:rsidP="00283F1D">
      <w:pPr>
        <w:pStyle w:val="ListParagraph"/>
        <w:ind w:left="360"/>
        <w:jc w:val="both"/>
        <w:rPr>
          <w:rFonts w:asciiTheme="minorHAnsi" w:hAnsiTheme="minorHAnsi" w:cstheme="minorHAnsi"/>
          <w:sz w:val="18"/>
        </w:rPr>
      </w:pPr>
    </w:p>
    <w:p w14:paraId="738CCACF" w14:textId="759B2D40" w:rsidR="00283F1D" w:rsidRPr="002D3492" w:rsidRDefault="00283F1D" w:rsidP="002D3492">
      <w:pPr>
        <w:pStyle w:val="ListParagraph"/>
        <w:numPr>
          <w:ilvl w:val="0"/>
          <w:numId w:val="25"/>
        </w:numPr>
        <w:jc w:val="both"/>
        <w:rPr>
          <w:rFonts w:asciiTheme="minorHAnsi" w:hAnsiTheme="minorHAnsi" w:cstheme="minorHAnsi"/>
          <w:sz w:val="18"/>
        </w:rPr>
      </w:pPr>
      <w:r w:rsidRPr="00283F1D">
        <w:rPr>
          <w:rFonts w:asciiTheme="minorHAnsi" w:hAnsiTheme="minorHAnsi" w:cstheme="minorHAnsi"/>
          <w:sz w:val="18"/>
        </w:rPr>
        <w:t xml:space="preserve">The agency’s project manager must notify the ICN that a bidder is going to revise their LIDP. Once a plan is re-submitted, it will go through the same process for an </w:t>
      </w:r>
      <w:r w:rsidR="0055443C">
        <w:rPr>
          <w:rFonts w:asciiTheme="minorHAnsi" w:hAnsiTheme="minorHAnsi" w:cstheme="minorHAnsi"/>
          <w:sz w:val="18"/>
        </w:rPr>
        <w:t>Acknowledgement Letter</w:t>
      </w:r>
      <w:r w:rsidRPr="00283F1D">
        <w:rPr>
          <w:rFonts w:asciiTheme="minorHAnsi" w:hAnsiTheme="minorHAnsi" w:cstheme="minorHAnsi"/>
          <w:sz w:val="18"/>
        </w:rPr>
        <w:t xml:space="preserve"> and evaluation.</w:t>
      </w:r>
    </w:p>
    <w:p w14:paraId="25E594DE" w14:textId="77777777" w:rsidR="00283F1D" w:rsidRPr="00283F1D" w:rsidRDefault="00283F1D" w:rsidP="00283F1D">
      <w:pPr>
        <w:pStyle w:val="ListParagraph"/>
        <w:ind w:left="360"/>
        <w:jc w:val="both"/>
        <w:rPr>
          <w:rFonts w:asciiTheme="minorHAnsi" w:hAnsiTheme="minorHAnsi" w:cstheme="minorHAnsi"/>
          <w:sz w:val="18"/>
        </w:rPr>
      </w:pPr>
    </w:p>
    <w:p w14:paraId="4EC999C4" w14:textId="72BF851F" w:rsidR="0093585C" w:rsidRPr="00D40534" w:rsidRDefault="0093585C" w:rsidP="0093585C">
      <w:pPr>
        <w:spacing w:before="0" w:line="276" w:lineRule="auto"/>
        <w:jc w:val="both"/>
        <w:rPr>
          <w:rFonts w:asciiTheme="minorHAnsi" w:hAnsiTheme="minorHAnsi" w:cstheme="minorHAnsi"/>
          <w:b/>
          <w:sz w:val="20"/>
          <w:szCs w:val="18"/>
          <w:lang w:val="en-US"/>
        </w:rPr>
      </w:pPr>
      <w:r w:rsidRPr="00D40534">
        <w:rPr>
          <w:rFonts w:asciiTheme="minorHAnsi" w:hAnsiTheme="minorHAnsi" w:cstheme="minorHAnsi"/>
          <w:b/>
          <w:sz w:val="20"/>
          <w:szCs w:val="18"/>
          <w:lang w:val="en-US"/>
        </w:rPr>
        <w:t xml:space="preserve">Step 4 – </w:t>
      </w:r>
      <w:r w:rsidR="00BB7079">
        <w:rPr>
          <w:rFonts w:asciiTheme="minorHAnsi" w:hAnsiTheme="minorHAnsi" w:cstheme="minorHAnsi"/>
          <w:b/>
          <w:sz w:val="20"/>
          <w:szCs w:val="18"/>
          <w:lang w:val="en-US"/>
        </w:rPr>
        <w:t>S</w:t>
      </w:r>
      <w:r w:rsidRPr="00D40534">
        <w:rPr>
          <w:rFonts w:asciiTheme="minorHAnsi" w:hAnsiTheme="minorHAnsi" w:cstheme="minorHAnsi"/>
          <w:b/>
          <w:sz w:val="20"/>
          <w:szCs w:val="18"/>
          <w:lang w:val="en-US"/>
        </w:rPr>
        <w:t xml:space="preserve">ubmit LIDP and </w:t>
      </w:r>
      <w:r w:rsidR="0055443C">
        <w:rPr>
          <w:rFonts w:asciiTheme="minorHAnsi" w:hAnsiTheme="minorHAnsi" w:cstheme="minorHAnsi"/>
          <w:b/>
          <w:sz w:val="20"/>
          <w:szCs w:val="18"/>
          <w:lang w:val="en-US"/>
        </w:rPr>
        <w:t>Acknowledgement Letter</w:t>
      </w:r>
      <w:r w:rsidRPr="00D40534">
        <w:rPr>
          <w:rFonts w:asciiTheme="minorHAnsi" w:hAnsiTheme="minorHAnsi" w:cstheme="minorHAnsi"/>
          <w:b/>
          <w:sz w:val="20"/>
          <w:szCs w:val="18"/>
          <w:lang w:val="en-US"/>
        </w:rPr>
        <w:t xml:space="preserve"> to the Agency </w:t>
      </w:r>
    </w:p>
    <w:p w14:paraId="271CD251" w14:textId="475F675C" w:rsidR="0093585C" w:rsidRDefault="00283F1D" w:rsidP="0093585C">
      <w:pPr>
        <w:numPr>
          <w:ilvl w:val="0"/>
          <w:numId w:val="25"/>
        </w:numPr>
        <w:spacing w:before="0"/>
        <w:jc w:val="both"/>
        <w:rPr>
          <w:rFonts w:cs="Arial"/>
          <w:szCs w:val="18"/>
        </w:rPr>
      </w:pPr>
      <w:r>
        <w:rPr>
          <w:rFonts w:cs="Arial"/>
          <w:szCs w:val="18"/>
        </w:rPr>
        <w:t xml:space="preserve">Bidders must submit their LIDP and </w:t>
      </w:r>
      <w:r w:rsidR="0055443C">
        <w:rPr>
          <w:rFonts w:cs="Arial"/>
          <w:szCs w:val="18"/>
        </w:rPr>
        <w:t>Acknowledgement Letter</w:t>
      </w:r>
      <w:r>
        <w:rPr>
          <w:rFonts w:cs="Arial"/>
          <w:szCs w:val="18"/>
        </w:rPr>
        <w:t xml:space="preserve"> to the Agency.</w:t>
      </w:r>
    </w:p>
    <w:p w14:paraId="17BD264D" w14:textId="3A141013" w:rsidR="0093585C" w:rsidRDefault="0093585C" w:rsidP="0093585C">
      <w:pPr>
        <w:pStyle w:val="ListParagraph"/>
        <w:numPr>
          <w:ilvl w:val="0"/>
          <w:numId w:val="25"/>
        </w:numPr>
        <w:rPr>
          <w:rFonts w:ascii="Arial" w:hAnsi="Arial" w:cs="Arial"/>
          <w:sz w:val="18"/>
          <w:szCs w:val="18"/>
          <w:lang w:eastAsia="en-US"/>
        </w:rPr>
      </w:pPr>
      <w:r w:rsidRPr="00A31BA5">
        <w:rPr>
          <w:rFonts w:ascii="Arial" w:hAnsi="Arial" w:cs="Arial"/>
          <w:sz w:val="18"/>
          <w:szCs w:val="18"/>
          <w:lang w:eastAsia="en-US"/>
        </w:rPr>
        <w:t xml:space="preserve">The LIDP and </w:t>
      </w:r>
      <w:r w:rsidR="0055443C">
        <w:rPr>
          <w:rFonts w:ascii="Arial" w:hAnsi="Arial" w:cs="Arial"/>
          <w:sz w:val="18"/>
          <w:szCs w:val="18"/>
          <w:lang w:eastAsia="en-US"/>
        </w:rPr>
        <w:t>Acknowledgement Letter</w:t>
      </w:r>
      <w:r w:rsidRPr="00A31BA5">
        <w:rPr>
          <w:rFonts w:ascii="Arial" w:hAnsi="Arial" w:cs="Arial"/>
          <w:sz w:val="18"/>
          <w:szCs w:val="18"/>
          <w:lang w:eastAsia="en-US"/>
        </w:rPr>
        <w:t xml:space="preserve"> may be submitted in hard copy or electronically to the tender evaluation panel. </w:t>
      </w:r>
    </w:p>
    <w:p w14:paraId="4E730647" w14:textId="77777777" w:rsidR="0093585C" w:rsidRPr="00A31BA5" w:rsidRDefault="0093585C" w:rsidP="0093585C">
      <w:pPr>
        <w:pStyle w:val="ListParagraph"/>
        <w:ind w:left="360"/>
        <w:rPr>
          <w:rFonts w:ascii="Arial" w:hAnsi="Arial" w:cs="Arial"/>
          <w:sz w:val="18"/>
          <w:szCs w:val="18"/>
          <w:lang w:eastAsia="en-US"/>
        </w:rPr>
      </w:pPr>
    </w:p>
    <w:p w14:paraId="2DC4B560" w14:textId="4AFE4263" w:rsidR="0093585C" w:rsidRPr="00A31BA5" w:rsidRDefault="0093585C" w:rsidP="0093585C">
      <w:pPr>
        <w:numPr>
          <w:ilvl w:val="0"/>
          <w:numId w:val="25"/>
        </w:numPr>
        <w:spacing w:before="0"/>
        <w:jc w:val="both"/>
        <w:rPr>
          <w:rFonts w:cs="Arial"/>
          <w:szCs w:val="18"/>
        </w:rPr>
      </w:pPr>
      <w:r w:rsidRPr="000E31AD">
        <w:rPr>
          <w:rFonts w:cs="Arial"/>
          <w:szCs w:val="18"/>
        </w:rPr>
        <w:lastRenderedPageBreak/>
        <w:t>Agencies will apply a ‘risk discount’ in their assessment of your bid. If you get a high risk, you will automatically score a zero for the Local Jobs First weightings. If you get a medium risk, you may lose two points against the weightings. It</w:t>
      </w:r>
      <w:r w:rsidR="00BB7079">
        <w:rPr>
          <w:rFonts w:cs="Arial"/>
          <w:szCs w:val="18"/>
        </w:rPr>
        <w:t xml:space="preserve"> is</w:t>
      </w:r>
      <w:r w:rsidRPr="000E31AD">
        <w:rPr>
          <w:rFonts w:cs="Arial"/>
          <w:szCs w:val="18"/>
        </w:rPr>
        <w:t xml:space="preserve"> therefore very important to get the right balance between committing to local content and jobs, but also being realistic in your assessment.  </w:t>
      </w:r>
    </w:p>
    <w:p w14:paraId="6E6EE6B5" w14:textId="5972E93F" w:rsidR="0093585C" w:rsidRDefault="0093585C" w:rsidP="0093585C">
      <w:pPr>
        <w:numPr>
          <w:ilvl w:val="0"/>
          <w:numId w:val="25"/>
        </w:numPr>
        <w:spacing w:before="0"/>
        <w:jc w:val="both"/>
        <w:rPr>
          <w:rFonts w:cs="Arial"/>
          <w:szCs w:val="18"/>
        </w:rPr>
      </w:pPr>
      <w:r w:rsidRPr="00A31BA5">
        <w:rPr>
          <w:rFonts w:cs="Arial"/>
          <w:szCs w:val="18"/>
        </w:rPr>
        <w:t>Agencies will use your L</w:t>
      </w:r>
      <w:r>
        <w:rPr>
          <w:rFonts w:cs="Arial"/>
          <w:szCs w:val="18"/>
        </w:rPr>
        <w:t>I</w:t>
      </w:r>
      <w:r w:rsidRPr="00A31BA5">
        <w:rPr>
          <w:rFonts w:cs="Arial"/>
          <w:szCs w:val="18"/>
        </w:rPr>
        <w:t xml:space="preserve">DP and the ICN’s </w:t>
      </w:r>
      <w:r w:rsidR="00BB1FB1">
        <w:rPr>
          <w:rFonts w:cs="Arial"/>
          <w:szCs w:val="18"/>
        </w:rPr>
        <w:t>risk evaluation report</w:t>
      </w:r>
      <w:r w:rsidR="00BB1FB1" w:rsidRPr="00A31BA5">
        <w:rPr>
          <w:rFonts w:cs="Arial"/>
          <w:szCs w:val="18"/>
        </w:rPr>
        <w:t xml:space="preserve"> </w:t>
      </w:r>
      <w:r w:rsidRPr="00A31BA5">
        <w:rPr>
          <w:rFonts w:cs="Arial"/>
          <w:szCs w:val="18"/>
        </w:rPr>
        <w:t xml:space="preserve">to establish your score against the Local Jobs First weightings – 10 per cent on your jobs outcomes, and 10 per cent on your industry development outcomes. The other 80 per cent will be on the other requirements the agency </w:t>
      </w:r>
      <w:r w:rsidR="000830CF">
        <w:rPr>
          <w:rFonts w:cs="Arial"/>
          <w:szCs w:val="18"/>
        </w:rPr>
        <w:t>is</w:t>
      </w:r>
      <w:r w:rsidRPr="00A31BA5">
        <w:rPr>
          <w:rFonts w:cs="Arial"/>
          <w:szCs w:val="18"/>
        </w:rPr>
        <w:t xml:space="preserve"> taking into consideration on the specific procurement. </w:t>
      </w:r>
    </w:p>
    <w:p w14:paraId="11ECB990" w14:textId="2FD0C8EC" w:rsidR="0051313E" w:rsidRPr="00A31BA5" w:rsidRDefault="0051313E" w:rsidP="0093585C">
      <w:pPr>
        <w:numPr>
          <w:ilvl w:val="0"/>
          <w:numId w:val="25"/>
        </w:numPr>
        <w:spacing w:before="0"/>
        <w:jc w:val="both"/>
        <w:rPr>
          <w:rFonts w:cs="Arial"/>
          <w:szCs w:val="18"/>
        </w:rPr>
      </w:pPr>
      <w:r>
        <w:rPr>
          <w:rFonts w:cs="Arial"/>
          <w:szCs w:val="18"/>
        </w:rPr>
        <w:t xml:space="preserve">For the 10 per cent for jobs outcomes, 5 per cent will be </w:t>
      </w:r>
      <w:r w:rsidR="00FB0605">
        <w:rPr>
          <w:rFonts w:cs="Arial"/>
          <w:szCs w:val="18"/>
        </w:rPr>
        <w:t>weighted</w:t>
      </w:r>
      <w:r>
        <w:rPr>
          <w:rFonts w:cs="Arial"/>
          <w:szCs w:val="18"/>
        </w:rPr>
        <w:t xml:space="preserve"> speci</w:t>
      </w:r>
      <w:r w:rsidR="00FB0605">
        <w:rPr>
          <w:rFonts w:cs="Arial"/>
          <w:szCs w:val="18"/>
        </w:rPr>
        <w:t>fically</w:t>
      </w:r>
      <w:r>
        <w:rPr>
          <w:rFonts w:cs="Arial"/>
          <w:szCs w:val="18"/>
        </w:rPr>
        <w:t xml:space="preserve"> on your commitments to the MPSG</w:t>
      </w:r>
      <w:r w:rsidR="00FB0605">
        <w:rPr>
          <w:rFonts w:cs="Arial"/>
          <w:szCs w:val="18"/>
        </w:rPr>
        <w:t xml:space="preserve"> as outlined in the LIDP. </w:t>
      </w:r>
      <w:r w:rsidR="006A6F2F">
        <w:rPr>
          <w:rFonts w:cs="Arial"/>
          <w:szCs w:val="18"/>
        </w:rPr>
        <w:t xml:space="preserve">The agency will assess your MPSG commitments, not the ICN. </w:t>
      </w:r>
    </w:p>
    <w:p w14:paraId="2F95AEDB" w14:textId="2482478E" w:rsidR="0093585C" w:rsidRPr="00A31BA5" w:rsidRDefault="0093585C" w:rsidP="0093585C">
      <w:pPr>
        <w:numPr>
          <w:ilvl w:val="0"/>
          <w:numId w:val="25"/>
        </w:numPr>
        <w:spacing w:before="0"/>
        <w:jc w:val="both"/>
        <w:rPr>
          <w:rFonts w:cs="Arial"/>
          <w:szCs w:val="18"/>
        </w:rPr>
      </w:pPr>
      <w:r w:rsidRPr="00A31BA5">
        <w:rPr>
          <w:rFonts w:cs="Arial"/>
          <w:szCs w:val="18"/>
        </w:rPr>
        <w:t xml:space="preserve">During the tender evaluation process, the agency should assure themselves of the LIDP commitments and address with the bidders any issues of concern with the LIDPs, including risks identified in the LJF risk evaluation report. </w:t>
      </w:r>
    </w:p>
    <w:p w14:paraId="1C61E034" w14:textId="52988D59" w:rsidR="0093585C" w:rsidRPr="00A31BA5" w:rsidRDefault="0093585C" w:rsidP="0093585C">
      <w:pPr>
        <w:numPr>
          <w:ilvl w:val="0"/>
          <w:numId w:val="25"/>
        </w:numPr>
        <w:spacing w:before="0"/>
        <w:jc w:val="both"/>
        <w:rPr>
          <w:rFonts w:cs="Arial"/>
          <w:szCs w:val="18"/>
        </w:rPr>
      </w:pPr>
      <w:r w:rsidRPr="00A31BA5">
        <w:rPr>
          <w:rFonts w:cs="Arial"/>
          <w:szCs w:val="18"/>
        </w:rPr>
        <w:t xml:space="preserve">Only notified bidders with </w:t>
      </w:r>
      <w:r w:rsidR="000830CF">
        <w:rPr>
          <w:rFonts w:cs="Arial"/>
          <w:szCs w:val="18"/>
        </w:rPr>
        <w:t>an LIDP</w:t>
      </w:r>
      <w:r w:rsidRPr="00A31BA5">
        <w:rPr>
          <w:rFonts w:cs="Arial"/>
          <w:szCs w:val="18"/>
        </w:rPr>
        <w:t xml:space="preserve"> and ICN </w:t>
      </w:r>
      <w:r w:rsidR="0055443C">
        <w:rPr>
          <w:rFonts w:cs="Arial"/>
          <w:szCs w:val="18"/>
        </w:rPr>
        <w:t>Acknowledgement Letter</w:t>
      </w:r>
      <w:r w:rsidRPr="00A31BA5">
        <w:rPr>
          <w:rFonts w:cs="Arial"/>
          <w:szCs w:val="18"/>
        </w:rPr>
        <w:t xml:space="preserve"> may be considered by the tender evaluation panel when selecting the successful applicant. LJF is a </w:t>
      </w:r>
      <w:r w:rsidR="000830CF" w:rsidRPr="00A31BA5">
        <w:rPr>
          <w:rFonts w:cs="Arial"/>
          <w:szCs w:val="18"/>
        </w:rPr>
        <w:t>main selection criterion</w:t>
      </w:r>
      <w:r w:rsidRPr="00A31BA5">
        <w:rPr>
          <w:rFonts w:cs="Arial"/>
          <w:szCs w:val="18"/>
        </w:rPr>
        <w:t xml:space="preserve"> in choosing the preferred bidder.</w:t>
      </w:r>
    </w:p>
    <w:p w14:paraId="71E2D9CB" w14:textId="45980AE0" w:rsidR="0093585C" w:rsidRPr="00D40534" w:rsidRDefault="0093585C" w:rsidP="0093585C">
      <w:pPr>
        <w:spacing w:before="0" w:line="276" w:lineRule="auto"/>
        <w:jc w:val="both"/>
        <w:rPr>
          <w:rFonts w:asciiTheme="minorHAnsi" w:hAnsiTheme="minorHAnsi" w:cstheme="minorHAnsi"/>
          <w:b/>
          <w:sz w:val="20"/>
          <w:szCs w:val="18"/>
        </w:rPr>
      </w:pPr>
      <w:r w:rsidRPr="00D40534">
        <w:rPr>
          <w:rFonts w:asciiTheme="minorHAnsi" w:hAnsiTheme="minorHAnsi" w:cstheme="minorHAnsi"/>
          <w:b/>
          <w:sz w:val="20"/>
          <w:szCs w:val="18"/>
        </w:rPr>
        <w:t xml:space="preserve">Step 5 - </w:t>
      </w:r>
      <w:r w:rsidR="00BB7079">
        <w:rPr>
          <w:rFonts w:asciiTheme="minorHAnsi" w:hAnsiTheme="minorHAnsi" w:cstheme="minorHAnsi"/>
          <w:b/>
          <w:sz w:val="20"/>
          <w:szCs w:val="18"/>
        </w:rPr>
        <w:t>P</w:t>
      </w:r>
      <w:r w:rsidRPr="00D40534">
        <w:rPr>
          <w:rFonts w:asciiTheme="minorHAnsi" w:hAnsiTheme="minorHAnsi" w:cstheme="minorHAnsi"/>
          <w:b/>
          <w:sz w:val="20"/>
          <w:szCs w:val="18"/>
        </w:rPr>
        <w:t xml:space="preserve">referred bidder selected and contract awarded </w:t>
      </w:r>
    </w:p>
    <w:p w14:paraId="26CA35B6" w14:textId="77777777" w:rsidR="0093585C" w:rsidRPr="00366A97" w:rsidRDefault="0093585C" w:rsidP="0093585C">
      <w:pPr>
        <w:numPr>
          <w:ilvl w:val="0"/>
          <w:numId w:val="25"/>
        </w:numPr>
        <w:spacing w:before="0"/>
        <w:jc w:val="both"/>
        <w:rPr>
          <w:rFonts w:cs="Arial"/>
          <w:szCs w:val="18"/>
        </w:rPr>
      </w:pPr>
      <w:r w:rsidRPr="00366A97">
        <w:rPr>
          <w:rFonts w:cs="Arial"/>
          <w:szCs w:val="18"/>
        </w:rPr>
        <w:t xml:space="preserve">The preferred bidder will be notified by the tender evaluation panel of their success. </w:t>
      </w:r>
    </w:p>
    <w:p w14:paraId="367B4F6D" w14:textId="77777777" w:rsidR="0093585C" w:rsidRPr="00366A97" w:rsidRDefault="0093585C" w:rsidP="0093585C">
      <w:pPr>
        <w:numPr>
          <w:ilvl w:val="0"/>
          <w:numId w:val="25"/>
        </w:numPr>
        <w:spacing w:before="0"/>
        <w:jc w:val="both"/>
        <w:rPr>
          <w:rFonts w:cs="Arial"/>
          <w:szCs w:val="18"/>
        </w:rPr>
      </w:pPr>
      <w:r w:rsidRPr="00366A97">
        <w:rPr>
          <w:rFonts w:cs="Arial"/>
          <w:szCs w:val="18"/>
        </w:rPr>
        <w:t xml:space="preserve">Agencies will incorporate commitments included in the LIDP into the contract. </w:t>
      </w:r>
    </w:p>
    <w:p w14:paraId="33A2C6F0" w14:textId="2D84CB81" w:rsidR="0093585C" w:rsidRPr="0010279F" w:rsidRDefault="0093585C" w:rsidP="0093585C">
      <w:pPr>
        <w:numPr>
          <w:ilvl w:val="0"/>
          <w:numId w:val="25"/>
        </w:numPr>
        <w:spacing w:before="0"/>
        <w:jc w:val="both"/>
        <w:rPr>
          <w:rFonts w:cs="Arial"/>
          <w:szCs w:val="18"/>
        </w:rPr>
      </w:pPr>
      <w:r w:rsidRPr="00366A97">
        <w:rPr>
          <w:rFonts w:cs="Arial"/>
          <w:szCs w:val="18"/>
        </w:rPr>
        <w:t xml:space="preserve">Suitable measures to manage any issues raised by </w:t>
      </w:r>
      <w:r w:rsidR="00901E52" w:rsidRPr="00FE7C0F">
        <w:rPr>
          <w:rFonts w:cs="Arial"/>
          <w:szCs w:val="18"/>
        </w:rPr>
        <w:t xml:space="preserve">the </w:t>
      </w:r>
      <w:r w:rsidRPr="00366A97">
        <w:rPr>
          <w:rFonts w:cs="Arial"/>
          <w:szCs w:val="18"/>
        </w:rPr>
        <w:t xml:space="preserve">ICN in its LJF risk evaluation report should be negotiated with the agency’s contract manager before finalisation. </w:t>
      </w:r>
      <w:r w:rsidRPr="0010279F">
        <w:rPr>
          <w:rFonts w:cs="Arial"/>
          <w:szCs w:val="18"/>
        </w:rPr>
        <w:t xml:space="preserve">This step is essential given the successful bidder will need to demonstrate LJF outcomes against the agreed LIDP. Bidders may need to resubmit their LIDP to </w:t>
      </w:r>
      <w:r w:rsidR="00901E52" w:rsidRPr="00FE7C0F">
        <w:rPr>
          <w:rFonts w:cs="Arial"/>
          <w:szCs w:val="18"/>
        </w:rPr>
        <w:t>the</w:t>
      </w:r>
      <w:r w:rsidR="00901E52">
        <w:rPr>
          <w:rFonts w:cs="Arial"/>
          <w:color w:val="FF0000"/>
          <w:szCs w:val="18"/>
        </w:rPr>
        <w:t xml:space="preserve"> </w:t>
      </w:r>
      <w:r w:rsidRPr="0010279F">
        <w:rPr>
          <w:rFonts w:cs="Arial"/>
          <w:szCs w:val="18"/>
        </w:rPr>
        <w:t>ICN for acknowledg</w:t>
      </w:r>
      <w:r w:rsidR="00E425F1">
        <w:rPr>
          <w:rFonts w:cs="Arial"/>
          <w:szCs w:val="18"/>
        </w:rPr>
        <w:t>e</w:t>
      </w:r>
      <w:r w:rsidRPr="0010279F">
        <w:rPr>
          <w:rFonts w:cs="Arial"/>
          <w:szCs w:val="18"/>
        </w:rPr>
        <w:t>ment and evaluation, with appropriate amendments, through the VMC.</w:t>
      </w:r>
    </w:p>
    <w:p w14:paraId="06B6C3D3" w14:textId="77777777" w:rsidR="0093585C" w:rsidRPr="00366A97" w:rsidRDefault="0093585C" w:rsidP="0093585C">
      <w:pPr>
        <w:numPr>
          <w:ilvl w:val="0"/>
          <w:numId w:val="25"/>
        </w:numPr>
        <w:spacing w:before="0"/>
        <w:jc w:val="both"/>
        <w:rPr>
          <w:rFonts w:cs="Arial"/>
          <w:szCs w:val="18"/>
        </w:rPr>
      </w:pPr>
      <w:r w:rsidRPr="00366A97">
        <w:rPr>
          <w:rFonts w:cs="Arial"/>
          <w:szCs w:val="18"/>
        </w:rPr>
        <w:t>The supplier must comply with the LJF commitments contained within their LIDP and contract.</w:t>
      </w:r>
    </w:p>
    <w:p w14:paraId="2C8338F1" w14:textId="77777777" w:rsidR="0093585C" w:rsidRPr="00366A97" w:rsidRDefault="0093585C" w:rsidP="0093585C">
      <w:pPr>
        <w:numPr>
          <w:ilvl w:val="0"/>
          <w:numId w:val="25"/>
        </w:numPr>
        <w:spacing w:before="0"/>
        <w:jc w:val="both"/>
        <w:rPr>
          <w:rFonts w:cs="Arial"/>
          <w:szCs w:val="18"/>
        </w:rPr>
      </w:pPr>
      <w:r w:rsidRPr="00182A4E">
        <w:rPr>
          <w:rFonts w:asciiTheme="minorHAnsi" w:hAnsiTheme="minorHAnsi" w:cstheme="minorHAnsi"/>
          <w:noProof/>
          <w:szCs w:val="18"/>
          <w:lang w:val="en-US"/>
        </w:rPr>
        <mc:AlternateContent>
          <mc:Choice Requires="wps">
            <w:drawing>
              <wp:anchor distT="45720" distB="45720" distL="114300" distR="114300" simplePos="0" relativeHeight="251660800" behindDoc="0" locked="0" layoutInCell="1" allowOverlap="1" wp14:anchorId="3A2054C8" wp14:editId="4FB31E30">
                <wp:simplePos x="0" y="0"/>
                <wp:positionH relativeFrom="column">
                  <wp:posOffset>68580</wp:posOffset>
                </wp:positionH>
                <wp:positionV relativeFrom="paragraph">
                  <wp:posOffset>494665</wp:posOffset>
                </wp:positionV>
                <wp:extent cx="5638800" cy="2751455"/>
                <wp:effectExtent l="0" t="0" r="1905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751455"/>
                        </a:xfrm>
                        <a:prstGeom prst="rect">
                          <a:avLst/>
                        </a:prstGeom>
                        <a:solidFill>
                          <a:srgbClr val="FFFFFF"/>
                        </a:solidFill>
                        <a:ln w="9525">
                          <a:solidFill>
                            <a:srgbClr val="000000"/>
                          </a:solidFill>
                          <a:miter lim="800000"/>
                          <a:headEnd/>
                          <a:tailEnd/>
                        </a:ln>
                      </wps:spPr>
                      <wps:txbx>
                        <w:txbxContent>
                          <w:p w14:paraId="78B53C67" w14:textId="28EC1AB1" w:rsidR="006C6B66" w:rsidRDefault="006C6B66" w:rsidP="00EE41C7">
                            <w:pPr>
                              <w:jc w:val="center"/>
                            </w:pPr>
                            <w:r>
                              <w:t xml:space="preserve">A bidder must register their details on the VMC and complete the online LIDP. The ICN will issue a bidder with an </w:t>
                            </w:r>
                            <w:r w:rsidR="0055443C">
                              <w:t>Acknowledgement Letter</w:t>
                            </w:r>
                            <w:r>
                              <w:t xml:space="preserve"> only if their LIDP has been completed appropriately and submitted on time. Only bidders with </w:t>
                            </w:r>
                            <w:r w:rsidR="000830CF">
                              <w:t>an LIDP</w:t>
                            </w:r>
                            <w:r>
                              <w:t xml:space="preserve"> and ICN </w:t>
                            </w:r>
                            <w:r w:rsidR="0055443C">
                              <w:t>Acknowledgement Letter</w:t>
                            </w:r>
                            <w:r>
                              <w:t xml:space="preserve"> may be considered by the tender evaluation panel.</w:t>
                            </w:r>
                          </w:p>
                          <w:p w14:paraId="5BDB3DDE" w14:textId="04C8B778" w:rsidR="006C6B66" w:rsidRDefault="006C6B66" w:rsidP="00EE41C7">
                            <w:pPr>
                              <w:jc w:val="center"/>
                            </w:pPr>
                            <w:r>
                              <w:t>Agencies will incorporate the preferred bidders LIDP within the contract. The supplier must comply with the Local Jobs First commitments contained within their LIDP and contract.</w:t>
                            </w:r>
                          </w:p>
                          <w:p w14:paraId="04E150A2" w14:textId="23332ECB" w:rsidR="006C6B66" w:rsidRDefault="006C6B66" w:rsidP="00EE41C7">
                            <w:pPr>
                              <w:jc w:val="center"/>
                              <w:rPr>
                                <w:rFonts w:asciiTheme="majorHAnsi" w:hAnsiTheme="majorHAnsi" w:cstheme="majorHAnsi"/>
                                <w:sz w:val="22"/>
                                <w:szCs w:val="22"/>
                              </w:rPr>
                            </w:pPr>
                            <w:r>
                              <w:t xml:space="preserve">The ICN can assist you </w:t>
                            </w:r>
                            <w:r w:rsidR="000830CF">
                              <w:t>to</w:t>
                            </w:r>
                            <w:r>
                              <w:t xml:space="preserve"> complet</w:t>
                            </w:r>
                            <w:r w:rsidR="000830CF">
                              <w:t>e</w:t>
                            </w:r>
                            <w:r>
                              <w:t xml:space="preserve"> </w:t>
                            </w:r>
                            <w:r w:rsidR="000830CF">
                              <w:t>your</w:t>
                            </w:r>
                            <w:r>
                              <w:t xml:space="preserve"> LIDP.</w:t>
                            </w:r>
                          </w:p>
                          <w:p w14:paraId="52DF084E" w14:textId="7D96DE0F" w:rsidR="006C6B66" w:rsidRDefault="006C6B66" w:rsidP="00EE41C7">
                            <w:pPr>
                              <w:jc w:val="center"/>
                            </w:pPr>
                            <w:r w:rsidRPr="00084F7B">
                              <w:t xml:space="preserve">The LIDP required will reflect the size and complexity of the project. There are different LIDPs required for Standard, Strategic, contestable and </w:t>
                            </w:r>
                            <w:r w:rsidR="00A43439">
                              <w:rPr>
                                <w:rFonts w:asciiTheme="minorHAnsi" w:hAnsiTheme="minorHAnsi" w:cstheme="minorHAnsi"/>
                                <w:szCs w:val="18"/>
                                <w:lang w:val="en-US"/>
                              </w:rPr>
                              <w:t>limited contestability</w:t>
                            </w:r>
                            <w:r w:rsidR="00A43439" w:rsidRPr="007A58EE">
                              <w:rPr>
                                <w:rFonts w:asciiTheme="minorHAnsi" w:hAnsiTheme="minorHAnsi" w:cstheme="minorHAnsi"/>
                                <w:szCs w:val="18"/>
                                <w:lang w:val="en-US"/>
                              </w:rPr>
                              <w:t xml:space="preserve"> </w:t>
                            </w:r>
                            <w:r w:rsidRPr="00084F7B">
                              <w:t>projects.</w:t>
                            </w:r>
                          </w:p>
                          <w:p w14:paraId="6C3326D6" w14:textId="1FD1EE1F" w:rsidR="006C6B66" w:rsidRPr="00084F7B" w:rsidRDefault="006C6B66" w:rsidP="00EE41C7">
                            <w:pPr>
                              <w:jc w:val="center"/>
                            </w:pPr>
                            <w:r>
                              <w:t>For MPSG projects, commitments to use apprentices, trainees and cadets for 10 per cent of labour hours must be identified. The agency will assess your MPSG commitments through a 5 per cent weighting, part of the overall 10 per cent weighting for jobs outcomes for Local Jobs First projects.</w:t>
                            </w:r>
                          </w:p>
                          <w:p w14:paraId="69254C24" w14:textId="77777777" w:rsidR="006C6B66" w:rsidRPr="00653DD4" w:rsidRDefault="006C6B66" w:rsidP="00EE41C7">
                            <w:pPr>
                              <w:jc w:val="center"/>
                              <w:rPr>
                                <w:rFonts w:asciiTheme="minorHAnsi" w:hAnsiTheme="minorHAnsi" w:cstheme="minorHAnsi"/>
                                <w:szCs w:val="18"/>
                                <w:lang w:val="en-US"/>
                              </w:rPr>
                            </w:pPr>
                            <w:r>
                              <w:rPr>
                                <w:rFonts w:asciiTheme="minorHAnsi" w:hAnsiTheme="minorHAnsi" w:cstheme="minorHAnsi"/>
                                <w:szCs w:val="18"/>
                                <w:lang w:val="en-US"/>
                              </w:rPr>
                              <w:t>The LIDP will be used in the tender to inform the 20 per cent Local Jobs First weightings, and commitments made in the document will be included in the contract of the successful bidder.</w:t>
                            </w:r>
                          </w:p>
                          <w:p w14:paraId="514E6DAE" w14:textId="77777777" w:rsidR="006C6B66" w:rsidRDefault="006C6B66" w:rsidP="00935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54C8" id="_x0000_s1029" type="#_x0000_t202" style="position:absolute;left:0;text-align:left;margin-left:5.4pt;margin-top:38.95pt;width:444pt;height:216.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DtKAIAAEwEAAAOAAAAZHJzL2Uyb0RvYy54bWysVNtu2zAMfR+wfxD0vthJ4zY14hRdugwD&#10;ugvQ7gNkWY6FSaImKbGzry8lp2l2exnmB0EUqaPDQ9LLm0ErshfOSzAVnU5ySoTh0EizrejXx82b&#10;BSU+MNMwBUZU9CA8vVm9frXsbSlm0IFqhCMIYnzZ24p2IdgyyzzvhGZ+AlYYdLbgNAtoum3WONYj&#10;ulbZLM8vsx5cYx1w4T2e3o1Oukr4bSt4+Ny2XgSiKorcQlpdWuu4ZqslK7eO2U7yIw32Dyw0kwYf&#10;PUHdscDIzsnfoLTkDjy0YcJBZ9C2kouUA2YzzX/J5qFjVqRcUBxvTzL5/wfLP+2/OCKbihaUGKax&#10;RI9iCOQtDGQW1emtLzHowWJYGPAYq5wy9fYe+DdPDKw7Zrbi1jnoO8EaZDeNN7OzqyOOjyB1/xEa&#10;fIbtAiSgoXU6SodiEETHKh1OlYlUOB4WlxeLRY4ujr7ZVTGdF0V6g5XP163z4b0ATeKmog5Ln+DZ&#10;/t6HSIeVzyHxNQ9KNhupVDLctl4rR/YM22STviP6T2HKkL6i18WsGBX4K0Sevj9BaBmw35XUFcV8&#10;8ItBrIy6vTNN2gcm1bhHysochYzajSqGoR5SxS7i3ShyDc0BlXUwtjeOI246cD8o6bG1K+q/75gT&#10;lKgPBqtzPZ3P4ywkY15czdBw55763MMMR6iKBkrG7Tqk+Ym0DdxiFVuZ9H1hcqSMLZtkP45XnIlz&#10;O0W9/ARWTwAAAP//AwBQSwMEFAAGAAgAAAAhAPEjWYffAAAACQEAAA8AAABkcnMvZG93bnJldi54&#10;bWxMj81OwzAQhO9IvIO1SFwQdVKg+SFOhZBA9AYFwdWNt0mEvQ6xm4a3ZznBcXZWM99U69lZMeEY&#10;ek8K0kUCAqnxpqdWwdvrw2UOIkRNRltPqOAbA6zr05NKl8Yf6QWnbWwFh1AotYIuxqGUMjQdOh0W&#10;fkBib+9HpyPLsZVm1EcOd1Yuk2Qlne6JGzo94H2Hzef24BTk10/TR9hcPb83q70t4kU2PX6NSp2f&#10;zXe3ICLO8e8ZfvEZHWpm2vkDmSAs64TJo4IsK0Cwnxc5H3YKbtJ0CbKu5P8F9Q8AAAD//wMAUEsB&#10;Ai0AFAAGAAgAAAAhALaDOJL+AAAA4QEAABMAAAAAAAAAAAAAAAAAAAAAAFtDb250ZW50X1R5cGVz&#10;XS54bWxQSwECLQAUAAYACAAAACEAOP0h/9YAAACUAQAACwAAAAAAAAAAAAAAAAAvAQAAX3JlbHMv&#10;LnJlbHNQSwECLQAUAAYACAAAACEAHUzQ7SgCAABMBAAADgAAAAAAAAAAAAAAAAAuAgAAZHJzL2Uy&#10;b0RvYy54bWxQSwECLQAUAAYACAAAACEA8SNZh98AAAAJAQAADwAAAAAAAAAAAAAAAACCBAAAZHJz&#10;L2Rvd25yZXYueG1sUEsFBgAAAAAEAAQA8wAAAI4FAAAAAA==&#10;">
                <v:textbox>
                  <w:txbxContent>
                    <w:p w14:paraId="78B53C67" w14:textId="28EC1AB1" w:rsidR="006C6B66" w:rsidRDefault="006C6B66" w:rsidP="00EE41C7">
                      <w:pPr>
                        <w:jc w:val="center"/>
                      </w:pPr>
                      <w:r>
                        <w:t xml:space="preserve">A bidder must register their details on the VMC and complete the online LIDP. The ICN will issue a bidder with an </w:t>
                      </w:r>
                      <w:r w:rsidR="0055443C">
                        <w:t>Acknowledgement Letter</w:t>
                      </w:r>
                      <w:r>
                        <w:t xml:space="preserve"> only if their LIDP has been completed appropriately and submitted on time. Only bidders with </w:t>
                      </w:r>
                      <w:r w:rsidR="000830CF">
                        <w:t>an LIDP</w:t>
                      </w:r>
                      <w:r>
                        <w:t xml:space="preserve"> and ICN </w:t>
                      </w:r>
                      <w:r w:rsidR="0055443C">
                        <w:t>Acknowledgement Letter</w:t>
                      </w:r>
                      <w:r>
                        <w:t xml:space="preserve"> may be considered by the tender evaluation panel.</w:t>
                      </w:r>
                    </w:p>
                    <w:p w14:paraId="5BDB3DDE" w14:textId="04C8B778" w:rsidR="006C6B66" w:rsidRDefault="006C6B66" w:rsidP="00EE41C7">
                      <w:pPr>
                        <w:jc w:val="center"/>
                      </w:pPr>
                      <w:r>
                        <w:t>Agencies will incorporate the preferred bidders LIDP within the contract. The supplier must comply with the Local Jobs First commitments contained within their LIDP and contract.</w:t>
                      </w:r>
                    </w:p>
                    <w:p w14:paraId="04E150A2" w14:textId="23332ECB" w:rsidR="006C6B66" w:rsidRDefault="006C6B66" w:rsidP="00EE41C7">
                      <w:pPr>
                        <w:jc w:val="center"/>
                        <w:rPr>
                          <w:rFonts w:asciiTheme="majorHAnsi" w:hAnsiTheme="majorHAnsi" w:cstheme="majorHAnsi"/>
                          <w:sz w:val="22"/>
                          <w:szCs w:val="22"/>
                        </w:rPr>
                      </w:pPr>
                      <w:r>
                        <w:t xml:space="preserve">The ICN can assist you </w:t>
                      </w:r>
                      <w:r w:rsidR="000830CF">
                        <w:t>to</w:t>
                      </w:r>
                      <w:r>
                        <w:t xml:space="preserve"> complet</w:t>
                      </w:r>
                      <w:r w:rsidR="000830CF">
                        <w:t>e</w:t>
                      </w:r>
                      <w:r>
                        <w:t xml:space="preserve"> </w:t>
                      </w:r>
                      <w:r w:rsidR="000830CF">
                        <w:t>your</w:t>
                      </w:r>
                      <w:r>
                        <w:t xml:space="preserve"> LIDP.</w:t>
                      </w:r>
                    </w:p>
                    <w:p w14:paraId="52DF084E" w14:textId="7D96DE0F" w:rsidR="006C6B66" w:rsidRDefault="006C6B66" w:rsidP="00EE41C7">
                      <w:pPr>
                        <w:jc w:val="center"/>
                      </w:pPr>
                      <w:r w:rsidRPr="00084F7B">
                        <w:t xml:space="preserve">The LIDP required will reflect the size and complexity of the project. There are different LIDPs required for Standard, Strategic, contestable and </w:t>
                      </w:r>
                      <w:r w:rsidR="00A43439">
                        <w:rPr>
                          <w:rFonts w:asciiTheme="minorHAnsi" w:hAnsiTheme="minorHAnsi" w:cstheme="minorHAnsi"/>
                          <w:szCs w:val="18"/>
                          <w:lang w:val="en-US"/>
                        </w:rPr>
                        <w:t>limited contestability</w:t>
                      </w:r>
                      <w:r w:rsidR="00A43439" w:rsidRPr="007A58EE">
                        <w:rPr>
                          <w:rFonts w:asciiTheme="minorHAnsi" w:hAnsiTheme="minorHAnsi" w:cstheme="minorHAnsi"/>
                          <w:szCs w:val="18"/>
                          <w:lang w:val="en-US"/>
                        </w:rPr>
                        <w:t xml:space="preserve"> </w:t>
                      </w:r>
                      <w:r w:rsidRPr="00084F7B">
                        <w:t>projects.</w:t>
                      </w:r>
                    </w:p>
                    <w:p w14:paraId="6C3326D6" w14:textId="1FD1EE1F" w:rsidR="006C6B66" w:rsidRPr="00084F7B" w:rsidRDefault="006C6B66" w:rsidP="00EE41C7">
                      <w:pPr>
                        <w:jc w:val="center"/>
                      </w:pPr>
                      <w:r>
                        <w:t>For MPSG projects, commitments to use apprentices, trainees and cadets for 10 per cent of labour hours must be identified. The agency will assess your MPSG commitments through a 5 per cent weighting, part of the overall 10 per cent weighting for jobs outcomes for Local Jobs First projects.</w:t>
                      </w:r>
                    </w:p>
                    <w:p w14:paraId="69254C24" w14:textId="77777777" w:rsidR="006C6B66" w:rsidRPr="00653DD4" w:rsidRDefault="006C6B66" w:rsidP="00EE41C7">
                      <w:pPr>
                        <w:jc w:val="center"/>
                        <w:rPr>
                          <w:rFonts w:asciiTheme="minorHAnsi" w:hAnsiTheme="minorHAnsi" w:cstheme="minorHAnsi"/>
                          <w:szCs w:val="18"/>
                          <w:lang w:val="en-US"/>
                        </w:rPr>
                      </w:pPr>
                      <w:r>
                        <w:rPr>
                          <w:rFonts w:asciiTheme="minorHAnsi" w:hAnsiTheme="minorHAnsi" w:cstheme="minorHAnsi"/>
                          <w:szCs w:val="18"/>
                          <w:lang w:val="en-US"/>
                        </w:rPr>
                        <w:t>The LIDP will be used in the tender to inform the 20 per cent Local Jobs First weightings, and commitments made in the document will be included in the contract of the successful bidder.</w:t>
                      </w:r>
                    </w:p>
                    <w:p w14:paraId="514E6DAE" w14:textId="77777777" w:rsidR="006C6B66" w:rsidRDefault="006C6B66" w:rsidP="0093585C"/>
                  </w:txbxContent>
                </v:textbox>
                <w10:wrap type="square"/>
              </v:shape>
            </w:pict>
          </mc:Fallback>
        </mc:AlternateContent>
      </w:r>
      <w:r w:rsidRPr="000B1D2B">
        <w:rPr>
          <w:rFonts w:asciiTheme="minorHAnsi" w:hAnsiTheme="minorHAnsi" w:cstheme="minorHAnsi"/>
          <w:szCs w:val="18"/>
        </w:rPr>
        <w:t xml:space="preserve">Contractors are required to report on their </w:t>
      </w:r>
      <w:r>
        <w:rPr>
          <w:rFonts w:asciiTheme="minorHAnsi" w:hAnsiTheme="minorHAnsi" w:cstheme="minorHAnsi"/>
          <w:szCs w:val="18"/>
        </w:rPr>
        <w:t>LJF</w:t>
      </w:r>
      <w:r w:rsidRPr="000B1D2B">
        <w:rPr>
          <w:rFonts w:asciiTheme="minorHAnsi" w:hAnsiTheme="minorHAnsi" w:cstheme="minorHAnsi"/>
          <w:szCs w:val="18"/>
        </w:rPr>
        <w:t xml:space="preserve"> c</w:t>
      </w:r>
      <w:r w:rsidRPr="00366A97">
        <w:rPr>
          <w:rFonts w:cs="Arial"/>
          <w:szCs w:val="18"/>
        </w:rPr>
        <w:t xml:space="preserve">ommitments as contained in the LIDP during the life of the project to practical completion.  </w:t>
      </w:r>
    </w:p>
    <w:p w14:paraId="70D41C27" w14:textId="77777777" w:rsidR="00482377" w:rsidRDefault="00482377" w:rsidP="006C6B66">
      <w:pPr>
        <w:spacing w:before="0" w:line="276" w:lineRule="auto"/>
        <w:jc w:val="both"/>
        <w:rPr>
          <w:rFonts w:asciiTheme="minorHAnsi" w:hAnsiTheme="minorHAnsi" w:cstheme="minorHAnsi"/>
          <w:b/>
          <w:sz w:val="20"/>
          <w:szCs w:val="18"/>
        </w:rPr>
      </w:pPr>
    </w:p>
    <w:p w14:paraId="4ECF528E" w14:textId="77777777" w:rsidR="00482377" w:rsidRDefault="00482377" w:rsidP="006C6B66">
      <w:pPr>
        <w:spacing w:before="0" w:line="276" w:lineRule="auto"/>
        <w:jc w:val="both"/>
        <w:rPr>
          <w:rFonts w:asciiTheme="minorHAnsi" w:hAnsiTheme="minorHAnsi" w:cstheme="minorHAnsi"/>
          <w:b/>
          <w:sz w:val="20"/>
          <w:szCs w:val="18"/>
        </w:rPr>
      </w:pPr>
    </w:p>
    <w:p w14:paraId="412C2D5F" w14:textId="1448FAEF" w:rsidR="0093585C" w:rsidRPr="006C6B66" w:rsidRDefault="0093585C" w:rsidP="006C6B66">
      <w:pPr>
        <w:spacing w:before="0" w:line="276" w:lineRule="auto"/>
        <w:jc w:val="both"/>
        <w:rPr>
          <w:rFonts w:asciiTheme="minorHAnsi" w:hAnsiTheme="minorHAnsi" w:cstheme="minorHAnsi"/>
          <w:b/>
          <w:sz w:val="20"/>
          <w:szCs w:val="18"/>
        </w:rPr>
      </w:pPr>
      <w:r w:rsidRPr="006C6B66">
        <w:rPr>
          <w:rFonts w:asciiTheme="minorHAnsi" w:hAnsiTheme="minorHAnsi" w:cstheme="minorHAnsi"/>
          <w:b/>
          <w:sz w:val="20"/>
          <w:szCs w:val="18"/>
        </w:rPr>
        <w:lastRenderedPageBreak/>
        <w:t xml:space="preserve">Step 6 – Monitoring Local Jobs First during delivery of the project </w:t>
      </w:r>
    </w:p>
    <w:p w14:paraId="56D57BB6" w14:textId="77777777" w:rsidR="0093585C" w:rsidRPr="007B1191" w:rsidRDefault="0093585C" w:rsidP="0093585C">
      <w:pPr>
        <w:numPr>
          <w:ilvl w:val="0"/>
          <w:numId w:val="25"/>
        </w:numPr>
        <w:spacing w:before="0"/>
        <w:jc w:val="both"/>
        <w:rPr>
          <w:rFonts w:asciiTheme="minorHAnsi" w:hAnsiTheme="minorHAnsi" w:cstheme="minorHAnsi"/>
          <w:szCs w:val="18"/>
        </w:rPr>
      </w:pPr>
      <w:r w:rsidRPr="007B1191">
        <w:rPr>
          <w:rFonts w:asciiTheme="minorHAnsi" w:hAnsiTheme="minorHAnsi" w:cstheme="minorHAnsi"/>
          <w:szCs w:val="18"/>
        </w:rPr>
        <w:t>Suppliers are required to report on their LJF commitments as contained in the LIDP during the life of the project to practical completion.</w:t>
      </w:r>
    </w:p>
    <w:p w14:paraId="56F7EC07" w14:textId="2E9E7D74" w:rsidR="0093585C" w:rsidRPr="007B1191" w:rsidRDefault="0093585C" w:rsidP="0093585C">
      <w:pPr>
        <w:numPr>
          <w:ilvl w:val="0"/>
          <w:numId w:val="25"/>
        </w:numPr>
        <w:spacing w:before="0"/>
        <w:jc w:val="both"/>
        <w:rPr>
          <w:rFonts w:asciiTheme="minorHAnsi" w:hAnsiTheme="minorHAnsi" w:cstheme="minorHAnsi"/>
          <w:szCs w:val="18"/>
        </w:rPr>
      </w:pPr>
      <w:r w:rsidRPr="007B1191">
        <w:rPr>
          <w:rFonts w:asciiTheme="minorHAnsi" w:hAnsiTheme="minorHAnsi" w:cstheme="minorHAnsi"/>
          <w:szCs w:val="18"/>
        </w:rPr>
        <w:t>For all projects valued over $20 million</w:t>
      </w:r>
      <w:r w:rsidR="006A6F2F">
        <w:rPr>
          <w:rFonts w:asciiTheme="minorHAnsi" w:hAnsiTheme="minorHAnsi" w:cstheme="minorHAnsi"/>
          <w:szCs w:val="18"/>
        </w:rPr>
        <w:t xml:space="preserve"> (which will include all MPSG projects)</w:t>
      </w:r>
      <w:r w:rsidRPr="007B1191">
        <w:rPr>
          <w:rFonts w:asciiTheme="minorHAnsi" w:hAnsiTheme="minorHAnsi" w:cstheme="minorHAnsi"/>
          <w:szCs w:val="18"/>
        </w:rPr>
        <w:t xml:space="preserve">, agencies must </w:t>
      </w:r>
      <w:r w:rsidR="006121FA">
        <w:rPr>
          <w:rFonts w:asciiTheme="minorHAnsi" w:hAnsiTheme="minorHAnsi" w:cstheme="minorHAnsi"/>
          <w:szCs w:val="18"/>
        </w:rPr>
        <w:t>report to DJPR on Local Jobs First outcomes on a six-monthly basis.</w:t>
      </w:r>
    </w:p>
    <w:p w14:paraId="0026AC80" w14:textId="77777777" w:rsidR="0093585C" w:rsidRPr="007B1191" w:rsidRDefault="0093585C" w:rsidP="0093585C">
      <w:pPr>
        <w:numPr>
          <w:ilvl w:val="0"/>
          <w:numId w:val="25"/>
        </w:numPr>
        <w:spacing w:before="0"/>
        <w:jc w:val="both"/>
        <w:rPr>
          <w:rFonts w:asciiTheme="minorHAnsi" w:hAnsiTheme="minorHAnsi" w:cstheme="minorHAnsi"/>
          <w:szCs w:val="18"/>
        </w:rPr>
      </w:pPr>
      <w:r w:rsidRPr="007B1191">
        <w:rPr>
          <w:rFonts w:asciiTheme="minorHAnsi" w:hAnsiTheme="minorHAnsi" w:cstheme="minorHAnsi"/>
          <w:szCs w:val="18"/>
        </w:rPr>
        <w:t xml:space="preserve">Further guidance on monitoring and reporting is provided below. </w:t>
      </w:r>
    </w:p>
    <w:p w14:paraId="66B469D0" w14:textId="34FF7FBA" w:rsidR="0093585C" w:rsidRPr="006C6B66" w:rsidRDefault="0093585C" w:rsidP="006C6B66">
      <w:pPr>
        <w:spacing w:before="0" w:line="276" w:lineRule="auto"/>
        <w:jc w:val="both"/>
        <w:rPr>
          <w:rFonts w:asciiTheme="minorHAnsi" w:hAnsiTheme="minorHAnsi" w:cstheme="minorHAnsi"/>
          <w:b/>
          <w:sz w:val="20"/>
          <w:szCs w:val="18"/>
        </w:rPr>
      </w:pPr>
      <w:r w:rsidRPr="006C6B66">
        <w:rPr>
          <w:rFonts w:asciiTheme="minorHAnsi" w:hAnsiTheme="minorHAnsi" w:cstheme="minorHAnsi"/>
          <w:b/>
          <w:sz w:val="20"/>
          <w:szCs w:val="18"/>
        </w:rPr>
        <w:t xml:space="preserve">Step 7 – Changes during delivery of the </w:t>
      </w:r>
      <w:r w:rsidR="00E12F17">
        <w:rPr>
          <w:rFonts w:asciiTheme="minorHAnsi" w:hAnsiTheme="minorHAnsi" w:cstheme="minorHAnsi"/>
          <w:b/>
          <w:sz w:val="20"/>
          <w:szCs w:val="18"/>
        </w:rPr>
        <w:t>p</w:t>
      </w:r>
      <w:r w:rsidRPr="006C6B66">
        <w:rPr>
          <w:rFonts w:asciiTheme="minorHAnsi" w:hAnsiTheme="minorHAnsi" w:cstheme="minorHAnsi"/>
          <w:b/>
          <w:sz w:val="20"/>
          <w:szCs w:val="18"/>
        </w:rPr>
        <w:t xml:space="preserve">roject </w:t>
      </w:r>
    </w:p>
    <w:p w14:paraId="324C3D10" w14:textId="06DBCBCE" w:rsidR="0093585C" w:rsidRPr="007B1191" w:rsidRDefault="0093585C" w:rsidP="0093585C">
      <w:pPr>
        <w:numPr>
          <w:ilvl w:val="0"/>
          <w:numId w:val="25"/>
        </w:numPr>
        <w:spacing w:before="0"/>
        <w:jc w:val="both"/>
        <w:rPr>
          <w:rFonts w:asciiTheme="minorHAnsi" w:hAnsiTheme="minorHAnsi" w:cstheme="minorHAnsi"/>
          <w:szCs w:val="18"/>
        </w:rPr>
      </w:pPr>
      <w:r w:rsidRPr="007B1191">
        <w:rPr>
          <w:rFonts w:asciiTheme="minorHAnsi" w:hAnsiTheme="minorHAnsi" w:cstheme="minorHAnsi"/>
          <w:szCs w:val="18"/>
        </w:rPr>
        <w:t xml:space="preserve">If an agency </w:t>
      </w:r>
      <w:r w:rsidR="00283F1D">
        <w:rPr>
          <w:rFonts w:asciiTheme="minorHAnsi" w:hAnsiTheme="minorHAnsi" w:cstheme="minorHAnsi"/>
          <w:szCs w:val="18"/>
        </w:rPr>
        <w:t>or</w:t>
      </w:r>
      <w:r w:rsidRPr="007B1191">
        <w:rPr>
          <w:rFonts w:asciiTheme="minorHAnsi" w:hAnsiTheme="minorHAnsi" w:cstheme="minorHAnsi"/>
          <w:szCs w:val="18"/>
        </w:rPr>
        <w:t xml:space="preserve"> supplier are varying a contract, then Local Jobs First must be given due consideration according to the change in value of the contract or scope of work. If the changes to the scope of work are substantial, the supplier must re-submit the LIDP to the ICN for re-evaluation</w:t>
      </w:r>
      <w:r w:rsidR="00265CFC">
        <w:rPr>
          <w:rFonts w:asciiTheme="minorHAnsi" w:hAnsiTheme="minorHAnsi" w:cstheme="minorHAnsi"/>
          <w:szCs w:val="18"/>
        </w:rPr>
        <w:t xml:space="preserve"> through the VMC</w:t>
      </w:r>
      <w:r w:rsidRPr="007B1191">
        <w:rPr>
          <w:rFonts w:asciiTheme="minorHAnsi" w:hAnsiTheme="minorHAnsi" w:cstheme="minorHAnsi"/>
          <w:szCs w:val="18"/>
        </w:rPr>
        <w:t>, in order that their commitments can be re-assessed</w:t>
      </w:r>
      <w:r w:rsidR="00BB7079">
        <w:rPr>
          <w:rFonts w:asciiTheme="minorHAnsi" w:hAnsiTheme="minorHAnsi" w:cstheme="minorHAnsi"/>
          <w:szCs w:val="18"/>
        </w:rPr>
        <w:t>.</w:t>
      </w:r>
      <w:r w:rsidRPr="007B1191">
        <w:rPr>
          <w:rFonts w:asciiTheme="minorHAnsi" w:hAnsiTheme="minorHAnsi" w:cstheme="minorHAnsi"/>
          <w:szCs w:val="18"/>
        </w:rPr>
        <w:t xml:space="preserve"> If an MPSG project, this may necessitate in the Deemed Hours Formal being re-calculated and included in the contract variation as a deliverable. Contact </w:t>
      </w:r>
      <w:r w:rsidR="00F760F9" w:rsidRPr="00F83AD9">
        <w:rPr>
          <w:rFonts w:asciiTheme="minorHAnsi" w:hAnsiTheme="minorHAnsi" w:cstheme="minorHAnsi"/>
          <w:szCs w:val="18"/>
        </w:rPr>
        <w:t xml:space="preserve">DJPR </w:t>
      </w:r>
      <w:r w:rsidRPr="007B1191">
        <w:rPr>
          <w:rFonts w:asciiTheme="minorHAnsi" w:hAnsiTheme="minorHAnsi" w:cstheme="minorHAnsi"/>
          <w:szCs w:val="18"/>
        </w:rPr>
        <w:t xml:space="preserve">for more advice on a project by project basis. If you wish to seek feedback on your tender, you must do so through the delivery agency. Agencies are obliged to provide this feedback if you request it.  </w:t>
      </w:r>
    </w:p>
    <w:p w14:paraId="31CF5146" w14:textId="3E659BCD" w:rsidR="0093585C" w:rsidRPr="006C6B66" w:rsidRDefault="0093585C" w:rsidP="006C6B66">
      <w:pPr>
        <w:spacing w:before="0" w:line="276" w:lineRule="auto"/>
        <w:jc w:val="both"/>
        <w:rPr>
          <w:rFonts w:asciiTheme="minorHAnsi" w:hAnsiTheme="minorHAnsi" w:cstheme="minorHAnsi"/>
          <w:b/>
          <w:sz w:val="20"/>
          <w:szCs w:val="18"/>
        </w:rPr>
      </w:pPr>
      <w:r w:rsidRPr="006C6B66">
        <w:rPr>
          <w:rFonts w:asciiTheme="minorHAnsi" w:hAnsiTheme="minorHAnsi" w:cstheme="minorHAnsi"/>
          <w:b/>
          <w:sz w:val="20"/>
          <w:szCs w:val="18"/>
        </w:rPr>
        <w:t xml:space="preserve">Step 8 – </w:t>
      </w:r>
      <w:r w:rsidR="00BB7079">
        <w:rPr>
          <w:rFonts w:asciiTheme="minorHAnsi" w:hAnsiTheme="minorHAnsi" w:cstheme="minorHAnsi"/>
          <w:b/>
          <w:sz w:val="20"/>
          <w:szCs w:val="18"/>
        </w:rPr>
        <w:t>P</w:t>
      </w:r>
      <w:r w:rsidRPr="006C6B66">
        <w:rPr>
          <w:rFonts w:asciiTheme="minorHAnsi" w:hAnsiTheme="minorHAnsi" w:cstheme="minorHAnsi"/>
          <w:b/>
          <w:sz w:val="20"/>
          <w:szCs w:val="18"/>
        </w:rPr>
        <w:t xml:space="preserve">roject completion </w:t>
      </w:r>
    </w:p>
    <w:p w14:paraId="6774338E" w14:textId="77777777" w:rsidR="00E97410" w:rsidRPr="00E97410" w:rsidRDefault="00E97410" w:rsidP="00E97410">
      <w:pPr>
        <w:numPr>
          <w:ilvl w:val="0"/>
          <w:numId w:val="25"/>
        </w:numPr>
        <w:spacing w:before="0"/>
        <w:jc w:val="both"/>
        <w:rPr>
          <w:rFonts w:asciiTheme="minorHAnsi" w:hAnsiTheme="minorHAnsi" w:cstheme="minorHAnsi"/>
          <w:szCs w:val="18"/>
        </w:rPr>
      </w:pPr>
      <w:r w:rsidRPr="00E97410">
        <w:rPr>
          <w:rFonts w:asciiTheme="minorHAnsi" w:hAnsiTheme="minorHAnsi" w:cstheme="minorHAnsi"/>
          <w:szCs w:val="18"/>
        </w:rPr>
        <w:t xml:space="preserve">Post-contract verification starts on practical completion of the project when works have been completed, and/or delivery of the goods or services. This does not include the ‘defect’ period. </w:t>
      </w:r>
    </w:p>
    <w:p w14:paraId="6FEAC74B" w14:textId="04630A9E" w:rsidR="00E97410" w:rsidRPr="00E97410" w:rsidRDefault="00E97410" w:rsidP="00E97410">
      <w:pPr>
        <w:numPr>
          <w:ilvl w:val="0"/>
          <w:numId w:val="25"/>
        </w:numPr>
        <w:spacing w:before="0"/>
        <w:jc w:val="both"/>
        <w:rPr>
          <w:rFonts w:asciiTheme="minorHAnsi" w:hAnsiTheme="minorHAnsi" w:cstheme="minorHAnsi"/>
          <w:szCs w:val="18"/>
        </w:rPr>
      </w:pPr>
      <w:r w:rsidRPr="00E97410">
        <w:rPr>
          <w:rFonts w:asciiTheme="minorHAnsi" w:hAnsiTheme="minorHAnsi" w:cstheme="minorHAnsi"/>
          <w:szCs w:val="18"/>
        </w:rPr>
        <w:t xml:space="preserve">Suppliers are required to report on their application of their LIDP and demonstrate outcomes achieved at the practical completion of the project through the Monitoring and Reporting Table, which is provided at Appendix </w:t>
      </w:r>
      <w:r w:rsidR="00F97F9E">
        <w:rPr>
          <w:rFonts w:asciiTheme="minorHAnsi" w:hAnsiTheme="minorHAnsi" w:cstheme="minorHAnsi"/>
          <w:szCs w:val="18"/>
        </w:rPr>
        <w:t>2</w:t>
      </w:r>
      <w:r w:rsidRPr="00E97410">
        <w:rPr>
          <w:rFonts w:asciiTheme="minorHAnsi" w:hAnsiTheme="minorHAnsi" w:cstheme="minorHAnsi"/>
          <w:szCs w:val="18"/>
        </w:rPr>
        <w:t xml:space="preserve">. </w:t>
      </w:r>
    </w:p>
    <w:p w14:paraId="1CEC79FD" w14:textId="0D0024F0" w:rsidR="00E97410" w:rsidRPr="00E97410" w:rsidRDefault="00E97410" w:rsidP="00E97410">
      <w:pPr>
        <w:numPr>
          <w:ilvl w:val="0"/>
          <w:numId w:val="25"/>
        </w:numPr>
        <w:spacing w:before="0"/>
        <w:jc w:val="both"/>
        <w:rPr>
          <w:rFonts w:asciiTheme="minorHAnsi" w:hAnsiTheme="minorHAnsi" w:cstheme="minorHAnsi"/>
          <w:szCs w:val="18"/>
        </w:rPr>
      </w:pPr>
      <w:r w:rsidRPr="00E97410">
        <w:rPr>
          <w:rFonts w:asciiTheme="minorHAnsi" w:hAnsiTheme="minorHAnsi" w:cstheme="minorHAnsi"/>
          <w:szCs w:val="18"/>
        </w:rPr>
        <w:t>The purpose of post-contract verification is to confirm that the LJF outcomes have been achieved through the project. The outcomes achieved are compared to those expected in the original LIDP and outlined in the monitoring table or agreed equivalent</w:t>
      </w:r>
      <w:r w:rsidR="006121FA">
        <w:rPr>
          <w:rFonts w:asciiTheme="minorHAnsi" w:hAnsiTheme="minorHAnsi" w:cstheme="minorHAnsi"/>
          <w:szCs w:val="18"/>
        </w:rPr>
        <w:t>.</w:t>
      </w:r>
    </w:p>
    <w:p w14:paraId="3710AE8F" w14:textId="51971146" w:rsidR="00E97410" w:rsidRPr="00E97410" w:rsidRDefault="00E97410" w:rsidP="00E97410">
      <w:pPr>
        <w:numPr>
          <w:ilvl w:val="0"/>
          <w:numId w:val="25"/>
        </w:numPr>
        <w:spacing w:before="0"/>
        <w:jc w:val="both"/>
        <w:rPr>
          <w:rFonts w:asciiTheme="minorHAnsi" w:hAnsiTheme="minorHAnsi" w:cstheme="minorHAnsi"/>
          <w:szCs w:val="18"/>
        </w:rPr>
      </w:pPr>
      <w:r w:rsidRPr="00E97410">
        <w:rPr>
          <w:rFonts w:asciiTheme="minorHAnsi" w:hAnsiTheme="minorHAnsi" w:cstheme="minorHAnsi"/>
          <w:szCs w:val="18"/>
        </w:rPr>
        <w:t xml:space="preserve">The Monitoring and Reporting Table (Appendix </w:t>
      </w:r>
      <w:r w:rsidR="00F97F9E">
        <w:rPr>
          <w:rFonts w:asciiTheme="minorHAnsi" w:hAnsiTheme="minorHAnsi" w:cstheme="minorHAnsi"/>
          <w:szCs w:val="18"/>
        </w:rPr>
        <w:t>2</w:t>
      </w:r>
      <w:r w:rsidRPr="00E97410">
        <w:rPr>
          <w:rFonts w:asciiTheme="minorHAnsi" w:hAnsiTheme="minorHAnsi" w:cstheme="minorHAnsi"/>
          <w:szCs w:val="18"/>
        </w:rPr>
        <w:t>), accompanied by a Statutory Declaration (</w:t>
      </w:r>
      <w:r w:rsidR="00956C33">
        <w:rPr>
          <w:rFonts w:asciiTheme="minorHAnsi" w:hAnsiTheme="minorHAnsi" w:cstheme="minorHAnsi"/>
          <w:szCs w:val="18"/>
        </w:rPr>
        <w:t xml:space="preserve">available on the Local Jobs First website </w:t>
      </w:r>
      <w:hyperlink r:id="rId20" w:history="1">
        <w:r w:rsidR="00956C33" w:rsidRPr="001D3BCE">
          <w:rPr>
            <w:rStyle w:val="Hyperlink"/>
          </w:rPr>
          <w:t>localjobsfirst.vic.gov.au/key-documents</w:t>
        </w:r>
      </w:hyperlink>
      <w:r w:rsidRPr="00E97410">
        <w:rPr>
          <w:rFonts w:asciiTheme="minorHAnsi" w:hAnsiTheme="minorHAnsi" w:cstheme="minorHAnsi"/>
          <w:szCs w:val="18"/>
        </w:rPr>
        <w:t xml:space="preserve">) must be given to the respective contract manager within the delivery agency on practical completion of the project. </w:t>
      </w:r>
    </w:p>
    <w:p w14:paraId="16058103" w14:textId="77777777" w:rsidR="00E97410" w:rsidRPr="00E97410" w:rsidRDefault="00E97410" w:rsidP="00E97410">
      <w:pPr>
        <w:numPr>
          <w:ilvl w:val="0"/>
          <w:numId w:val="25"/>
        </w:numPr>
        <w:spacing w:before="0"/>
        <w:jc w:val="both"/>
        <w:rPr>
          <w:rFonts w:asciiTheme="minorHAnsi" w:hAnsiTheme="minorHAnsi" w:cstheme="minorHAnsi"/>
          <w:szCs w:val="18"/>
        </w:rPr>
      </w:pPr>
      <w:r w:rsidRPr="00E97410">
        <w:rPr>
          <w:rFonts w:asciiTheme="minorHAnsi" w:hAnsiTheme="minorHAnsi" w:cstheme="minorHAnsi"/>
          <w:szCs w:val="18"/>
        </w:rPr>
        <w:t>Statutory Declarations must only be completed by the appropriate authority i.e. Chief Executive Officer, Chief Financial Officer, Company Director etc).</w:t>
      </w:r>
    </w:p>
    <w:p w14:paraId="6C331A7E" w14:textId="66E0C2FD" w:rsidR="00E97410" w:rsidRPr="00E97410" w:rsidRDefault="00E97410" w:rsidP="00E97410">
      <w:pPr>
        <w:numPr>
          <w:ilvl w:val="0"/>
          <w:numId w:val="25"/>
        </w:numPr>
        <w:spacing w:before="0"/>
        <w:jc w:val="both"/>
        <w:rPr>
          <w:rFonts w:asciiTheme="minorHAnsi" w:hAnsiTheme="minorHAnsi" w:cstheme="minorHAnsi"/>
          <w:szCs w:val="18"/>
        </w:rPr>
      </w:pPr>
      <w:r w:rsidRPr="00E97410">
        <w:rPr>
          <w:rFonts w:asciiTheme="minorHAnsi" w:hAnsiTheme="minorHAnsi" w:cstheme="minorHAnsi"/>
          <w:szCs w:val="18"/>
        </w:rPr>
        <w:t xml:space="preserve">The agency will then give this information to </w:t>
      </w:r>
      <w:r w:rsidR="00AB7696" w:rsidRPr="00CB6497">
        <w:rPr>
          <w:rFonts w:asciiTheme="minorHAnsi" w:hAnsiTheme="minorHAnsi" w:cstheme="minorHAnsi"/>
          <w:szCs w:val="18"/>
        </w:rPr>
        <w:t xml:space="preserve">the </w:t>
      </w:r>
      <w:r w:rsidRPr="00E97410">
        <w:rPr>
          <w:rFonts w:asciiTheme="minorHAnsi" w:hAnsiTheme="minorHAnsi" w:cstheme="minorHAnsi"/>
          <w:szCs w:val="18"/>
        </w:rPr>
        <w:t xml:space="preserve">ICN, so it can then verify the outcomes reported in the monitoring table against the agreed LIDP.  </w:t>
      </w:r>
    </w:p>
    <w:p w14:paraId="1AA7240C" w14:textId="4488176A" w:rsidR="00E97410" w:rsidRPr="00403079" w:rsidRDefault="00E97410" w:rsidP="00403079">
      <w:pPr>
        <w:numPr>
          <w:ilvl w:val="0"/>
          <w:numId w:val="25"/>
        </w:numPr>
        <w:spacing w:before="0"/>
        <w:jc w:val="both"/>
        <w:rPr>
          <w:rFonts w:asciiTheme="minorHAnsi" w:hAnsiTheme="minorHAnsi" w:cstheme="minorHAnsi"/>
          <w:szCs w:val="18"/>
        </w:rPr>
      </w:pPr>
      <w:r w:rsidRPr="00E97410">
        <w:rPr>
          <w:rFonts w:asciiTheme="minorHAnsi" w:hAnsiTheme="minorHAnsi" w:cstheme="minorHAnsi"/>
          <w:szCs w:val="18"/>
        </w:rPr>
        <w:t>Further information on preparing a Statutory Declaration is provided by the Victorian Department of Justice and R</w:t>
      </w:r>
      <w:r w:rsidR="005361C1">
        <w:rPr>
          <w:rFonts w:asciiTheme="minorHAnsi" w:hAnsiTheme="minorHAnsi" w:cstheme="minorHAnsi"/>
          <w:szCs w:val="18"/>
        </w:rPr>
        <w:t xml:space="preserve">egulation at </w:t>
      </w:r>
      <w:hyperlink r:id="rId21" w:history="1">
        <w:r w:rsidR="005361C1">
          <w:rPr>
            <w:rStyle w:val="Hyperlink"/>
          </w:rPr>
          <w:t>https://www.justice.vic.gov.au/statdecs</w:t>
        </w:r>
      </w:hyperlink>
      <w:r w:rsidR="005361C1">
        <w:t>.</w:t>
      </w:r>
    </w:p>
    <w:p w14:paraId="2EC91266" w14:textId="32B30C64" w:rsidR="007B1191" w:rsidRPr="007B1191" w:rsidRDefault="00A26288" w:rsidP="00DA63F8">
      <w:pPr>
        <w:pStyle w:val="Heading1"/>
        <w:ind w:left="426" w:hanging="578"/>
      </w:pPr>
      <w:bookmarkStart w:id="38" w:name="_Toc40369048"/>
      <w:bookmarkEnd w:id="36"/>
      <w:r w:rsidRPr="00403079">
        <w:t>Applying Local Jobs First to Strategic Projects</w:t>
      </w:r>
      <w:bookmarkEnd w:id="38"/>
      <w:r w:rsidRPr="00403079">
        <w:t xml:space="preserve"> </w:t>
      </w:r>
    </w:p>
    <w:p w14:paraId="10D73220" w14:textId="661A2485" w:rsidR="007837EC" w:rsidRPr="00084F7B" w:rsidRDefault="007837EC" w:rsidP="00DE7CD3">
      <w:pPr>
        <w:numPr>
          <w:ilvl w:val="0"/>
          <w:numId w:val="21"/>
        </w:numPr>
        <w:spacing w:before="0"/>
        <w:jc w:val="both"/>
        <w:rPr>
          <w:rFonts w:cs="Arial"/>
        </w:rPr>
      </w:pPr>
      <w:r w:rsidRPr="00AF705E">
        <w:rPr>
          <w:rFonts w:cs="Arial"/>
          <w:lang w:val="en-US"/>
        </w:rPr>
        <w:t>A Strategic Project is a project that has a total project value of $50 million or over or is otherwise declared to be a Strategic Project by the Minister for Jobs, Innovation and Trade.</w:t>
      </w:r>
    </w:p>
    <w:p w14:paraId="29AA6182" w14:textId="33F705BD" w:rsidR="004F34A8" w:rsidRDefault="004F34A8" w:rsidP="00DE7CD3">
      <w:pPr>
        <w:numPr>
          <w:ilvl w:val="0"/>
          <w:numId w:val="21"/>
        </w:numPr>
        <w:spacing w:before="0"/>
        <w:jc w:val="both"/>
      </w:pPr>
      <w:r>
        <w:t xml:space="preserve">Under </w:t>
      </w:r>
      <w:r w:rsidRPr="00030E30">
        <w:rPr>
          <w:i/>
        </w:rPr>
        <w:t>the Local Jobs First Act 2003</w:t>
      </w:r>
      <w:r>
        <w:t xml:space="preserve"> the Minister </w:t>
      </w:r>
      <w:r w:rsidR="00227893">
        <w:t>for Jobs, Innovation and Trade</w:t>
      </w:r>
      <w:r>
        <w:t xml:space="preserve"> is responsible for setting local content requirements for a Strategic Project. DJPR advises the Minister of the local content requirements, which may be informed by a </w:t>
      </w:r>
      <w:r w:rsidR="004B2B78">
        <w:t>contestability</w:t>
      </w:r>
      <w:r>
        <w:t xml:space="preserve"> assessment undertaken by the ICN.</w:t>
      </w:r>
    </w:p>
    <w:p w14:paraId="26A40166" w14:textId="7CD66272" w:rsidR="005361C1" w:rsidRDefault="005361C1" w:rsidP="005361C1">
      <w:pPr>
        <w:spacing w:before="0"/>
        <w:jc w:val="both"/>
      </w:pPr>
    </w:p>
    <w:p w14:paraId="478B98B0" w14:textId="77777777" w:rsidR="005361C1" w:rsidRDefault="005361C1" w:rsidP="005361C1">
      <w:pPr>
        <w:spacing w:before="0"/>
        <w:jc w:val="both"/>
      </w:pPr>
    </w:p>
    <w:p w14:paraId="086B7778" w14:textId="6AB27264" w:rsidR="004F34A8" w:rsidRDefault="004F34A8" w:rsidP="00DE7CD3">
      <w:pPr>
        <w:numPr>
          <w:ilvl w:val="0"/>
          <w:numId w:val="21"/>
        </w:numPr>
        <w:spacing w:before="0"/>
        <w:jc w:val="both"/>
      </w:pPr>
      <w:r>
        <w:lastRenderedPageBreak/>
        <w:t xml:space="preserve">Section 7B (2) of the Act provides that the Minister </w:t>
      </w:r>
      <w:r w:rsidR="00227893">
        <w:t>for Jobs, Innovation and Trade</w:t>
      </w:r>
      <w:r>
        <w:t xml:space="preserve"> must set local content requirements at no less than:</w:t>
      </w:r>
    </w:p>
    <w:p w14:paraId="1DD2F5C3" w14:textId="6A4EB5C0" w:rsidR="004F34A8" w:rsidRDefault="004F34A8" w:rsidP="00227893">
      <w:pPr>
        <w:spacing w:before="0"/>
        <w:ind w:left="360"/>
        <w:jc w:val="both"/>
      </w:pPr>
      <w:r>
        <w:t>•</w:t>
      </w:r>
      <w:r>
        <w:tab/>
        <w:t xml:space="preserve">90% for a </w:t>
      </w:r>
      <w:r w:rsidR="00227893">
        <w:t>S</w:t>
      </w:r>
      <w:r>
        <w:t xml:space="preserve">trategic </w:t>
      </w:r>
      <w:r w:rsidR="00227893">
        <w:t>P</w:t>
      </w:r>
      <w:r>
        <w:t>roject that is a construction project</w:t>
      </w:r>
    </w:p>
    <w:p w14:paraId="412AF209" w14:textId="2F6C5F82" w:rsidR="004F34A8" w:rsidRDefault="004F34A8" w:rsidP="00227893">
      <w:pPr>
        <w:spacing w:before="0"/>
        <w:ind w:left="360"/>
        <w:jc w:val="both"/>
      </w:pPr>
      <w:r>
        <w:t>•</w:t>
      </w:r>
      <w:r>
        <w:tab/>
        <w:t xml:space="preserve">80% for a </w:t>
      </w:r>
      <w:r w:rsidR="00227893">
        <w:t>S</w:t>
      </w:r>
      <w:r>
        <w:t xml:space="preserve">trategic </w:t>
      </w:r>
      <w:r w:rsidR="00227893">
        <w:t>P</w:t>
      </w:r>
      <w:r>
        <w:t>roject that is a services or maintenance contract</w:t>
      </w:r>
    </w:p>
    <w:p w14:paraId="279425F4" w14:textId="297237CE" w:rsidR="004F34A8" w:rsidRDefault="004F34A8" w:rsidP="00227893">
      <w:pPr>
        <w:spacing w:before="0"/>
        <w:ind w:left="360"/>
        <w:jc w:val="both"/>
      </w:pPr>
      <w:r>
        <w:t>•</w:t>
      </w:r>
      <w:r>
        <w:tab/>
        <w:t xml:space="preserve">80% for the maintenance or operations phase of a </w:t>
      </w:r>
      <w:r w:rsidR="005361C1">
        <w:t>S</w:t>
      </w:r>
      <w:r>
        <w:t xml:space="preserve">trategic </w:t>
      </w:r>
      <w:r w:rsidR="00DF7F62">
        <w:t>P</w:t>
      </w:r>
      <w:r>
        <w:t>roject.</w:t>
      </w:r>
    </w:p>
    <w:p w14:paraId="7980BD94" w14:textId="77777777" w:rsidR="004F34A8" w:rsidRDefault="004F34A8" w:rsidP="00DE7CD3">
      <w:pPr>
        <w:numPr>
          <w:ilvl w:val="0"/>
          <w:numId w:val="21"/>
        </w:numPr>
        <w:spacing w:before="0"/>
        <w:jc w:val="both"/>
      </w:pPr>
      <w:r>
        <w:t>Section 7C provides that the MPSG applies to standard projects that are construction projects with a budget of $20 million or more and strategic projects that are construction projects.</w:t>
      </w:r>
    </w:p>
    <w:p w14:paraId="5AF5E2F5" w14:textId="77777777" w:rsidR="004F34A8" w:rsidRDefault="004F34A8" w:rsidP="00DE7CD3">
      <w:pPr>
        <w:numPr>
          <w:ilvl w:val="0"/>
          <w:numId w:val="21"/>
        </w:numPr>
        <w:spacing w:before="0"/>
        <w:jc w:val="both"/>
      </w:pPr>
      <w:r>
        <w:t>The Act also provides that the Minister may determine other matters relating to Strategic Projects, including but not limited to:</w:t>
      </w:r>
    </w:p>
    <w:p w14:paraId="2610A526" w14:textId="5B75FE7A" w:rsidR="004F34A8" w:rsidRPr="00DF7F62" w:rsidRDefault="004F34A8" w:rsidP="00DF7F62">
      <w:pPr>
        <w:pStyle w:val="ListParagraph"/>
        <w:numPr>
          <w:ilvl w:val="0"/>
          <w:numId w:val="26"/>
        </w:numPr>
        <w:jc w:val="both"/>
        <w:rPr>
          <w:rFonts w:asciiTheme="minorHAnsi" w:hAnsiTheme="minorHAnsi" w:cstheme="minorHAnsi"/>
          <w:sz w:val="18"/>
          <w:szCs w:val="18"/>
        </w:rPr>
      </w:pPr>
      <w:r w:rsidRPr="00DF7F62">
        <w:rPr>
          <w:rFonts w:asciiTheme="minorHAnsi" w:hAnsiTheme="minorHAnsi" w:cstheme="minorHAnsi"/>
          <w:sz w:val="18"/>
          <w:szCs w:val="18"/>
        </w:rPr>
        <w:t>requirements to maximise or specify the use of steel products produced by local industry</w:t>
      </w:r>
    </w:p>
    <w:p w14:paraId="67A5B765" w14:textId="77777777" w:rsidR="00DF7F62" w:rsidRDefault="00DF7F62" w:rsidP="00DF7F62">
      <w:pPr>
        <w:pStyle w:val="ListParagraph"/>
        <w:ind w:left="1080"/>
        <w:jc w:val="both"/>
        <w:rPr>
          <w:rFonts w:asciiTheme="minorHAnsi" w:hAnsiTheme="minorHAnsi" w:cstheme="minorHAnsi"/>
          <w:sz w:val="18"/>
          <w:szCs w:val="18"/>
        </w:rPr>
      </w:pPr>
    </w:p>
    <w:p w14:paraId="61DF408E" w14:textId="596AEEFD" w:rsidR="00DF7F62" w:rsidRPr="00DF7F62" w:rsidRDefault="004F34A8" w:rsidP="00DF7F62">
      <w:pPr>
        <w:pStyle w:val="ListParagraph"/>
        <w:numPr>
          <w:ilvl w:val="0"/>
          <w:numId w:val="26"/>
        </w:numPr>
        <w:jc w:val="both"/>
        <w:rPr>
          <w:rFonts w:asciiTheme="minorHAnsi" w:hAnsiTheme="minorHAnsi" w:cstheme="minorHAnsi"/>
          <w:sz w:val="18"/>
          <w:szCs w:val="18"/>
        </w:rPr>
      </w:pPr>
      <w:r w:rsidRPr="00DF7F62">
        <w:rPr>
          <w:rFonts w:asciiTheme="minorHAnsi" w:hAnsiTheme="minorHAnsi" w:cstheme="minorHAnsi"/>
          <w:sz w:val="18"/>
          <w:szCs w:val="18"/>
        </w:rPr>
        <w:t>requirements to maximise the use of uniform and personal protective equipment (PPE) produced by local industry</w:t>
      </w:r>
    </w:p>
    <w:p w14:paraId="28CBC394" w14:textId="77777777" w:rsidR="00DF7F62" w:rsidRDefault="00DF7F62" w:rsidP="00DF7F62">
      <w:pPr>
        <w:pStyle w:val="ListParagraph"/>
        <w:ind w:left="1080"/>
        <w:jc w:val="both"/>
        <w:rPr>
          <w:rFonts w:asciiTheme="minorHAnsi" w:hAnsiTheme="minorHAnsi" w:cstheme="minorHAnsi"/>
          <w:sz w:val="18"/>
          <w:szCs w:val="18"/>
        </w:rPr>
      </w:pPr>
    </w:p>
    <w:p w14:paraId="794CB8C6" w14:textId="039290DB" w:rsidR="004F34A8" w:rsidRDefault="004F34A8" w:rsidP="00DF7F62">
      <w:pPr>
        <w:pStyle w:val="ListParagraph"/>
        <w:numPr>
          <w:ilvl w:val="0"/>
          <w:numId w:val="26"/>
        </w:numPr>
        <w:jc w:val="both"/>
        <w:rPr>
          <w:rFonts w:asciiTheme="minorHAnsi" w:hAnsiTheme="minorHAnsi" w:cstheme="minorHAnsi"/>
          <w:sz w:val="18"/>
          <w:szCs w:val="18"/>
        </w:rPr>
      </w:pPr>
      <w:r w:rsidRPr="00DF7F62">
        <w:rPr>
          <w:rFonts w:asciiTheme="minorHAnsi" w:hAnsiTheme="minorHAnsi" w:cstheme="minorHAnsi"/>
          <w:sz w:val="18"/>
          <w:szCs w:val="18"/>
        </w:rPr>
        <w:t>any other requirements or conditions.</w:t>
      </w:r>
    </w:p>
    <w:p w14:paraId="4148091E" w14:textId="77777777" w:rsidR="00DF7F62" w:rsidRPr="00DF7F62" w:rsidRDefault="00DF7F62" w:rsidP="00DF7F62">
      <w:pPr>
        <w:pStyle w:val="ListParagraph"/>
        <w:ind w:left="1080"/>
        <w:jc w:val="both"/>
        <w:rPr>
          <w:rFonts w:asciiTheme="minorHAnsi" w:hAnsiTheme="minorHAnsi" w:cstheme="minorHAnsi"/>
          <w:sz w:val="18"/>
          <w:szCs w:val="18"/>
        </w:rPr>
      </w:pPr>
    </w:p>
    <w:p w14:paraId="1C51EC6C" w14:textId="3C6276B9" w:rsidR="004F34A8" w:rsidRDefault="004F34A8" w:rsidP="00DE7CD3">
      <w:pPr>
        <w:numPr>
          <w:ilvl w:val="0"/>
          <w:numId w:val="21"/>
        </w:numPr>
        <w:spacing w:before="0"/>
        <w:jc w:val="both"/>
      </w:pPr>
      <w:r>
        <w:t xml:space="preserve">The minimum local content requirements must be agreed by the Minister responsible for Local Jobs First, prior to inclusion in project documents released to market. </w:t>
      </w:r>
    </w:p>
    <w:p w14:paraId="1ABE83CB" w14:textId="52B02542" w:rsidR="00A45C3F" w:rsidRPr="00084F7B" w:rsidRDefault="004F34A8" w:rsidP="00DE7CD3">
      <w:pPr>
        <w:numPr>
          <w:ilvl w:val="0"/>
          <w:numId w:val="21"/>
        </w:numPr>
        <w:spacing w:before="0"/>
        <w:jc w:val="both"/>
      </w:pPr>
      <w:r>
        <w:t>Setting local content after the release of documentation will deem the agency non-compliant with the Local Jobs First policy, including the intent to provide full and fair opportunity to participate in government procurement activities.</w:t>
      </w:r>
    </w:p>
    <w:p w14:paraId="1F5F374D" w14:textId="77777777" w:rsidR="00695D98" w:rsidRPr="00B003CD" w:rsidRDefault="00695D98" w:rsidP="00695D98">
      <w:pPr>
        <w:jc w:val="both"/>
        <w:rPr>
          <w:b/>
          <w:sz w:val="20"/>
        </w:rPr>
      </w:pPr>
      <w:r w:rsidRPr="00B003CD">
        <w:rPr>
          <w:b/>
          <w:sz w:val="20"/>
        </w:rPr>
        <w:t>Step 1 – Tender and or Expression of interest issued by agency</w:t>
      </w:r>
    </w:p>
    <w:p w14:paraId="22D959DE" w14:textId="5B16E821" w:rsidR="00695D98" w:rsidRPr="00B003CD" w:rsidRDefault="00695D98" w:rsidP="00030E30">
      <w:pPr>
        <w:numPr>
          <w:ilvl w:val="0"/>
          <w:numId w:val="21"/>
        </w:numPr>
        <w:spacing w:before="0"/>
        <w:jc w:val="both"/>
      </w:pPr>
      <w:r w:rsidRPr="00B003CD">
        <w:t>The Expression of interest (EOI) or Request for Tender (RFT) documents will notify prospective bidders:</w:t>
      </w:r>
    </w:p>
    <w:p w14:paraId="07596BC6" w14:textId="1C81856E" w:rsidR="00695D98" w:rsidRDefault="00695D98" w:rsidP="002A74A0">
      <w:pPr>
        <w:pStyle w:val="ListParagraph"/>
        <w:numPr>
          <w:ilvl w:val="0"/>
          <w:numId w:val="26"/>
        </w:numPr>
        <w:jc w:val="both"/>
        <w:rPr>
          <w:rFonts w:asciiTheme="minorHAnsi" w:hAnsiTheme="minorHAnsi" w:cstheme="minorHAnsi"/>
          <w:sz w:val="18"/>
          <w:szCs w:val="18"/>
        </w:rPr>
      </w:pPr>
      <w:r w:rsidRPr="00B003CD">
        <w:rPr>
          <w:rFonts w:asciiTheme="minorHAnsi" w:hAnsiTheme="minorHAnsi" w:cstheme="minorHAnsi"/>
          <w:sz w:val="18"/>
          <w:szCs w:val="18"/>
        </w:rPr>
        <w:t>if the project must apply Local Jobs First, and when an ICN acknowledged Local Industry Development Plan (LIDP) will need to be submitted</w:t>
      </w:r>
    </w:p>
    <w:p w14:paraId="2FE89C76" w14:textId="77777777" w:rsidR="002A74A0" w:rsidRPr="00B003CD" w:rsidRDefault="002A74A0" w:rsidP="002A74A0">
      <w:pPr>
        <w:pStyle w:val="ListParagraph"/>
        <w:ind w:left="1080"/>
        <w:jc w:val="both"/>
        <w:rPr>
          <w:rFonts w:asciiTheme="minorHAnsi" w:hAnsiTheme="minorHAnsi" w:cstheme="minorHAnsi"/>
          <w:sz w:val="18"/>
          <w:szCs w:val="18"/>
        </w:rPr>
      </w:pPr>
    </w:p>
    <w:p w14:paraId="3DCCDE24" w14:textId="543EE8F1" w:rsidR="002A74A0" w:rsidRPr="002A74A0" w:rsidRDefault="00695D98" w:rsidP="002A74A0">
      <w:pPr>
        <w:pStyle w:val="ListParagraph"/>
        <w:numPr>
          <w:ilvl w:val="0"/>
          <w:numId w:val="26"/>
        </w:numPr>
        <w:jc w:val="both"/>
        <w:rPr>
          <w:rFonts w:asciiTheme="minorHAnsi" w:hAnsiTheme="minorHAnsi" w:cstheme="minorHAnsi"/>
          <w:sz w:val="18"/>
          <w:szCs w:val="18"/>
        </w:rPr>
      </w:pPr>
      <w:r w:rsidRPr="00B003CD">
        <w:rPr>
          <w:rFonts w:asciiTheme="minorHAnsi" w:hAnsiTheme="minorHAnsi" w:cstheme="minorHAnsi"/>
          <w:sz w:val="18"/>
          <w:szCs w:val="18"/>
        </w:rPr>
        <w:t xml:space="preserve">contestable items for bidders to consider sourcing, local content </w:t>
      </w:r>
      <w:r w:rsidR="00D172D8">
        <w:rPr>
          <w:rFonts w:asciiTheme="minorHAnsi" w:hAnsiTheme="minorHAnsi" w:cstheme="minorHAnsi"/>
          <w:sz w:val="18"/>
          <w:szCs w:val="18"/>
        </w:rPr>
        <w:t>as set by the Minister for Jobs, Innov</w:t>
      </w:r>
      <w:r w:rsidR="005D3271">
        <w:rPr>
          <w:rFonts w:asciiTheme="minorHAnsi" w:hAnsiTheme="minorHAnsi" w:cstheme="minorHAnsi"/>
          <w:sz w:val="18"/>
          <w:szCs w:val="18"/>
        </w:rPr>
        <w:t xml:space="preserve">ation </w:t>
      </w:r>
      <w:r w:rsidR="00107699" w:rsidRPr="00176A41">
        <w:rPr>
          <w:rFonts w:asciiTheme="minorHAnsi" w:hAnsiTheme="minorHAnsi" w:cstheme="minorHAnsi"/>
          <w:sz w:val="18"/>
          <w:szCs w:val="18"/>
        </w:rPr>
        <w:t xml:space="preserve">and Trade </w:t>
      </w:r>
      <w:r w:rsidRPr="00B003CD">
        <w:rPr>
          <w:rFonts w:asciiTheme="minorHAnsi" w:hAnsiTheme="minorHAnsi" w:cstheme="minorHAnsi"/>
          <w:sz w:val="18"/>
          <w:szCs w:val="18"/>
        </w:rPr>
        <w:t>and other requirements, including MPSG requirements</w:t>
      </w:r>
      <w:r w:rsidR="00887C62" w:rsidRPr="00176A41">
        <w:rPr>
          <w:rFonts w:asciiTheme="minorHAnsi" w:hAnsiTheme="minorHAnsi" w:cstheme="minorHAnsi"/>
          <w:sz w:val="18"/>
          <w:szCs w:val="18"/>
        </w:rPr>
        <w:t>, if applicable</w:t>
      </w:r>
      <w:r w:rsidRPr="00B003CD">
        <w:rPr>
          <w:rFonts w:asciiTheme="minorHAnsi" w:hAnsiTheme="minorHAnsi" w:cstheme="minorHAnsi"/>
          <w:sz w:val="18"/>
          <w:szCs w:val="18"/>
        </w:rPr>
        <w:t>. A detailed explanation of how to apply Local Jobs Firs</w:t>
      </w:r>
      <w:r w:rsidR="00D172D8">
        <w:rPr>
          <w:rFonts w:asciiTheme="minorHAnsi" w:hAnsiTheme="minorHAnsi" w:cstheme="minorHAnsi"/>
          <w:sz w:val="18"/>
          <w:szCs w:val="18"/>
        </w:rPr>
        <w:t>t</w:t>
      </w:r>
      <w:r w:rsidRPr="00B003CD">
        <w:rPr>
          <w:rFonts w:asciiTheme="minorHAnsi" w:hAnsiTheme="minorHAnsi" w:cstheme="minorHAnsi"/>
          <w:sz w:val="18"/>
          <w:szCs w:val="18"/>
        </w:rPr>
        <w:t xml:space="preserve"> to MPSG projects is outlined below</w:t>
      </w:r>
    </w:p>
    <w:p w14:paraId="04A1D858" w14:textId="77777777" w:rsidR="002A74A0" w:rsidRDefault="002A74A0" w:rsidP="002A74A0">
      <w:pPr>
        <w:pStyle w:val="ListParagraph"/>
        <w:ind w:left="1080"/>
        <w:jc w:val="both"/>
        <w:rPr>
          <w:rFonts w:asciiTheme="minorHAnsi" w:hAnsiTheme="minorHAnsi" w:cstheme="minorHAnsi"/>
          <w:sz w:val="18"/>
          <w:szCs w:val="18"/>
        </w:rPr>
      </w:pPr>
    </w:p>
    <w:p w14:paraId="6241E847" w14:textId="2B555B71" w:rsidR="00695D98" w:rsidRDefault="00695D98" w:rsidP="002A74A0">
      <w:pPr>
        <w:pStyle w:val="ListParagraph"/>
        <w:numPr>
          <w:ilvl w:val="0"/>
          <w:numId w:val="26"/>
        </w:numPr>
        <w:jc w:val="both"/>
        <w:rPr>
          <w:rFonts w:asciiTheme="minorHAnsi" w:hAnsiTheme="minorHAnsi" w:cstheme="minorHAnsi"/>
          <w:sz w:val="18"/>
          <w:szCs w:val="18"/>
        </w:rPr>
      </w:pPr>
      <w:r w:rsidRPr="00B003CD">
        <w:rPr>
          <w:rFonts w:asciiTheme="minorHAnsi" w:hAnsiTheme="minorHAnsi" w:cstheme="minorHAnsi"/>
          <w:sz w:val="18"/>
          <w:szCs w:val="18"/>
        </w:rPr>
        <w:t>the tender evaluation weightings. Agencies must apply a 10 per cent weighting for industry development, and 10 per cent for jobs outcomes. It is therefore not permissible to include other evaluation criteria such as social procurement requirements, as part of the legislated 20 per cent weighting for LJF.</w:t>
      </w:r>
      <w:r w:rsidRPr="00B003CD">
        <w:rPr>
          <w:rFonts w:asciiTheme="minorHAnsi" w:hAnsiTheme="minorHAnsi" w:cstheme="minorHAnsi"/>
          <w:sz w:val="18"/>
          <w:szCs w:val="18"/>
          <w:lang w:eastAsia="en-US"/>
        </w:rPr>
        <w:t xml:space="preserve">  </w:t>
      </w:r>
      <w:r w:rsidRPr="00B003CD">
        <w:rPr>
          <w:rFonts w:asciiTheme="minorHAnsi" w:hAnsiTheme="minorHAnsi" w:cstheme="minorHAnsi"/>
          <w:sz w:val="18"/>
          <w:szCs w:val="18"/>
        </w:rPr>
        <w:t xml:space="preserve"> </w:t>
      </w:r>
    </w:p>
    <w:p w14:paraId="1578E029" w14:textId="77777777" w:rsidR="00695D98" w:rsidRPr="00B003CD" w:rsidRDefault="00695D98" w:rsidP="00695D98">
      <w:pPr>
        <w:pStyle w:val="ListParagraph"/>
        <w:ind w:left="1080"/>
        <w:jc w:val="both"/>
        <w:rPr>
          <w:rFonts w:asciiTheme="minorHAnsi" w:hAnsiTheme="minorHAnsi" w:cstheme="minorHAnsi"/>
          <w:sz w:val="18"/>
          <w:szCs w:val="18"/>
        </w:rPr>
      </w:pPr>
    </w:p>
    <w:p w14:paraId="593C3BBE" w14:textId="056B8FDE" w:rsidR="00695D98" w:rsidRPr="00B003CD" w:rsidRDefault="00695D98" w:rsidP="00030E30">
      <w:pPr>
        <w:numPr>
          <w:ilvl w:val="0"/>
          <w:numId w:val="21"/>
        </w:numPr>
        <w:spacing w:before="0"/>
        <w:jc w:val="both"/>
      </w:pPr>
      <w:r w:rsidRPr="00B003CD">
        <w:t>LJF requires all bidders to engage local SMEs</w:t>
      </w:r>
      <w:r w:rsidR="00160DF6">
        <w:t xml:space="preserve"> </w:t>
      </w:r>
      <w:r w:rsidRPr="00B003CD">
        <w:t>to supply into government projects over the life of a project.</w:t>
      </w:r>
    </w:p>
    <w:p w14:paraId="598C49C0" w14:textId="1769DA24" w:rsidR="00F82539" w:rsidRPr="00030E30" w:rsidRDefault="00695D98" w:rsidP="00274B0A">
      <w:pPr>
        <w:numPr>
          <w:ilvl w:val="0"/>
          <w:numId w:val="21"/>
        </w:numPr>
        <w:spacing w:before="0"/>
        <w:jc w:val="both"/>
      </w:pPr>
      <w:r w:rsidRPr="00B003CD">
        <w:t>The RFT identifies contestable items for bidders to consider sourcing in the proposal for the procurement activity.</w:t>
      </w:r>
    </w:p>
    <w:p w14:paraId="27FC8F8C" w14:textId="71237D36" w:rsidR="00695D98" w:rsidRPr="00D40534" w:rsidRDefault="00695D98" w:rsidP="00695D98">
      <w:pPr>
        <w:jc w:val="both"/>
        <w:rPr>
          <w:rFonts w:asciiTheme="minorHAnsi" w:hAnsiTheme="minorHAnsi" w:cstheme="minorHAnsi"/>
          <w:b/>
          <w:bCs/>
          <w:iCs/>
          <w:sz w:val="20"/>
          <w:szCs w:val="18"/>
          <w:lang w:val="en-US"/>
        </w:rPr>
      </w:pPr>
      <w:r w:rsidRPr="00D40534">
        <w:rPr>
          <w:rFonts w:asciiTheme="minorHAnsi" w:hAnsiTheme="minorHAnsi" w:cstheme="minorHAnsi"/>
          <w:b/>
          <w:bCs/>
          <w:iCs/>
          <w:sz w:val="20"/>
          <w:szCs w:val="18"/>
          <w:lang w:val="en-US"/>
        </w:rPr>
        <w:t xml:space="preserve">Step </w:t>
      </w:r>
      <w:r>
        <w:rPr>
          <w:rFonts w:asciiTheme="minorHAnsi" w:hAnsiTheme="minorHAnsi" w:cstheme="minorHAnsi"/>
          <w:b/>
          <w:bCs/>
          <w:iCs/>
          <w:sz w:val="20"/>
          <w:szCs w:val="18"/>
          <w:lang w:val="en-US"/>
        </w:rPr>
        <w:t>2</w:t>
      </w:r>
      <w:r w:rsidRPr="00D40534">
        <w:rPr>
          <w:rFonts w:asciiTheme="minorHAnsi" w:hAnsiTheme="minorHAnsi" w:cstheme="minorHAnsi"/>
          <w:b/>
          <w:bCs/>
          <w:iCs/>
          <w:sz w:val="20"/>
          <w:szCs w:val="18"/>
          <w:lang w:val="en-US"/>
        </w:rPr>
        <w:t xml:space="preserve"> – </w:t>
      </w:r>
      <w:r w:rsidR="00BB7079">
        <w:rPr>
          <w:rFonts w:asciiTheme="minorHAnsi" w:hAnsiTheme="minorHAnsi" w:cstheme="minorHAnsi"/>
          <w:b/>
          <w:bCs/>
          <w:iCs/>
          <w:sz w:val="20"/>
          <w:szCs w:val="18"/>
          <w:lang w:val="en-US"/>
        </w:rPr>
        <w:t>R</w:t>
      </w:r>
      <w:r w:rsidRPr="00D40534">
        <w:rPr>
          <w:rFonts w:asciiTheme="minorHAnsi" w:hAnsiTheme="minorHAnsi" w:cstheme="minorHAnsi"/>
          <w:b/>
          <w:bCs/>
          <w:iCs/>
          <w:sz w:val="20"/>
          <w:szCs w:val="18"/>
          <w:lang w:val="en-US"/>
        </w:rPr>
        <w:t xml:space="preserve">egistering with </w:t>
      </w:r>
      <w:r w:rsidR="002242C8" w:rsidRPr="00176A41">
        <w:rPr>
          <w:rFonts w:asciiTheme="minorHAnsi" w:hAnsiTheme="minorHAnsi" w:cstheme="minorHAnsi"/>
          <w:b/>
          <w:bCs/>
          <w:iCs/>
          <w:sz w:val="20"/>
          <w:szCs w:val="18"/>
          <w:lang w:val="en-US"/>
        </w:rPr>
        <w:t xml:space="preserve">the </w:t>
      </w:r>
      <w:r w:rsidRPr="00D40534">
        <w:rPr>
          <w:rFonts w:asciiTheme="minorHAnsi" w:hAnsiTheme="minorHAnsi" w:cstheme="minorHAnsi"/>
          <w:b/>
          <w:bCs/>
          <w:iCs/>
          <w:sz w:val="20"/>
          <w:szCs w:val="18"/>
          <w:lang w:val="en-US"/>
        </w:rPr>
        <w:t xml:space="preserve">ICN and preparing </w:t>
      </w:r>
      <w:r w:rsidR="000830CF">
        <w:rPr>
          <w:rFonts w:asciiTheme="minorHAnsi" w:hAnsiTheme="minorHAnsi" w:cstheme="minorHAnsi"/>
          <w:b/>
          <w:bCs/>
          <w:iCs/>
          <w:sz w:val="20"/>
          <w:szCs w:val="18"/>
          <w:lang w:val="en-US"/>
        </w:rPr>
        <w:t>an LIDP</w:t>
      </w:r>
      <w:r w:rsidRPr="00D40534">
        <w:rPr>
          <w:rFonts w:asciiTheme="minorHAnsi" w:hAnsiTheme="minorHAnsi" w:cstheme="minorHAnsi"/>
          <w:b/>
          <w:bCs/>
          <w:iCs/>
          <w:sz w:val="20"/>
          <w:szCs w:val="18"/>
          <w:lang w:val="en-US"/>
        </w:rPr>
        <w:t xml:space="preserve"> </w:t>
      </w:r>
    </w:p>
    <w:p w14:paraId="1F1BA6BB" w14:textId="2071136F" w:rsidR="00695D98" w:rsidRPr="00030E30" w:rsidRDefault="00695D98" w:rsidP="00030E30">
      <w:pPr>
        <w:numPr>
          <w:ilvl w:val="0"/>
          <w:numId w:val="21"/>
        </w:numPr>
        <w:spacing w:before="0"/>
        <w:jc w:val="both"/>
      </w:pPr>
      <w:r w:rsidRPr="00030E30">
        <w:t xml:space="preserve">Bidders must register their businesses details on the VMC, unless previously registered. The VMC is found at </w:t>
      </w:r>
      <w:hyperlink r:id="rId22" w:history="1">
        <w:r w:rsidR="007F6572" w:rsidRPr="002E63A2">
          <w:rPr>
            <w:rStyle w:val="Hyperlink"/>
          </w:rPr>
          <w:t>www.icnforce.com</w:t>
        </w:r>
      </w:hyperlink>
      <w:r w:rsidR="007F6572">
        <w:t>.</w:t>
      </w:r>
    </w:p>
    <w:p w14:paraId="02D8289B" w14:textId="50AFDE33" w:rsidR="00695D98" w:rsidRPr="00030E30" w:rsidRDefault="00695D98" w:rsidP="00030E30">
      <w:pPr>
        <w:numPr>
          <w:ilvl w:val="0"/>
          <w:numId w:val="21"/>
        </w:numPr>
        <w:spacing w:before="0"/>
        <w:jc w:val="both"/>
      </w:pPr>
      <w:r w:rsidRPr="00030E30">
        <w:t xml:space="preserve">The LIDP is completed by logging into the VMC and selecting the relevant tender. If the tender is not listed, </w:t>
      </w:r>
      <w:r w:rsidR="00154DAD">
        <w:t>contact the procuring agency.</w:t>
      </w:r>
      <w:r w:rsidRPr="00030E30">
        <w:t xml:space="preserve"> </w:t>
      </w:r>
    </w:p>
    <w:p w14:paraId="399A7F87" w14:textId="77777777" w:rsidR="00695D98" w:rsidRPr="00030E30" w:rsidRDefault="00695D98" w:rsidP="00030E30">
      <w:pPr>
        <w:numPr>
          <w:ilvl w:val="0"/>
          <w:numId w:val="21"/>
        </w:numPr>
        <w:spacing w:before="0"/>
        <w:jc w:val="both"/>
      </w:pPr>
      <w:r w:rsidRPr="00030E30">
        <w:t>The bidder must then begin to complete their online LIDP.</w:t>
      </w:r>
    </w:p>
    <w:p w14:paraId="771B20E1" w14:textId="5980F433" w:rsidR="00695D98" w:rsidRPr="00030E30" w:rsidRDefault="00695D98" w:rsidP="00030E30">
      <w:pPr>
        <w:numPr>
          <w:ilvl w:val="0"/>
          <w:numId w:val="21"/>
        </w:numPr>
        <w:spacing w:before="0"/>
        <w:jc w:val="both"/>
      </w:pPr>
      <w:r w:rsidRPr="00030E30">
        <w:t xml:space="preserve">Information to be </w:t>
      </w:r>
      <w:r w:rsidR="00154DAD">
        <w:t>provided</w:t>
      </w:r>
      <w:r w:rsidRPr="00030E30">
        <w:t xml:space="preserve"> in the LIDP includes: </w:t>
      </w:r>
    </w:p>
    <w:p w14:paraId="66C9497A" w14:textId="2E3DCFF4" w:rsidR="00695D98" w:rsidRPr="004C4418" w:rsidRDefault="00695D98" w:rsidP="00695D98">
      <w:pPr>
        <w:numPr>
          <w:ilvl w:val="1"/>
          <w:numId w:val="8"/>
        </w:numPr>
        <w:spacing w:before="0" w:after="0"/>
        <w:jc w:val="both"/>
        <w:rPr>
          <w:rFonts w:asciiTheme="minorHAnsi" w:hAnsiTheme="minorHAnsi" w:cstheme="minorHAnsi"/>
          <w:szCs w:val="18"/>
          <w:lang w:val="en-US"/>
        </w:rPr>
      </w:pPr>
      <w:r>
        <w:rPr>
          <w:rFonts w:asciiTheme="minorHAnsi" w:hAnsiTheme="minorHAnsi" w:cstheme="minorHAnsi"/>
          <w:szCs w:val="18"/>
          <w:lang w:val="en-US"/>
        </w:rPr>
        <w:lastRenderedPageBreak/>
        <w:t xml:space="preserve">Your </w:t>
      </w:r>
      <w:r w:rsidRPr="004C4418">
        <w:rPr>
          <w:rFonts w:asciiTheme="minorHAnsi" w:hAnsiTheme="minorHAnsi" w:cstheme="minorHAnsi"/>
          <w:szCs w:val="18"/>
          <w:lang w:val="en-US"/>
        </w:rPr>
        <w:t xml:space="preserve">Victorian Industry Participation Policy (VIPP) commitments </w:t>
      </w:r>
      <w:r>
        <w:rPr>
          <w:rFonts w:asciiTheme="minorHAnsi" w:hAnsiTheme="minorHAnsi" w:cstheme="minorHAnsi"/>
          <w:szCs w:val="18"/>
          <w:lang w:val="en-US"/>
        </w:rPr>
        <w:t xml:space="preserve">– your commitments to </w:t>
      </w:r>
      <w:r w:rsidRPr="004C4418">
        <w:rPr>
          <w:rFonts w:asciiTheme="minorHAnsi" w:hAnsiTheme="minorHAnsi" w:cstheme="minorHAnsi"/>
          <w:szCs w:val="18"/>
          <w:lang w:val="en-US"/>
        </w:rPr>
        <w:t>local content, new and retained jobs, training,</w:t>
      </w:r>
      <w:r>
        <w:rPr>
          <w:rFonts w:asciiTheme="minorHAnsi" w:hAnsiTheme="minorHAnsi" w:cstheme="minorHAnsi"/>
          <w:szCs w:val="18"/>
          <w:lang w:val="en-US"/>
        </w:rPr>
        <w:t xml:space="preserve"> and</w:t>
      </w:r>
      <w:r w:rsidRPr="004C4418">
        <w:rPr>
          <w:rFonts w:asciiTheme="minorHAnsi" w:hAnsiTheme="minorHAnsi" w:cstheme="minorHAnsi"/>
          <w:szCs w:val="18"/>
          <w:lang w:val="en-US"/>
        </w:rPr>
        <w:t xml:space="preserve"> technology transfer</w:t>
      </w:r>
    </w:p>
    <w:p w14:paraId="5757FA06" w14:textId="77777777" w:rsidR="00424609" w:rsidRDefault="00424609" w:rsidP="00424609">
      <w:pPr>
        <w:spacing w:before="0" w:after="0"/>
        <w:ind w:left="1080"/>
        <w:jc w:val="both"/>
        <w:rPr>
          <w:rFonts w:asciiTheme="minorHAnsi" w:hAnsiTheme="minorHAnsi" w:cstheme="minorHAnsi"/>
          <w:szCs w:val="18"/>
          <w:lang w:val="en-US"/>
        </w:rPr>
      </w:pPr>
    </w:p>
    <w:p w14:paraId="5314C355" w14:textId="0A425830" w:rsidR="00695D98" w:rsidRDefault="00424609" w:rsidP="00695D98">
      <w:pPr>
        <w:numPr>
          <w:ilvl w:val="1"/>
          <w:numId w:val="8"/>
        </w:numPr>
        <w:spacing w:before="0" w:after="0"/>
        <w:jc w:val="both"/>
        <w:rPr>
          <w:rFonts w:asciiTheme="minorHAnsi" w:hAnsiTheme="minorHAnsi" w:cstheme="minorHAnsi"/>
          <w:szCs w:val="18"/>
          <w:lang w:val="en-US"/>
        </w:rPr>
      </w:pPr>
      <w:r>
        <w:rPr>
          <w:rFonts w:asciiTheme="minorHAnsi" w:hAnsiTheme="minorHAnsi" w:cstheme="minorHAnsi"/>
          <w:szCs w:val="18"/>
          <w:lang w:val="en-US"/>
        </w:rPr>
        <w:t>y</w:t>
      </w:r>
      <w:r w:rsidR="00695D98">
        <w:rPr>
          <w:rFonts w:asciiTheme="minorHAnsi" w:hAnsiTheme="minorHAnsi" w:cstheme="minorHAnsi"/>
          <w:szCs w:val="18"/>
          <w:lang w:val="en-US"/>
        </w:rPr>
        <w:t xml:space="preserve">our </w:t>
      </w:r>
      <w:r w:rsidR="00695D98" w:rsidRPr="004C4418">
        <w:rPr>
          <w:rFonts w:asciiTheme="minorHAnsi" w:hAnsiTheme="minorHAnsi" w:cstheme="minorHAnsi"/>
          <w:szCs w:val="18"/>
          <w:lang w:val="en-US"/>
        </w:rPr>
        <w:t xml:space="preserve">MPSG commitments </w:t>
      </w:r>
      <w:r w:rsidR="00695D98">
        <w:rPr>
          <w:rFonts w:asciiTheme="minorHAnsi" w:hAnsiTheme="minorHAnsi" w:cstheme="minorHAnsi"/>
          <w:szCs w:val="18"/>
          <w:lang w:val="en-US"/>
        </w:rPr>
        <w:t xml:space="preserve">– providing opportunities to </w:t>
      </w:r>
      <w:r w:rsidR="00695D98" w:rsidRPr="00664592">
        <w:rPr>
          <w:rFonts w:asciiTheme="minorHAnsi" w:hAnsiTheme="minorHAnsi" w:cstheme="minorHAnsi"/>
          <w:szCs w:val="18"/>
          <w:lang w:val="en-US"/>
        </w:rPr>
        <w:t>apprentices, trainees and cadets</w:t>
      </w:r>
    </w:p>
    <w:p w14:paraId="120CDE3D" w14:textId="77777777" w:rsidR="002A74A0" w:rsidRPr="004C4418" w:rsidRDefault="002A74A0" w:rsidP="002A74A0">
      <w:pPr>
        <w:spacing w:before="0" w:after="0"/>
        <w:ind w:left="1080"/>
        <w:jc w:val="both"/>
        <w:rPr>
          <w:rFonts w:asciiTheme="minorHAnsi" w:hAnsiTheme="minorHAnsi" w:cstheme="minorHAnsi"/>
          <w:szCs w:val="18"/>
          <w:lang w:val="en-US"/>
        </w:rPr>
      </w:pPr>
    </w:p>
    <w:p w14:paraId="32201B35" w14:textId="39116E8B" w:rsidR="002A74A0" w:rsidRPr="002A74A0" w:rsidRDefault="00695D98" w:rsidP="002A74A0">
      <w:pPr>
        <w:numPr>
          <w:ilvl w:val="1"/>
          <w:numId w:val="8"/>
        </w:numPr>
        <w:spacing w:before="0" w:after="0"/>
        <w:jc w:val="both"/>
        <w:rPr>
          <w:rFonts w:asciiTheme="minorHAnsi" w:hAnsiTheme="minorHAnsi" w:cstheme="minorHAnsi"/>
          <w:szCs w:val="18"/>
          <w:lang w:val="en-US"/>
        </w:rPr>
      </w:pPr>
      <w:r w:rsidRPr="004C4418">
        <w:rPr>
          <w:rFonts w:asciiTheme="minorHAnsi" w:hAnsiTheme="minorHAnsi" w:cstheme="minorHAnsi"/>
          <w:szCs w:val="18"/>
          <w:lang w:val="en-US"/>
        </w:rPr>
        <w:t>how the LIDP will be</w:t>
      </w:r>
      <w:r>
        <w:rPr>
          <w:rFonts w:asciiTheme="minorHAnsi" w:hAnsiTheme="minorHAnsi" w:cstheme="minorHAnsi"/>
          <w:szCs w:val="18"/>
          <w:lang w:val="en-US"/>
        </w:rPr>
        <w:t xml:space="preserve"> applied</w:t>
      </w:r>
      <w:r w:rsidRPr="004C4418">
        <w:rPr>
          <w:rFonts w:asciiTheme="minorHAnsi" w:hAnsiTheme="minorHAnsi" w:cstheme="minorHAnsi"/>
          <w:szCs w:val="18"/>
          <w:lang w:val="en-US"/>
        </w:rPr>
        <w:t xml:space="preserve"> and management of risks, </w:t>
      </w:r>
      <w:r>
        <w:rPr>
          <w:rFonts w:asciiTheme="minorHAnsi" w:hAnsiTheme="minorHAnsi" w:cstheme="minorHAnsi"/>
          <w:szCs w:val="18"/>
          <w:lang w:val="en-US"/>
        </w:rPr>
        <w:t>such as</w:t>
      </w:r>
      <w:r w:rsidRPr="004C4418">
        <w:rPr>
          <w:rFonts w:asciiTheme="minorHAnsi" w:hAnsiTheme="minorHAnsi" w:cstheme="minorHAnsi"/>
          <w:szCs w:val="18"/>
          <w:lang w:val="en-US"/>
        </w:rPr>
        <w:t xml:space="preserve"> industry engagement strategies</w:t>
      </w:r>
      <w:r>
        <w:rPr>
          <w:rFonts w:asciiTheme="minorHAnsi" w:hAnsiTheme="minorHAnsi" w:cstheme="minorHAnsi"/>
          <w:szCs w:val="18"/>
          <w:lang w:val="en-US"/>
        </w:rPr>
        <w:t xml:space="preserve"> and selection and benchmarking of local content</w:t>
      </w:r>
    </w:p>
    <w:p w14:paraId="2923B82B" w14:textId="77777777" w:rsidR="002A74A0" w:rsidRDefault="002A74A0" w:rsidP="002A74A0">
      <w:pPr>
        <w:spacing w:before="0" w:after="0"/>
        <w:ind w:left="1080"/>
        <w:jc w:val="both"/>
        <w:rPr>
          <w:rFonts w:asciiTheme="minorHAnsi" w:hAnsiTheme="minorHAnsi" w:cstheme="minorHAnsi"/>
          <w:szCs w:val="18"/>
          <w:lang w:val="en-US"/>
        </w:rPr>
      </w:pPr>
    </w:p>
    <w:p w14:paraId="3D15D1DE" w14:textId="171A9A49" w:rsidR="002A74A0" w:rsidRPr="002A74A0" w:rsidRDefault="00695D98" w:rsidP="002A74A0">
      <w:pPr>
        <w:numPr>
          <w:ilvl w:val="1"/>
          <w:numId w:val="8"/>
        </w:numPr>
        <w:spacing w:before="0" w:after="0"/>
        <w:jc w:val="both"/>
        <w:rPr>
          <w:rFonts w:asciiTheme="minorHAnsi" w:hAnsiTheme="minorHAnsi" w:cstheme="minorHAnsi"/>
          <w:szCs w:val="18"/>
          <w:lang w:val="en-US"/>
        </w:rPr>
      </w:pPr>
      <w:r w:rsidRPr="004C4418">
        <w:rPr>
          <w:rFonts w:asciiTheme="minorHAnsi" w:hAnsiTheme="minorHAnsi" w:cstheme="minorHAnsi"/>
          <w:szCs w:val="18"/>
          <w:lang w:val="en-US"/>
        </w:rPr>
        <w:t xml:space="preserve">monitoring and reporting requirements, </w:t>
      </w:r>
      <w:r>
        <w:rPr>
          <w:rFonts w:asciiTheme="minorHAnsi" w:hAnsiTheme="minorHAnsi" w:cstheme="minorHAnsi"/>
          <w:szCs w:val="18"/>
          <w:lang w:val="en-US"/>
        </w:rPr>
        <w:t xml:space="preserve">such as </w:t>
      </w:r>
      <w:r w:rsidRPr="004C4418">
        <w:rPr>
          <w:rFonts w:asciiTheme="minorHAnsi" w:hAnsiTheme="minorHAnsi" w:cstheme="minorHAnsi"/>
          <w:szCs w:val="18"/>
          <w:lang w:val="en-US"/>
        </w:rPr>
        <w:t>those to be delivered as part of normal project management procedures</w:t>
      </w:r>
    </w:p>
    <w:p w14:paraId="24A9B120" w14:textId="77777777" w:rsidR="002A74A0" w:rsidRDefault="002A74A0" w:rsidP="002A74A0">
      <w:pPr>
        <w:spacing w:before="0" w:after="0"/>
        <w:ind w:left="1080"/>
        <w:jc w:val="both"/>
        <w:rPr>
          <w:rFonts w:asciiTheme="minorHAnsi" w:hAnsiTheme="minorHAnsi" w:cstheme="minorHAnsi"/>
          <w:szCs w:val="18"/>
          <w:lang w:val="en-US"/>
        </w:rPr>
      </w:pPr>
    </w:p>
    <w:p w14:paraId="230D53A5" w14:textId="18A4183C" w:rsidR="00695D98" w:rsidRDefault="00BB7079" w:rsidP="00695D98">
      <w:pPr>
        <w:numPr>
          <w:ilvl w:val="1"/>
          <w:numId w:val="8"/>
        </w:numPr>
        <w:spacing w:before="0" w:after="0"/>
        <w:jc w:val="both"/>
        <w:rPr>
          <w:rFonts w:asciiTheme="minorHAnsi" w:hAnsiTheme="minorHAnsi" w:cstheme="minorHAnsi"/>
          <w:szCs w:val="18"/>
          <w:lang w:val="en-US"/>
        </w:rPr>
      </w:pPr>
      <w:r>
        <w:rPr>
          <w:rFonts w:asciiTheme="minorHAnsi" w:hAnsiTheme="minorHAnsi" w:cstheme="minorHAnsi"/>
          <w:szCs w:val="18"/>
          <w:lang w:val="en-US"/>
        </w:rPr>
        <w:t>t</w:t>
      </w:r>
      <w:r w:rsidR="00695D98">
        <w:rPr>
          <w:rFonts w:asciiTheme="minorHAnsi" w:hAnsiTheme="minorHAnsi" w:cstheme="minorHAnsi"/>
          <w:szCs w:val="18"/>
          <w:lang w:val="en-US"/>
        </w:rPr>
        <w:t xml:space="preserve">he amount of </w:t>
      </w:r>
      <w:r w:rsidR="00E5607C" w:rsidRPr="00587DD0">
        <w:rPr>
          <w:rFonts w:asciiTheme="minorHAnsi" w:hAnsiTheme="minorHAnsi" w:cstheme="minorHAnsi"/>
          <w:szCs w:val="18"/>
          <w:lang w:val="en-US"/>
        </w:rPr>
        <w:t>SMEs</w:t>
      </w:r>
      <w:r w:rsidR="00695D98" w:rsidRPr="00587DD0">
        <w:rPr>
          <w:rFonts w:asciiTheme="minorHAnsi" w:hAnsiTheme="minorHAnsi" w:cstheme="minorHAnsi"/>
          <w:szCs w:val="18"/>
          <w:lang w:val="en-US"/>
        </w:rPr>
        <w:t xml:space="preserve"> </w:t>
      </w:r>
      <w:r w:rsidR="00695D98">
        <w:rPr>
          <w:rFonts w:asciiTheme="minorHAnsi" w:hAnsiTheme="minorHAnsi" w:cstheme="minorHAnsi"/>
          <w:szCs w:val="18"/>
          <w:lang w:val="en-US"/>
        </w:rPr>
        <w:t xml:space="preserve">that will be engaged as part of the contract. </w:t>
      </w:r>
    </w:p>
    <w:p w14:paraId="2E5ED75F" w14:textId="77777777" w:rsidR="002A74A0" w:rsidRDefault="002A74A0" w:rsidP="002A74A0">
      <w:pPr>
        <w:spacing w:before="0" w:after="0"/>
        <w:jc w:val="both"/>
        <w:rPr>
          <w:rFonts w:asciiTheme="minorHAnsi" w:hAnsiTheme="minorHAnsi" w:cstheme="minorHAnsi"/>
          <w:szCs w:val="18"/>
          <w:lang w:val="en-US"/>
        </w:rPr>
      </w:pPr>
    </w:p>
    <w:p w14:paraId="3D2534BF" w14:textId="1D8E30CE" w:rsidR="00F82539" w:rsidRPr="00F82539" w:rsidRDefault="00F82539" w:rsidP="00F82539">
      <w:pPr>
        <w:numPr>
          <w:ilvl w:val="0"/>
          <w:numId w:val="21"/>
        </w:numPr>
        <w:spacing w:before="0"/>
        <w:jc w:val="both"/>
      </w:pPr>
      <w:r w:rsidRPr="00F82539">
        <w:t xml:space="preserve">The size and complexity of the project will help inform how detailed the LIDP will be. For </w:t>
      </w:r>
      <w:r w:rsidR="000E4390">
        <w:rPr>
          <w:rFonts w:asciiTheme="minorHAnsi" w:hAnsiTheme="minorHAnsi" w:cstheme="minorHAnsi"/>
          <w:szCs w:val="18"/>
          <w:lang w:val="en-US"/>
        </w:rPr>
        <w:t>limited contestability</w:t>
      </w:r>
      <w:r w:rsidR="000E4390" w:rsidRPr="007A58EE">
        <w:rPr>
          <w:rFonts w:asciiTheme="minorHAnsi" w:hAnsiTheme="minorHAnsi" w:cstheme="minorHAnsi"/>
          <w:szCs w:val="18"/>
          <w:lang w:val="en-US"/>
        </w:rPr>
        <w:t xml:space="preserve"> </w:t>
      </w:r>
      <w:r w:rsidRPr="00F82539">
        <w:t xml:space="preserve">projects, only jobs outcomes and monitoring and reporting requirements are required from bidders. </w:t>
      </w:r>
    </w:p>
    <w:p w14:paraId="57655DF9" w14:textId="7BCC7449" w:rsidR="00F82539" w:rsidRPr="00F82539" w:rsidRDefault="00F82539" w:rsidP="00F82539">
      <w:pPr>
        <w:numPr>
          <w:ilvl w:val="0"/>
          <w:numId w:val="21"/>
        </w:numPr>
        <w:spacing w:before="0"/>
        <w:jc w:val="both"/>
      </w:pPr>
      <w:r w:rsidRPr="00F82539">
        <w:t>LIDPs generally take between one to six working days to prepare depending on the complexity of the project, nature of the contestable items or experience with LJF by the bidder</w:t>
      </w:r>
      <w:r w:rsidR="00A804CA">
        <w:t>.</w:t>
      </w:r>
      <w:r w:rsidRPr="00F82539">
        <w:t xml:space="preserve"> </w:t>
      </w:r>
    </w:p>
    <w:p w14:paraId="66D30A72" w14:textId="6D96195D" w:rsidR="00F82539" w:rsidRDefault="002242C8" w:rsidP="00F82539">
      <w:pPr>
        <w:numPr>
          <w:ilvl w:val="0"/>
          <w:numId w:val="21"/>
        </w:numPr>
        <w:spacing w:before="0"/>
        <w:jc w:val="both"/>
      </w:pPr>
      <w:r w:rsidRPr="00587DD0">
        <w:t xml:space="preserve">The </w:t>
      </w:r>
      <w:r w:rsidR="00F82539" w:rsidRPr="00F82539">
        <w:t xml:space="preserve">ICN can help </w:t>
      </w:r>
      <w:r w:rsidR="00154DAD">
        <w:t>prepare</w:t>
      </w:r>
      <w:r w:rsidR="00F82539" w:rsidRPr="00F82539">
        <w:t xml:space="preserve"> their LIDP</w:t>
      </w:r>
      <w:r w:rsidR="00154DAD">
        <w:t>s</w:t>
      </w:r>
      <w:r w:rsidR="00F82539" w:rsidRPr="00F82539">
        <w:t xml:space="preserve"> by choosing ‘Assistance’ mode within the VMC. Advice on local capabilities will only be given by </w:t>
      </w:r>
      <w:r w:rsidR="00905615" w:rsidRPr="00587DD0">
        <w:t>the</w:t>
      </w:r>
      <w:r w:rsidR="00905615">
        <w:rPr>
          <w:color w:val="FF0000"/>
        </w:rPr>
        <w:t xml:space="preserve"> </w:t>
      </w:r>
      <w:r w:rsidR="00F82539" w:rsidRPr="00F82539">
        <w:t>ICN if Assistance mode is selected. The Victorian Government funds the ICN to help bidders in preparing LIDPS and identifying opportunities for local suppliers</w:t>
      </w:r>
      <w:r w:rsidR="00A804CA">
        <w:t>.</w:t>
      </w:r>
    </w:p>
    <w:p w14:paraId="0C0D603E" w14:textId="77777777" w:rsidR="00653DD4" w:rsidRPr="00653DD4" w:rsidRDefault="00653DD4" w:rsidP="00653DD4">
      <w:pPr>
        <w:spacing w:before="0"/>
        <w:ind w:left="360"/>
        <w:jc w:val="both"/>
        <w:rPr>
          <w:b/>
        </w:rPr>
      </w:pPr>
      <w:r w:rsidRPr="00653DD4">
        <w:rPr>
          <w:b/>
        </w:rPr>
        <w:t>Employment Commitment</w:t>
      </w:r>
    </w:p>
    <w:p w14:paraId="7831DD9F" w14:textId="4EB133F9" w:rsidR="00653DD4" w:rsidRDefault="00653DD4" w:rsidP="00653DD4">
      <w:pPr>
        <w:numPr>
          <w:ilvl w:val="0"/>
          <w:numId w:val="21"/>
        </w:numPr>
        <w:spacing w:before="0"/>
        <w:jc w:val="both"/>
      </w:pPr>
      <w:r>
        <w:t xml:space="preserve">A primary objective of the Local Jobs First Policy is to promote employment and business growth by providing opportunities for local businesses. Agencies must consider the jobs outcomes of bids when awarding a contract. For more information on this process, refer to the Local Jobs First </w:t>
      </w:r>
      <w:r w:rsidR="00EB48B0" w:rsidRPr="00587DD0">
        <w:t>Agency</w:t>
      </w:r>
      <w:r w:rsidR="00587DD0">
        <w:t xml:space="preserve"> </w:t>
      </w:r>
      <w:r>
        <w:t xml:space="preserve">Guidelines. </w:t>
      </w:r>
    </w:p>
    <w:p w14:paraId="2C101852" w14:textId="19B671E3" w:rsidR="00653DD4" w:rsidRDefault="00653DD4" w:rsidP="00653DD4">
      <w:pPr>
        <w:numPr>
          <w:ilvl w:val="0"/>
          <w:numId w:val="21"/>
        </w:numPr>
        <w:spacing w:before="0"/>
        <w:jc w:val="both"/>
      </w:pPr>
      <w:r>
        <w:t>Calculate the number of retained and/or new jobs to be created in Australia and/or New Zealand during the life of this project. This number covers both your company and those from your supply chain, if you are using a supply chain.</w:t>
      </w:r>
    </w:p>
    <w:p w14:paraId="0081C980" w14:textId="2FBB148E" w:rsidR="00653DD4" w:rsidRDefault="00653DD4" w:rsidP="00653DD4">
      <w:pPr>
        <w:numPr>
          <w:ilvl w:val="0"/>
          <w:numId w:val="21"/>
        </w:numPr>
        <w:spacing w:before="0"/>
        <w:jc w:val="both"/>
      </w:pPr>
      <w:r>
        <w:t>A retained job means a job (one Annual Employee Equivalent) that has been working for a supplier or subcontractor before signing a project contract, working in tasks/works related to the project. This may also be referred to as an existing employee.</w:t>
      </w:r>
    </w:p>
    <w:p w14:paraId="0E1BE076" w14:textId="3710571D" w:rsidR="00653DD4" w:rsidRDefault="00653DD4" w:rsidP="00653DD4">
      <w:pPr>
        <w:numPr>
          <w:ilvl w:val="0"/>
          <w:numId w:val="21"/>
        </w:numPr>
        <w:spacing w:before="0"/>
        <w:jc w:val="both"/>
      </w:pPr>
      <w:r>
        <w:t>A new job means a job (one Annual Employee Equivalent) that has been specifically employed by a supplier or subcontractors, because of the work generated by a specific project.</w:t>
      </w:r>
    </w:p>
    <w:p w14:paraId="5E7EC1BE" w14:textId="49C9DF01" w:rsidR="00653DD4" w:rsidRDefault="00653DD4" w:rsidP="00653DD4">
      <w:pPr>
        <w:numPr>
          <w:ilvl w:val="0"/>
          <w:numId w:val="21"/>
        </w:numPr>
        <w:spacing w:before="0"/>
        <w:jc w:val="both"/>
      </w:pPr>
      <w:r>
        <w:t>Annual Employee Equivalent (AEE) is used in place of Full Time Equivalence (FTE). Created/retained numbers must be provided in AEE. Annualized Employee Equivalent is calculated by dividing the total paid hours of the contract by 1,976. 1,976 reflects the total full-time working hours paid yearly to a full-time employee (38 hours per week for 52 weeks). Agencies will not give a higher weighting for more created or retained jobs – they will be considered equal.</w:t>
      </w:r>
    </w:p>
    <w:p w14:paraId="3FDB882D" w14:textId="77777777" w:rsidR="00653DD4" w:rsidRPr="00653DD4" w:rsidRDefault="00653DD4" w:rsidP="00653DD4">
      <w:pPr>
        <w:spacing w:before="0"/>
        <w:ind w:left="360"/>
        <w:jc w:val="both"/>
        <w:rPr>
          <w:b/>
        </w:rPr>
      </w:pPr>
      <w:r w:rsidRPr="00653DD4">
        <w:rPr>
          <w:b/>
        </w:rPr>
        <w:t>Importance of the LIDP</w:t>
      </w:r>
    </w:p>
    <w:p w14:paraId="240421E9" w14:textId="7359252F" w:rsidR="00653DD4" w:rsidRDefault="00653DD4" w:rsidP="00653DD4">
      <w:pPr>
        <w:numPr>
          <w:ilvl w:val="0"/>
          <w:numId w:val="21"/>
        </w:numPr>
        <w:spacing w:before="0"/>
        <w:jc w:val="both"/>
      </w:pPr>
      <w:r>
        <w:t>The LIDP will be used in the tender to inform the 20 per cent Local Jobs First weightings, and commitments made in the document will be included in the contract of the successful bidder.</w:t>
      </w:r>
    </w:p>
    <w:p w14:paraId="3DF46666" w14:textId="0A346A6E" w:rsidR="00653DD4" w:rsidRPr="00653DD4" w:rsidRDefault="00653DD4" w:rsidP="00653DD4">
      <w:pPr>
        <w:spacing w:before="0"/>
        <w:ind w:left="360"/>
        <w:jc w:val="both"/>
        <w:rPr>
          <w:b/>
        </w:rPr>
      </w:pPr>
      <w:r>
        <w:rPr>
          <w:b/>
        </w:rPr>
        <w:t>MPSG Commitments</w:t>
      </w:r>
    </w:p>
    <w:p w14:paraId="514E98EA" w14:textId="77777777" w:rsidR="00695D98" w:rsidRPr="00030E30" w:rsidRDefault="00695D98" w:rsidP="00030E30">
      <w:pPr>
        <w:numPr>
          <w:ilvl w:val="0"/>
          <w:numId w:val="21"/>
        </w:numPr>
        <w:spacing w:before="0"/>
        <w:jc w:val="both"/>
      </w:pPr>
      <w:r w:rsidRPr="00030E30">
        <w:t xml:space="preserve">The total labour hours under the MPSG are based on the total value of the contract, including all sub-contracting under the principal contract, and is determined by bidders using the Deemed Hours Formula, outlined below. </w:t>
      </w:r>
    </w:p>
    <w:p w14:paraId="50C7B80F" w14:textId="38845D76" w:rsidR="00DA63F8" w:rsidRDefault="00695D98" w:rsidP="002A74A0">
      <w:pPr>
        <w:numPr>
          <w:ilvl w:val="0"/>
          <w:numId w:val="21"/>
        </w:numPr>
        <w:spacing w:before="0"/>
        <w:jc w:val="both"/>
      </w:pPr>
      <w:r w:rsidRPr="00030E30">
        <w:t xml:space="preserve">The ratios and rates used within the Deemed Hours Formula vary with the type of project. Separate labour ratios and hourly rates have been developed for building construction projects, civil and infrastructure projects, and for mixed building and infrastructure construction projects based on industry data as detailed in the table below. </w:t>
      </w:r>
      <w:r w:rsidR="005E5DF8">
        <w:t xml:space="preserve">The determined ratio and how to apply it will be provided by the agency. </w:t>
      </w:r>
    </w:p>
    <w:p w14:paraId="16CFA184" w14:textId="77777777" w:rsidR="009503A3" w:rsidRDefault="009503A3" w:rsidP="0001373D">
      <w:pPr>
        <w:jc w:val="both"/>
        <w:rPr>
          <w:b/>
        </w:rPr>
      </w:pPr>
    </w:p>
    <w:p w14:paraId="5B6FE553" w14:textId="3AC44674" w:rsidR="00695D98" w:rsidRPr="00DA63F8" w:rsidRDefault="00695D98" w:rsidP="0001373D">
      <w:pPr>
        <w:jc w:val="both"/>
        <w:rPr>
          <w:b/>
        </w:rPr>
      </w:pPr>
      <w:r w:rsidRPr="00DA63F8">
        <w:rPr>
          <w:b/>
        </w:rPr>
        <w:lastRenderedPageBreak/>
        <w:t>Table 1: Project Types and the Deemed Hours Formula</w:t>
      </w:r>
    </w:p>
    <w:tbl>
      <w:tblPr>
        <w:tblStyle w:val="ListTable3"/>
        <w:tblW w:w="8505" w:type="dxa"/>
        <w:tblInd w:w="817" w:type="dxa"/>
        <w:tblLook w:val="04A0" w:firstRow="1" w:lastRow="0" w:firstColumn="1" w:lastColumn="0" w:noHBand="0" w:noVBand="1"/>
      </w:tblPr>
      <w:tblGrid>
        <w:gridCol w:w="1387"/>
        <w:gridCol w:w="4374"/>
        <w:gridCol w:w="1433"/>
        <w:gridCol w:w="1311"/>
      </w:tblGrid>
      <w:tr w:rsidR="00695D98" w:rsidRPr="00B102D3" w14:paraId="23A53055" w14:textId="77777777" w:rsidTr="006F16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97" w:type="dxa"/>
            <w:tcBorders>
              <w:top w:val="single" w:sz="4" w:space="0" w:color="201547" w:themeColor="text1"/>
              <w:bottom w:val="single" w:sz="4" w:space="0" w:color="201547" w:themeColor="text1"/>
            </w:tcBorders>
            <w:shd w:val="clear" w:color="auto" w:fill="auto"/>
          </w:tcPr>
          <w:p w14:paraId="6EBD85DA" w14:textId="77777777" w:rsidR="00695D98" w:rsidRPr="00B102D3" w:rsidRDefault="00695D98" w:rsidP="006F16A0">
            <w:pPr>
              <w:spacing w:after="200"/>
            </w:pPr>
            <w:r w:rsidRPr="00B102D3">
              <w:t>Project Type</w:t>
            </w:r>
          </w:p>
        </w:tc>
        <w:tc>
          <w:tcPr>
            <w:tcW w:w="4592" w:type="dxa"/>
            <w:tcBorders>
              <w:top w:val="single" w:sz="4" w:space="0" w:color="201547" w:themeColor="text1"/>
              <w:bottom w:val="single" w:sz="4" w:space="0" w:color="201547" w:themeColor="text1"/>
            </w:tcBorders>
            <w:shd w:val="clear" w:color="auto" w:fill="auto"/>
          </w:tcPr>
          <w:p w14:paraId="77C50131" w14:textId="77777777" w:rsidR="00695D98" w:rsidRPr="00B102D3" w:rsidRDefault="00695D98" w:rsidP="006F16A0">
            <w:pPr>
              <w:spacing w:after="200"/>
              <w:cnfStyle w:val="100000000000" w:firstRow="1" w:lastRow="0" w:firstColumn="0" w:lastColumn="0" w:oddVBand="0" w:evenVBand="0" w:oddHBand="0" w:evenHBand="0" w:firstRowFirstColumn="0" w:firstRowLastColumn="0" w:lastRowFirstColumn="0" w:lastRowLastColumn="0"/>
            </w:pPr>
            <w:r w:rsidRPr="00B102D3">
              <w:t>Project Description</w:t>
            </w:r>
          </w:p>
        </w:tc>
        <w:tc>
          <w:tcPr>
            <w:tcW w:w="1474" w:type="dxa"/>
            <w:tcBorders>
              <w:top w:val="single" w:sz="4" w:space="0" w:color="201547" w:themeColor="text1"/>
              <w:bottom w:val="single" w:sz="4" w:space="0" w:color="201547" w:themeColor="text1"/>
            </w:tcBorders>
            <w:shd w:val="clear" w:color="auto" w:fill="auto"/>
          </w:tcPr>
          <w:p w14:paraId="5BCB9E86" w14:textId="77777777" w:rsidR="00695D98" w:rsidRPr="00B102D3" w:rsidRDefault="00695D98" w:rsidP="006F16A0">
            <w:pPr>
              <w:spacing w:after="200"/>
              <w:cnfStyle w:val="100000000000" w:firstRow="1" w:lastRow="0" w:firstColumn="0" w:lastColumn="0" w:oddVBand="0" w:evenVBand="0" w:oddHBand="0" w:evenHBand="0" w:firstRowFirstColumn="0" w:firstRowLastColumn="0" w:lastRowFirstColumn="0" w:lastRowLastColumn="0"/>
            </w:pPr>
            <w:r w:rsidRPr="00B102D3">
              <w:t>Deemed Labour Ratio</w:t>
            </w:r>
          </w:p>
        </w:tc>
        <w:tc>
          <w:tcPr>
            <w:tcW w:w="1342" w:type="dxa"/>
            <w:tcBorders>
              <w:top w:val="single" w:sz="4" w:space="0" w:color="201547" w:themeColor="text1"/>
              <w:bottom w:val="single" w:sz="4" w:space="0" w:color="201547" w:themeColor="text1"/>
            </w:tcBorders>
            <w:shd w:val="clear" w:color="auto" w:fill="auto"/>
          </w:tcPr>
          <w:p w14:paraId="2D8D5FE9" w14:textId="77777777" w:rsidR="00695D98" w:rsidRPr="00B102D3" w:rsidRDefault="00695D98" w:rsidP="006F16A0">
            <w:pPr>
              <w:spacing w:after="200"/>
              <w:cnfStyle w:val="100000000000" w:firstRow="1" w:lastRow="0" w:firstColumn="0" w:lastColumn="0" w:oddVBand="0" w:evenVBand="0" w:oddHBand="0" w:evenHBand="0" w:firstRowFirstColumn="0" w:firstRowLastColumn="0" w:lastRowFirstColumn="0" w:lastRowLastColumn="0"/>
            </w:pPr>
            <w:r w:rsidRPr="00B102D3">
              <w:t>Deemed Hourly Rate</w:t>
            </w:r>
          </w:p>
        </w:tc>
      </w:tr>
      <w:tr w:rsidR="00695D98" w:rsidRPr="00B102D3" w14:paraId="6CBA5094" w14:textId="77777777" w:rsidTr="006F16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7" w:type="dxa"/>
          </w:tcPr>
          <w:p w14:paraId="133BF9AF" w14:textId="77777777" w:rsidR="00695D98" w:rsidRPr="00B102D3" w:rsidRDefault="00695D98" w:rsidP="006F16A0">
            <w:pPr>
              <w:spacing w:after="200"/>
            </w:pPr>
            <w:r w:rsidRPr="00B102D3">
              <w:t>Building construction projects</w:t>
            </w:r>
          </w:p>
        </w:tc>
        <w:tc>
          <w:tcPr>
            <w:tcW w:w="4592" w:type="dxa"/>
          </w:tcPr>
          <w:p w14:paraId="7EE66904" w14:textId="77777777" w:rsidR="00695D98" w:rsidRPr="00B102D3" w:rsidRDefault="00695D98" w:rsidP="006F16A0">
            <w:pPr>
              <w:spacing w:after="200"/>
              <w:cnfStyle w:val="000000100000" w:firstRow="0" w:lastRow="0" w:firstColumn="0" w:lastColumn="0" w:oddVBand="0" w:evenVBand="0" w:oddHBand="1" w:evenHBand="0" w:firstRowFirstColumn="0" w:firstRowLastColumn="0" w:lastRowFirstColumn="0" w:lastRowLastColumn="0"/>
            </w:pPr>
            <w:r w:rsidRPr="00B102D3">
              <w:t xml:space="preserve">Building </w:t>
            </w:r>
            <w:r>
              <w:t xml:space="preserve">construction projects </w:t>
            </w:r>
            <w:r w:rsidRPr="00B102D3">
              <w:t xml:space="preserve">include commercial </w:t>
            </w:r>
            <w:r>
              <w:t xml:space="preserve">building </w:t>
            </w:r>
            <w:r w:rsidRPr="00B102D3">
              <w:t xml:space="preserve">projects, schools, education, hospitals, police, fire and ambulance stations, civic buildings, courts and </w:t>
            </w:r>
            <w:r>
              <w:t>similar structures</w:t>
            </w:r>
            <w:r w:rsidRPr="00B102D3">
              <w:t xml:space="preserve">. </w:t>
            </w:r>
          </w:p>
        </w:tc>
        <w:tc>
          <w:tcPr>
            <w:tcW w:w="1474" w:type="dxa"/>
          </w:tcPr>
          <w:p w14:paraId="6857B25D" w14:textId="77777777" w:rsidR="00695D98" w:rsidRPr="00B102D3" w:rsidRDefault="00695D98" w:rsidP="006F16A0">
            <w:pPr>
              <w:spacing w:after="200"/>
              <w:cnfStyle w:val="000000100000" w:firstRow="0" w:lastRow="0" w:firstColumn="0" w:lastColumn="0" w:oddVBand="0" w:evenVBand="0" w:oddHBand="1" w:evenHBand="0" w:firstRowFirstColumn="0" w:firstRowLastColumn="0" w:lastRowFirstColumn="0" w:lastRowLastColumn="0"/>
            </w:pPr>
            <w:r w:rsidRPr="00B102D3">
              <w:t>35%</w:t>
            </w:r>
          </w:p>
        </w:tc>
        <w:tc>
          <w:tcPr>
            <w:tcW w:w="1342" w:type="dxa"/>
          </w:tcPr>
          <w:p w14:paraId="076299FE" w14:textId="77777777" w:rsidR="00695D98" w:rsidRPr="00B102D3" w:rsidRDefault="00695D98" w:rsidP="006F16A0">
            <w:pPr>
              <w:spacing w:after="200"/>
              <w:cnfStyle w:val="000000100000" w:firstRow="0" w:lastRow="0" w:firstColumn="0" w:lastColumn="0" w:oddVBand="0" w:evenVBand="0" w:oddHBand="1" w:evenHBand="0" w:firstRowFirstColumn="0" w:firstRowLastColumn="0" w:lastRowFirstColumn="0" w:lastRowLastColumn="0"/>
            </w:pPr>
            <w:r w:rsidRPr="00B102D3">
              <w:t>$75.00</w:t>
            </w:r>
          </w:p>
        </w:tc>
      </w:tr>
      <w:tr w:rsidR="00695D98" w:rsidRPr="00B102D3" w14:paraId="214EF228" w14:textId="77777777" w:rsidTr="006F16A0">
        <w:trPr>
          <w:cantSplit/>
        </w:trPr>
        <w:tc>
          <w:tcPr>
            <w:cnfStyle w:val="001000000000" w:firstRow="0" w:lastRow="0" w:firstColumn="1" w:lastColumn="0" w:oddVBand="0" w:evenVBand="0" w:oddHBand="0" w:evenHBand="0" w:firstRowFirstColumn="0" w:firstRowLastColumn="0" w:lastRowFirstColumn="0" w:lastRowLastColumn="0"/>
            <w:tcW w:w="1097" w:type="dxa"/>
            <w:tcBorders>
              <w:bottom w:val="single" w:sz="4" w:space="0" w:color="201547" w:themeColor="text1"/>
            </w:tcBorders>
          </w:tcPr>
          <w:p w14:paraId="42B23D85" w14:textId="77777777" w:rsidR="00695D98" w:rsidRPr="00B102D3" w:rsidRDefault="00695D98" w:rsidP="006F16A0">
            <w:pPr>
              <w:spacing w:after="200"/>
            </w:pPr>
            <w:r w:rsidRPr="00B102D3">
              <w:t xml:space="preserve">Civil and infrastructure </w:t>
            </w:r>
            <w:r>
              <w:t xml:space="preserve">construction </w:t>
            </w:r>
            <w:r w:rsidRPr="00B102D3">
              <w:t>projects</w:t>
            </w:r>
          </w:p>
        </w:tc>
        <w:tc>
          <w:tcPr>
            <w:tcW w:w="4592" w:type="dxa"/>
            <w:tcBorders>
              <w:bottom w:val="single" w:sz="4" w:space="0" w:color="201547" w:themeColor="text1"/>
            </w:tcBorders>
          </w:tcPr>
          <w:p w14:paraId="4AEEE59E" w14:textId="77777777" w:rsidR="00695D98" w:rsidRPr="00B102D3" w:rsidRDefault="00695D98" w:rsidP="006F16A0">
            <w:pPr>
              <w:spacing w:after="200"/>
              <w:cnfStyle w:val="000000000000" w:firstRow="0" w:lastRow="0" w:firstColumn="0" w:lastColumn="0" w:oddVBand="0" w:evenVBand="0" w:oddHBand="0" w:evenHBand="0" w:firstRowFirstColumn="0" w:firstRowLastColumn="0" w:lastRowFirstColumn="0" w:lastRowLastColumn="0"/>
            </w:pPr>
            <w:r w:rsidRPr="00B102D3">
              <w:t>Civil a</w:t>
            </w:r>
            <w:r>
              <w:t>nd i</w:t>
            </w:r>
            <w:r w:rsidRPr="00B102D3">
              <w:t>nfrastructure project</w:t>
            </w:r>
            <w:r>
              <w:t>s</w:t>
            </w:r>
            <w:r w:rsidRPr="00B102D3">
              <w:t xml:space="preserve"> include engineering-based </w:t>
            </w:r>
            <w:r>
              <w:t>projects</w:t>
            </w:r>
            <w:r w:rsidRPr="00B102D3">
              <w:t xml:space="preserve"> </w:t>
            </w:r>
            <w:r>
              <w:t>that i</w:t>
            </w:r>
            <w:r w:rsidRPr="00B102D3">
              <w:t>nclude, but not limited to, roads, bridges, tunnels, train and tramway</w:t>
            </w:r>
            <w:r>
              <w:t xml:space="preserve"> works</w:t>
            </w:r>
            <w:r w:rsidRPr="00B102D3">
              <w:t xml:space="preserve">, water and sewerage treatment plants, water and sewerage reticulation pipelines and </w:t>
            </w:r>
            <w:r>
              <w:t>similar works</w:t>
            </w:r>
            <w:r w:rsidRPr="00B102D3">
              <w:t xml:space="preserve">. </w:t>
            </w:r>
          </w:p>
        </w:tc>
        <w:tc>
          <w:tcPr>
            <w:tcW w:w="1474" w:type="dxa"/>
            <w:tcBorders>
              <w:bottom w:val="single" w:sz="4" w:space="0" w:color="201547" w:themeColor="text1"/>
            </w:tcBorders>
          </w:tcPr>
          <w:p w14:paraId="49EBB11E" w14:textId="77777777" w:rsidR="00695D98" w:rsidRPr="00B102D3" w:rsidRDefault="00695D98" w:rsidP="006F16A0">
            <w:pPr>
              <w:spacing w:after="200"/>
              <w:cnfStyle w:val="000000000000" w:firstRow="0" w:lastRow="0" w:firstColumn="0" w:lastColumn="0" w:oddVBand="0" w:evenVBand="0" w:oddHBand="0" w:evenHBand="0" w:firstRowFirstColumn="0" w:firstRowLastColumn="0" w:lastRowFirstColumn="0" w:lastRowLastColumn="0"/>
            </w:pPr>
            <w:r w:rsidRPr="00B102D3">
              <w:t>15%</w:t>
            </w:r>
          </w:p>
        </w:tc>
        <w:tc>
          <w:tcPr>
            <w:tcW w:w="1342" w:type="dxa"/>
            <w:tcBorders>
              <w:bottom w:val="single" w:sz="4" w:space="0" w:color="201547" w:themeColor="text1"/>
            </w:tcBorders>
          </w:tcPr>
          <w:p w14:paraId="71F6BA1D" w14:textId="77777777" w:rsidR="00695D98" w:rsidRPr="00B102D3" w:rsidRDefault="00695D98" w:rsidP="006F16A0">
            <w:pPr>
              <w:spacing w:after="200"/>
              <w:cnfStyle w:val="000000000000" w:firstRow="0" w:lastRow="0" w:firstColumn="0" w:lastColumn="0" w:oddVBand="0" w:evenVBand="0" w:oddHBand="0" w:evenHBand="0" w:firstRowFirstColumn="0" w:firstRowLastColumn="0" w:lastRowFirstColumn="0" w:lastRowLastColumn="0"/>
            </w:pPr>
            <w:r w:rsidRPr="00B102D3">
              <w:t>$70.00</w:t>
            </w:r>
          </w:p>
        </w:tc>
      </w:tr>
      <w:tr w:rsidR="00695D98" w:rsidRPr="00B102D3" w14:paraId="1A9E743D" w14:textId="77777777" w:rsidTr="006F16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7" w:type="dxa"/>
            <w:tcBorders>
              <w:bottom w:val="single" w:sz="4" w:space="0" w:color="auto"/>
            </w:tcBorders>
          </w:tcPr>
          <w:p w14:paraId="6CACB9AD" w14:textId="77777777" w:rsidR="00695D98" w:rsidRPr="00B102D3" w:rsidRDefault="00695D98" w:rsidP="006F16A0">
            <w:pPr>
              <w:spacing w:after="200"/>
            </w:pPr>
            <w:r>
              <w:t>Building</w:t>
            </w:r>
            <w:r w:rsidRPr="00B102D3">
              <w:t xml:space="preserve"> and infrastructure </w:t>
            </w:r>
            <w:r>
              <w:t xml:space="preserve">construction </w:t>
            </w:r>
            <w:r w:rsidRPr="00B102D3">
              <w:t>(mixed) projects</w:t>
            </w:r>
          </w:p>
        </w:tc>
        <w:tc>
          <w:tcPr>
            <w:tcW w:w="4592" w:type="dxa"/>
            <w:tcBorders>
              <w:bottom w:val="single" w:sz="4" w:space="0" w:color="auto"/>
            </w:tcBorders>
          </w:tcPr>
          <w:p w14:paraId="395C1730" w14:textId="77777777" w:rsidR="00695D98" w:rsidRPr="00B102D3" w:rsidRDefault="00695D98" w:rsidP="006F16A0">
            <w:pPr>
              <w:spacing w:after="200"/>
              <w:cnfStyle w:val="000000100000" w:firstRow="0" w:lastRow="0" w:firstColumn="0" w:lastColumn="0" w:oddVBand="0" w:evenVBand="0" w:oddHBand="1" w:evenHBand="0" w:firstRowFirstColumn="0" w:firstRowLastColumn="0" w:lastRowFirstColumn="0" w:lastRowLastColumn="0"/>
            </w:pPr>
            <w:r>
              <w:t xml:space="preserve">Building and </w:t>
            </w:r>
            <w:r w:rsidRPr="00B102D3">
              <w:t xml:space="preserve">infrastructure </w:t>
            </w:r>
            <w:r>
              <w:t xml:space="preserve">construction </w:t>
            </w:r>
            <w:r w:rsidRPr="00B102D3">
              <w:t>(mixed) project</w:t>
            </w:r>
            <w:r>
              <w:t xml:space="preserve">s are where the </w:t>
            </w:r>
            <w:r w:rsidRPr="00B102D3">
              <w:t xml:space="preserve">specified works are civil/infrastructure in nature but include significant building construction elements such </w:t>
            </w:r>
            <w:r>
              <w:t xml:space="preserve">rail </w:t>
            </w:r>
            <w:r w:rsidRPr="00B102D3">
              <w:t xml:space="preserve">upgrades </w:t>
            </w:r>
            <w:r>
              <w:t xml:space="preserve">or projects </w:t>
            </w:r>
            <w:r w:rsidRPr="00B102D3">
              <w:t xml:space="preserve">that include stations, or water treatment plants that include facility buildings or sheds. </w:t>
            </w:r>
          </w:p>
        </w:tc>
        <w:tc>
          <w:tcPr>
            <w:tcW w:w="1474" w:type="dxa"/>
            <w:tcBorders>
              <w:bottom w:val="single" w:sz="4" w:space="0" w:color="auto"/>
            </w:tcBorders>
          </w:tcPr>
          <w:p w14:paraId="1CF2514D" w14:textId="77777777" w:rsidR="00695D98" w:rsidRPr="00B102D3" w:rsidRDefault="00695D98" w:rsidP="006F16A0">
            <w:pPr>
              <w:spacing w:after="200"/>
              <w:cnfStyle w:val="000000100000" w:firstRow="0" w:lastRow="0" w:firstColumn="0" w:lastColumn="0" w:oddVBand="0" w:evenVBand="0" w:oddHBand="1" w:evenHBand="0" w:firstRowFirstColumn="0" w:firstRowLastColumn="0" w:lastRowFirstColumn="0" w:lastRowLastColumn="0"/>
            </w:pPr>
            <w:r w:rsidRPr="00B102D3">
              <w:t>25%</w:t>
            </w:r>
          </w:p>
        </w:tc>
        <w:tc>
          <w:tcPr>
            <w:tcW w:w="1342" w:type="dxa"/>
            <w:tcBorders>
              <w:bottom w:val="single" w:sz="4" w:space="0" w:color="auto"/>
            </w:tcBorders>
          </w:tcPr>
          <w:p w14:paraId="1725A7AE" w14:textId="77777777" w:rsidR="00695D98" w:rsidRPr="00B102D3" w:rsidRDefault="00695D98" w:rsidP="006F16A0">
            <w:pPr>
              <w:spacing w:after="200"/>
              <w:cnfStyle w:val="000000100000" w:firstRow="0" w:lastRow="0" w:firstColumn="0" w:lastColumn="0" w:oddVBand="0" w:evenVBand="0" w:oddHBand="1" w:evenHBand="0" w:firstRowFirstColumn="0" w:firstRowLastColumn="0" w:lastRowFirstColumn="0" w:lastRowLastColumn="0"/>
            </w:pPr>
            <w:r w:rsidRPr="00B102D3">
              <w:t>$75.00</w:t>
            </w:r>
          </w:p>
        </w:tc>
      </w:tr>
    </w:tbl>
    <w:p w14:paraId="4BDDFA36" w14:textId="77777777" w:rsidR="00695D98" w:rsidRPr="007400EE" w:rsidRDefault="00695D98" w:rsidP="00695D98">
      <w:pPr>
        <w:rPr>
          <w:rFonts w:asciiTheme="minorHAnsi" w:hAnsiTheme="minorHAnsi" w:cstheme="minorHAnsi"/>
          <w:b/>
          <w:szCs w:val="18"/>
          <w:u w:val="single"/>
        </w:rPr>
      </w:pPr>
      <w:r w:rsidRPr="007400EE">
        <w:rPr>
          <w:rFonts w:asciiTheme="minorHAnsi" w:hAnsiTheme="minorHAnsi" w:cstheme="minorHAnsi"/>
          <w:b/>
          <w:szCs w:val="18"/>
          <w:u w:val="single"/>
        </w:rPr>
        <w:t>Deemed hours formula</w:t>
      </w:r>
    </w:p>
    <w:p w14:paraId="1DD4D059" w14:textId="77777777" w:rsidR="00695D98" w:rsidRPr="00030E30" w:rsidRDefault="00695D98" w:rsidP="00030E30">
      <w:pPr>
        <w:numPr>
          <w:ilvl w:val="0"/>
          <w:numId w:val="21"/>
        </w:numPr>
        <w:spacing w:before="0"/>
        <w:jc w:val="both"/>
      </w:pPr>
      <w:r w:rsidRPr="00030E30">
        <w:t>Use the above project definitions to pick the deemed labour ratios and hourly rates for your specific construction project. Use the below formula to find your projects’ deemed hours.</w:t>
      </w:r>
    </w:p>
    <w:p w14:paraId="08499AEF" w14:textId="560E9846" w:rsidR="00695D98" w:rsidRPr="00831A6F" w:rsidRDefault="00695D98" w:rsidP="00831A6F">
      <w:pPr>
        <w:rPr>
          <w:rFonts w:asciiTheme="minorHAnsi" w:hAnsiTheme="minorHAnsi" w:cstheme="minorHAnsi"/>
          <w:b/>
          <w:bCs/>
          <w:szCs w:val="18"/>
        </w:rPr>
      </w:pPr>
      <w:r w:rsidRPr="00831A6F">
        <w:rPr>
          <w:rFonts w:asciiTheme="minorHAnsi" w:hAnsiTheme="minorHAnsi" w:cstheme="minorHAnsi"/>
          <w:b/>
          <w:bCs/>
          <w:szCs w:val="18"/>
        </w:rPr>
        <w:t xml:space="preserve">Figure </w:t>
      </w:r>
      <w:r w:rsidR="00831A6F" w:rsidRPr="00831A6F">
        <w:rPr>
          <w:rFonts w:asciiTheme="minorHAnsi" w:hAnsiTheme="minorHAnsi" w:cstheme="minorHAnsi"/>
          <w:b/>
          <w:bCs/>
          <w:szCs w:val="18"/>
        </w:rPr>
        <w:t>1</w:t>
      </w:r>
      <w:r w:rsidRPr="00831A6F">
        <w:rPr>
          <w:rFonts w:asciiTheme="minorHAnsi" w:hAnsiTheme="minorHAnsi" w:cstheme="minorHAnsi"/>
          <w:b/>
          <w:bCs/>
          <w:szCs w:val="18"/>
        </w:rPr>
        <w:t>: Deemed Hours Formula</w:t>
      </w:r>
    </w:p>
    <w:p w14:paraId="0AC989EF" w14:textId="77777777" w:rsidR="00695D98" w:rsidRPr="00B102D3" w:rsidRDefault="00695D98" w:rsidP="00695D98">
      <w:pPr>
        <w:ind w:left="720" w:firstLine="720"/>
      </w:pPr>
      <m:oMathPara>
        <m:oMath>
          <m:r>
            <w:rPr>
              <w:rFonts w:ascii="Cambria Math" w:hAnsi="Cambria Math"/>
            </w:rPr>
            <m:t>Total Contract Sum-</m:t>
          </m:r>
          <m:d>
            <m:dPr>
              <m:ctrlPr>
                <w:rPr>
                  <w:rFonts w:ascii="Cambria Math" w:hAnsi="Cambria Math"/>
                  <w:i/>
                </w:rPr>
              </m:ctrlPr>
            </m:dPr>
            <m:e>
              <m:r>
                <w:rPr>
                  <w:rFonts w:ascii="Cambria Math" w:hAnsi="Cambria Math"/>
                </w:rPr>
                <m:t>10% GST-Profit Margin-Specialist Equiptment</m:t>
              </m:r>
            </m:e>
          </m:d>
          <m:r>
            <w:rPr>
              <w:rFonts w:ascii="Cambria Math" w:hAnsi="Cambria Math"/>
            </w:rPr>
            <m:t>=Adjusted Contract Price</m:t>
          </m:r>
        </m:oMath>
      </m:oMathPara>
    </w:p>
    <w:p w14:paraId="70BD57C2" w14:textId="77777777" w:rsidR="00695D98" w:rsidRPr="00B102D3" w:rsidRDefault="0058723C" w:rsidP="00695D98">
      <m:oMathPara>
        <m:oMath>
          <m:f>
            <m:fPr>
              <m:ctrlPr>
                <w:rPr>
                  <w:rFonts w:ascii="Cambria Math" w:hAnsi="Cambria Math"/>
                  <w:i/>
                </w:rPr>
              </m:ctrlPr>
            </m:fPr>
            <m:num>
              <m:r>
                <w:rPr>
                  <w:rFonts w:ascii="Cambria Math" w:hAnsi="Cambria Math"/>
                </w:rPr>
                <m:t>Adjusted Contract Price×Deemed Labor Ratio</m:t>
              </m:r>
            </m:num>
            <m:den>
              <m:r>
                <w:rPr>
                  <w:rFonts w:ascii="Cambria Math" w:hAnsi="Cambria Math"/>
                </w:rPr>
                <m:t>Deemed Hourly Rate</m:t>
              </m:r>
            </m:den>
          </m:f>
          <m:r>
            <w:rPr>
              <w:rFonts w:ascii="Cambria Math" w:hAnsi="Cambria Math"/>
            </w:rPr>
            <m:t>=Total Labour Hours</m:t>
          </m:r>
        </m:oMath>
      </m:oMathPara>
    </w:p>
    <w:p w14:paraId="2ADCA7B0" w14:textId="77777777" w:rsidR="00695D98" w:rsidRPr="00B102D3" w:rsidRDefault="0058723C" w:rsidP="00695D98">
      <m:oMathPara>
        <m:oMath>
          <m:f>
            <m:fPr>
              <m:ctrlPr>
                <w:rPr>
                  <w:rFonts w:ascii="Cambria Math" w:hAnsi="Cambria Math"/>
                  <w:i/>
                </w:rPr>
              </m:ctrlPr>
            </m:fPr>
            <m:num>
              <m:r>
                <w:rPr>
                  <w:rFonts w:ascii="Cambria Math" w:hAnsi="Cambria Math"/>
                </w:rPr>
                <m:t>Total Labour Hours</m:t>
              </m:r>
            </m:num>
            <m:den>
              <m:r>
                <w:rPr>
                  <w:rFonts w:ascii="Cambria Math" w:hAnsi="Cambria Math"/>
                </w:rPr>
                <m:t>10% Minimum Target</m:t>
              </m:r>
            </m:den>
          </m:f>
          <m:r>
            <w:rPr>
              <w:rFonts w:ascii="Cambria Math" w:hAnsi="Cambria Math"/>
            </w:rPr>
            <m:t xml:space="preserve">=Minimum 10% target </m:t>
          </m:r>
        </m:oMath>
      </m:oMathPara>
    </w:p>
    <w:p w14:paraId="6E19C84D" w14:textId="77777777" w:rsidR="00695D98" w:rsidRDefault="00695D98" w:rsidP="00695D98">
      <w:pPr>
        <w:ind w:left="720"/>
      </w:pPr>
    </w:p>
    <w:p w14:paraId="4903E9D1" w14:textId="7A21C7C4" w:rsidR="00695D98" w:rsidRPr="00030E30" w:rsidRDefault="00695D98" w:rsidP="00030E30">
      <w:pPr>
        <w:numPr>
          <w:ilvl w:val="0"/>
          <w:numId w:val="21"/>
        </w:numPr>
        <w:spacing w:before="0"/>
        <w:jc w:val="both"/>
      </w:pPr>
      <w:r w:rsidRPr="00030E30">
        <w:t xml:space="preserve">Specialist equipment as it pertains to the MPSG deemed hours formula refers to significant items or systems of equipment of significant cost for the specific Local Jobs First project. Items may include but not limited to electo-medical equipment, rail signalling, ICT systems, etc. Agencies should seek to clarify at a project specific level to prospective bidders what items are deemed to be specialist equipment. </w:t>
      </w:r>
    </w:p>
    <w:p w14:paraId="18B42999" w14:textId="191B6DC2" w:rsidR="00695D98" w:rsidRDefault="00695D98" w:rsidP="00030E30">
      <w:pPr>
        <w:numPr>
          <w:ilvl w:val="0"/>
          <w:numId w:val="21"/>
        </w:numPr>
        <w:spacing w:before="0"/>
        <w:jc w:val="both"/>
      </w:pPr>
      <w:r w:rsidRPr="00030E30">
        <w:t>Profit margin refers to the expected profit the bidder expects to make as a result from the project. It is omitted from the total contract sum in order to create an Adjusted Contract Price that is just focused on the cos</w:t>
      </w:r>
      <w:r w:rsidR="00030E30">
        <w:t>t</w:t>
      </w:r>
      <w:r w:rsidRPr="00030E30">
        <w:t xml:space="preserve"> of labour on the project.</w:t>
      </w:r>
    </w:p>
    <w:p w14:paraId="091E7B6C" w14:textId="36740278" w:rsidR="00B407F1" w:rsidRDefault="00B407F1" w:rsidP="00DA63F8">
      <w:pPr>
        <w:spacing w:before="0"/>
        <w:ind w:left="360"/>
        <w:jc w:val="both"/>
      </w:pPr>
    </w:p>
    <w:p w14:paraId="1B8F944E" w14:textId="6E393E96" w:rsidR="009503A3" w:rsidRDefault="009503A3" w:rsidP="00DA63F8">
      <w:pPr>
        <w:spacing w:before="0"/>
        <w:ind w:left="360"/>
        <w:jc w:val="both"/>
      </w:pPr>
    </w:p>
    <w:p w14:paraId="252300EC" w14:textId="4AE71E19" w:rsidR="009503A3" w:rsidRDefault="009503A3" w:rsidP="00DA63F8">
      <w:pPr>
        <w:spacing w:before="0"/>
        <w:ind w:left="360"/>
        <w:jc w:val="both"/>
      </w:pPr>
    </w:p>
    <w:p w14:paraId="1F7A800C" w14:textId="398F1378" w:rsidR="009503A3" w:rsidRDefault="009503A3" w:rsidP="00DA63F8">
      <w:pPr>
        <w:spacing w:before="0"/>
        <w:ind w:left="360"/>
        <w:jc w:val="both"/>
      </w:pPr>
    </w:p>
    <w:p w14:paraId="40EAA488" w14:textId="04B6C941" w:rsidR="009503A3" w:rsidRDefault="009503A3" w:rsidP="00DA63F8">
      <w:pPr>
        <w:spacing w:before="0"/>
        <w:ind w:left="360"/>
        <w:jc w:val="both"/>
      </w:pPr>
    </w:p>
    <w:p w14:paraId="73537FE7" w14:textId="77777777" w:rsidR="009503A3" w:rsidRPr="00030E30" w:rsidRDefault="009503A3" w:rsidP="00DA63F8">
      <w:pPr>
        <w:spacing w:before="0"/>
        <w:ind w:left="360"/>
        <w:jc w:val="both"/>
      </w:pPr>
    </w:p>
    <w:p w14:paraId="02F8AD42" w14:textId="3256F76D" w:rsidR="00DA63F8" w:rsidRPr="00DA63F8" w:rsidRDefault="00695D98" w:rsidP="00EC2615">
      <w:pPr>
        <w:spacing w:before="0"/>
        <w:jc w:val="both"/>
      </w:pPr>
      <w:r w:rsidRPr="00DA63F8">
        <w:rPr>
          <w:b/>
        </w:rPr>
        <w:lastRenderedPageBreak/>
        <w:t>Table 2: Example of the Deemed Hours Formula</w:t>
      </w:r>
      <w:r w:rsidRPr="00030E30">
        <w:t xml:space="preserve">: </w:t>
      </w:r>
    </w:p>
    <w:p w14:paraId="6056C730" w14:textId="34982C28" w:rsidR="00695D98" w:rsidRPr="005E5DF8" w:rsidRDefault="00695D98" w:rsidP="00DA63F8">
      <w:pPr>
        <w:spacing w:before="0"/>
        <w:ind w:left="360"/>
        <w:jc w:val="both"/>
      </w:pPr>
      <w:r w:rsidRPr="00030E30">
        <w:t>Indicative example of a civil and infrastructure construction project: Road Project - Total Project Value of $250m</w:t>
      </w:r>
    </w:p>
    <w:tbl>
      <w:tblPr>
        <w:tblStyle w:val="TableGrid"/>
        <w:tblW w:w="0" w:type="auto"/>
        <w:jc w:val="center"/>
        <w:tblLook w:val="04A0" w:firstRow="1" w:lastRow="0" w:firstColumn="1" w:lastColumn="0" w:noHBand="0" w:noVBand="1"/>
        <w:tblCaption w:val="Example of deemed hours formula applied to the civil/infrastructure project contracts"/>
        <w:tblDescription w:val="Column two provides the rate example and column three outlines the value."/>
      </w:tblPr>
      <w:tblGrid>
        <w:gridCol w:w="3004"/>
        <w:gridCol w:w="992"/>
        <w:gridCol w:w="1559"/>
      </w:tblGrid>
      <w:tr w:rsidR="00695D98" w:rsidRPr="00B102D3" w14:paraId="33156C34" w14:textId="77777777" w:rsidTr="006F16A0">
        <w:trPr>
          <w:trHeight w:val="340"/>
          <w:tblHeader/>
          <w:jc w:val="center"/>
        </w:trPr>
        <w:tc>
          <w:tcPr>
            <w:tcW w:w="3004" w:type="dxa"/>
            <w:shd w:val="clear" w:color="auto" w:fill="D9D9D6" w:themeFill="background2"/>
          </w:tcPr>
          <w:p w14:paraId="7C245FA4" w14:textId="77777777" w:rsidR="00695D98" w:rsidRPr="00B102D3" w:rsidRDefault="00695D98" w:rsidP="006F16A0">
            <w:pPr>
              <w:spacing w:after="200"/>
            </w:pPr>
          </w:p>
        </w:tc>
        <w:tc>
          <w:tcPr>
            <w:tcW w:w="992" w:type="dxa"/>
            <w:shd w:val="clear" w:color="auto" w:fill="D9D9D6" w:themeFill="background2"/>
          </w:tcPr>
          <w:p w14:paraId="1A76034D" w14:textId="77777777" w:rsidR="00695D98" w:rsidRPr="00B102D3" w:rsidRDefault="00695D98" w:rsidP="006F16A0">
            <w:pPr>
              <w:spacing w:after="200"/>
              <w:rPr>
                <w:b/>
              </w:rPr>
            </w:pPr>
            <w:r w:rsidRPr="00B102D3">
              <w:rPr>
                <w:b/>
              </w:rPr>
              <w:t xml:space="preserve">Rate </w:t>
            </w:r>
          </w:p>
        </w:tc>
        <w:tc>
          <w:tcPr>
            <w:tcW w:w="1559" w:type="dxa"/>
            <w:shd w:val="clear" w:color="auto" w:fill="D9D9D6" w:themeFill="background2"/>
          </w:tcPr>
          <w:p w14:paraId="3C696A07" w14:textId="77777777" w:rsidR="00695D98" w:rsidRPr="00B102D3" w:rsidRDefault="00695D98" w:rsidP="006F16A0">
            <w:pPr>
              <w:spacing w:after="200"/>
              <w:rPr>
                <w:b/>
              </w:rPr>
            </w:pPr>
            <w:r w:rsidRPr="00B102D3">
              <w:rPr>
                <w:b/>
              </w:rPr>
              <w:t>Value ($)</w:t>
            </w:r>
          </w:p>
        </w:tc>
      </w:tr>
      <w:tr w:rsidR="00695D98" w:rsidRPr="00B102D3" w14:paraId="3118DC87" w14:textId="77777777" w:rsidTr="006F16A0">
        <w:trPr>
          <w:trHeight w:val="340"/>
          <w:jc w:val="center"/>
        </w:trPr>
        <w:tc>
          <w:tcPr>
            <w:tcW w:w="3004" w:type="dxa"/>
          </w:tcPr>
          <w:p w14:paraId="57E4E2AD" w14:textId="77777777" w:rsidR="00695D98" w:rsidRPr="00B102D3" w:rsidRDefault="00695D98" w:rsidP="006F16A0">
            <w:pPr>
              <w:spacing w:after="200"/>
              <w:rPr>
                <w:b/>
              </w:rPr>
            </w:pPr>
            <w:r w:rsidRPr="00B102D3">
              <w:rPr>
                <w:b/>
              </w:rPr>
              <w:t xml:space="preserve">Total </w:t>
            </w:r>
            <w:r>
              <w:rPr>
                <w:b/>
              </w:rPr>
              <w:t>project value (excluding GST)</w:t>
            </w:r>
          </w:p>
        </w:tc>
        <w:tc>
          <w:tcPr>
            <w:tcW w:w="992" w:type="dxa"/>
            <w:shd w:val="clear" w:color="auto" w:fill="C8BEEC" w:themeFill="text1" w:themeFillTint="33"/>
          </w:tcPr>
          <w:p w14:paraId="02D8F43F" w14:textId="77777777" w:rsidR="00695D98" w:rsidRPr="00B102D3" w:rsidRDefault="00695D98" w:rsidP="006F16A0">
            <w:pPr>
              <w:spacing w:after="200"/>
            </w:pPr>
          </w:p>
        </w:tc>
        <w:tc>
          <w:tcPr>
            <w:tcW w:w="1559" w:type="dxa"/>
          </w:tcPr>
          <w:p w14:paraId="581ECFDB" w14:textId="77777777" w:rsidR="00695D98" w:rsidRPr="00B102D3" w:rsidRDefault="00695D98" w:rsidP="006F16A0">
            <w:pPr>
              <w:spacing w:after="200"/>
              <w:rPr>
                <w:b/>
              </w:rPr>
            </w:pPr>
            <w:r w:rsidRPr="00B102D3">
              <w:rPr>
                <w:b/>
              </w:rPr>
              <w:t>$250,000,000</w:t>
            </w:r>
          </w:p>
        </w:tc>
      </w:tr>
      <w:tr w:rsidR="00695D98" w:rsidRPr="00B102D3" w14:paraId="15AC1000" w14:textId="77777777" w:rsidTr="006F16A0">
        <w:trPr>
          <w:trHeight w:val="340"/>
          <w:jc w:val="center"/>
        </w:trPr>
        <w:tc>
          <w:tcPr>
            <w:tcW w:w="3004" w:type="dxa"/>
          </w:tcPr>
          <w:p w14:paraId="21D0FAF7" w14:textId="77777777" w:rsidR="00695D98" w:rsidRPr="00B102D3" w:rsidRDefault="00695D98" w:rsidP="006F16A0">
            <w:pPr>
              <w:spacing w:after="200"/>
            </w:pPr>
            <w:r w:rsidRPr="00B102D3">
              <w:t xml:space="preserve">       Less </w:t>
            </w:r>
            <w:r>
              <w:t xml:space="preserve">profit </w:t>
            </w:r>
            <w:r w:rsidRPr="00B102D3">
              <w:t>margin</w:t>
            </w:r>
          </w:p>
        </w:tc>
        <w:tc>
          <w:tcPr>
            <w:tcW w:w="992" w:type="dxa"/>
            <w:shd w:val="clear" w:color="auto" w:fill="C8BEEC" w:themeFill="text1" w:themeFillTint="33"/>
          </w:tcPr>
          <w:p w14:paraId="693899FD" w14:textId="77777777" w:rsidR="00695D98" w:rsidRPr="00B102D3" w:rsidRDefault="00695D98" w:rsidP="006F16A0">
            <w:pPr>
              <w:spacing w:after="200"/>
            </w:pPr>
          </w:p>
        </w:tc>
        <w:tc>
          <w:tcPr>
            <w:tcW w:w="1559" w:type="dxa"/>
          </w:tcPr>
          <w:p w14:paraId="3B786AF5" w14:textId="77777777" w:rsidR="00695D98" w:rsidRPr="00B102D3" w:rsidRDefault="00695D98" w:rsidP="006F16A0">
            <w:pPr>
              <w:spacing w:after="200"/>
            </w:pPr>
            <w:r w:rsidRPr="00B102D3">
              <w:t>$20,000,000</w:t>
            </w:r>
          </w:p>
        </w:tc>
      </w:tr>
      <w:tr w:rsidR="00695D98" w:rsidRPr="00B102D3" w14:paraId="1884A106" w14:textId="77777777" w:rsidTr="006F16A0">
        <w:trPr>
          <w:trHeight w:val="340"/>
          <w:jc w:val="center"/>
        </w:trPr>
        <w:tc>
          <w:tcPr>
            <w:tcW w:w="3004" w:type="dxa"/>
          </w:tcPr>
          <w:p w14:paraId="04EE7F0F" w14:textId="77777777" w:rsidR="00695D98" w:rsidRPr="00B102D3" w:rsidRDefault="00695D98" w:rsidP="006F16A0">
            <w:pPr>
              <w:spacing w:after="200"/>
            </w:pPr>
            <w:r w:rsidRPr="00B102D3">
              <w:t xml:space="preserve">       Less specialist equipment</w:t>
            </w:r>
          </w:p>
        </w:tc>
        <w:tc>
          <w:tcPr>
            <w:tcW w:w="992" w:type="dxa"/>
            <w:shd w:val="clear" w:color="auto" w:fill="C8BEEC" w:themeFill="text1" w:themeFillTint="33"/>
          </w:tcPr>
          <w:p w14:paraId="4C8D189F" w14:textId="77777777" w:rsidR="00695D98" w:rsidRPr="00B102D3" w:rsidRDefault="00695D98" w:rsidP="006F16A0">
            <w:pPr>
              <w:spacing w:after="200"/>
            </w:pPr>
          </w:p>
        </w:tc>
        <w:tc>
          <w:tcPr>
            <w:tcW w:w="1559" w:type="dxa"/>
          </w:tcPr>
          <w:p w14:paraId="5BF6721D" w14:textId="77777777" w:rsidR="00695D98" w:rsidRPr="00B102D3" w:rsidRDefault="00695D98" w:rsidP="006F16A0">
            <w:pPr>
              <w:spacing w:after="200"/>
            </w:pPr>
            <w:r w:rsidRPr="00B102D3">
              <w:t>$</w:t>
            </w:r>
            <w:r>
              <w:t>55</w:t>
            </w:r>
            <w:r w:rsidRPr="00B102D3">
              <w:t>,500,000</w:t>
            </w:r>
          </w:p>
        </w:tc>
      </w:tr>
      <w:tr w:rsidR="00695D98" w:rsidRPr="00B102D3" w14:paraId="5676C1F3" w14:textId="77777777" w:rsidTr="006F16A0">
        <w:trPr>
          <w:trHeight w:val="340"/>
          <w:jc w:val="center"/>
        </w:trPr>
        <w:tc>
          <w:tcPr>
            <w:tcW w:w="3004" w:type="dxa"/>
          </w:tcPr>
          <w:p w14:paraId="33221888" w14:textId="77777777" w:rsidR="00695D98" w:rsidRPr="00B102D3" w:rsidRDefault="00695D98" w:rsidP="006F16A0">
            <w:pPr>
              <w:spacing w:after="200"/>
            </w:pPr>
            <w:r w:rsidRPr="00B102D3">
              <w:t>Total contract deductions</w:t>
            </w:r>
          </w:p>
        </w:tc>
        <w:tc>
          <w:tcPr>
            <w:tcW w:w="992" w:type="dxa"/>
            <w:shd w:val="clear" w:color="auto" w:fill="C8BEEC" w:themeFill="text1" w:themeFillTint="33"/>
          </w:tcPr>
          <w:p w14:paraId="3E13D978" w14:textId="77777777" w:rsidR="00695D98" w:rsidRPr="00B102D3" w:rsidRDefault="00695D98" w:rsidP="006F16A0">
            <w:pPr>
              <w:spacing w:after="200"/>
            </w:pPr>
          </w:p>
        </w:tc>
        <w:tc>
          <w:tcPr>
            <w:tcW w:w="1559" w:type="dxa"/>
          </w:tcPr>
          <w:p w14:paraId="1A8AB60D" w14:textId="77777777" w:rsidR="00695D98" w:rsidRPr="00B102D3" w:rsidRDefault="00695D98" w:rsidP="006F16A0">
            <w:pPr>
              <w:spacing w:after="200"/>
            </w:pPr>
            <w:r w:rsidRPr="00B102D3">
              <w:t>$75,500,000</w:t>
            </w:r>
          </w:p>
        </w:tc>
      </w:tr>
      <w:tr w:rsidR="00695D98" w:rsidRPr="00B102D3" w14:paraId="2141C444" w14:textId="77777777" w:rsidTr="006F16A0">
        <w:trPr>
          <w:trHeight w:val="340"/>
          <w:jc w:val="center"/>
        </w:trPr>
        <w:tc>
          <w:tcPr>
            <w:tcW w:w="3004" w:type="dxa"/>
          </w:tcPr>
          <w:p w14:paraId="24FB6E15" w14:textId="77777777" w:rsidR="00695D98" w:rsidRPr="00B102D3" w:rsidRDefault="00695D98" w:rsidP="006F16A0">
            <w:pPr>
              <w:spacing w:after="200"/>
              <w:rPr>
                <w:b/>
              </w:rPr>
            </w:pPr>
            <w:r w:rsidRPr="00B102D3">
              <w:rPr>
                <w:b/>
              </w:rPr>
              <w:t xml:space="preserve">Adjusted </w:t>
            </w:r>
            <w:r>
              <w:rPr>
                <w:b/>
              </w:rPr>
              <w:t>MPSG value</w:t>
            </w:r>
            <w:r w:rsidRPr="00B102D3">
              <w:rPr>
                <w:b/>
              </w:rPr>
              <w:t xml:space="preserve"> </w:t>
            </w:r>
          </w:p>
        </w:tc>
        <w:tc>
          <w:tcPr>
            <w:tcW w:w="992" w:type="dxa"/>
            <w:shd w:val="clear" w:color="auto" w:fill="C8BEEC" w:themeFill="text1" w:themeFillTint="33"/>
          </w:tcPr>
          <w:p w14:paraId="5CBAD732" w14:textId="77777777" w:rsidR="00695D98" w:rsidRPr="00B102D3" w:rsidRDefault="00695D98" w:rsidP="006F16A0">
            <w:pPr>
              <w:spacing w:after="200"/>
            </w:pPr>
          </w:p>
        </w:tc>
        <w:tc>
          <w:tcPr>
            <w:tcW w:w="1559" w:type="dxa"/>
          </w:tcPr>
          <w:p w14:paraId="06DE8284" w14:textId="77777777" w:rsidR="00695D98" w:rsidRPr="00B102D3" w:rsidRDefault="00695D98" w:rsidP="006F16A0">
            <w:pPr>
              <w:spacing w:after="200"/>
              <w:rPr>
                <w:b/>
              </w:rPr>
            </w:pPr>
            <w:r w:rsidRPr="00B102D3">
              <w:rPr>
                <w:b/>
              </w:rPr>
              <w:t>$174,500,000</w:t>
            </w:r>
          </w:p>
        </w:tc>
      </w:tr>
      <w:tr w:rsidR="00695D98" w:rsidRPr="00B102D3" w14:paraId="0C222270" w14:textId="77777777" w:rsidTr="006F16A0">
        <w:trPr>
          <w:trHeight w:val="340"/>
          <w:jc w:val="center"/>
        </w:trPr>
        <w:tc>
          <w:tcPr>
            <w:tcW w:w="3004" w:type="dxa"/>
          </w:tcPr>
          <w:p w14:paraId="73133506" w14:textId="77777777" w:rsidR="00695D98" w:rsidRPr="00B102D3" w:rsidRDefault="00695D98" w:rsidP="006F16A0">
            <w:pPr>
              <w:spacing w:after="200"/>
            </w:pPr>
            <w:r w:rsidRPr="00B102D3">
              <w:t xml:space="preserve">       Deemed labour ratio</w:t>
            </w:r>
          </w:p>
        </w:tc>
        <w:tc>
          <w:tcPr>
            <w:tcW w:w="992" w:type="dxa"/>
          </w:tcPr>
          <w:p w14:paraId="42E61C98" w14:textId="77777777" w:rsidR="00695D98" w:rsidRPr="00B102D3" w:rsidRDefault="00695D98" w:rsidP="006F16A0">
            <w:pPr>
              <w:spacing w:after="200"/>
            </w:pPr>
            <w:r w:rsidRPr="00B102D3">
              <w:t>15%</w:t>
            </w:r>
          </w:p>
        </w:tc>
        <w:tc>
          <w:tcPr>
            <w:tcW w:w="1559" w:type="dxa"/>
          </w:tcPr>
          <w:p w14:paraId="10E3BEF9" w14:textId="77777777" w:rsidR="00695D98" w:rsidRPr="00B102D3" w:rsidRDefault="00695D98" w:rsidP="006F16A0">
            <w:pPr>
              <w:spacing w:after="200"/>
            </w:pPr>
            <w:r w:rsidRPr="00B102D3">
              <w:t>$26,175,000</w:t>
            </w:r>
          </w:p>
        </w:tc>
      </w:tr>
      <w:tr w:rsidR="00695D98" w:rsidRPr="00B102D3" w14:paraId="4EF0AD8E" w14:textId="77777777" w:rsidTr="006F16A0">
        <w:trPr>
          <w:trHeight w:val="340"/>
          <w:jc w:val="center"/>
        </w:trPr>
        <w:tc>
          <w:tcPr>
            <w:tcW w:w="3004" w:type="dxa"/>
          </w:tcPr>
          <w:p w14:paraId="148FDD36" w14:textId="77777777" w:rsidR="00695D98" w:rsidRPr="00B102D3" w:rsidRDefault="00695D98" w:rsidP="006F16A0">
            <w:pPr>
              <w:spacing w:after="200"/>
            </w:pPr>
            <w:r w:rsidRPr="00B102D3">
              <w:t xml:space="preserve">       Deemed labour hourly rate</w:t>
            </w:r>
          </w:p>
        </w:tc>
        <w:tc>
          <w:tcPr>
            <w:tcW w:w="992" w:type="dxa"/>
          </w:tcPr>
          <w:p w14:paraId="6E260EC5" w14:textId="77777777" w:rsidR="00695D98" w:rsidRPr="00B102D3" w:rsidRDefault="00695D98" w:rsidP="006F16A0">
            <w:pPr>
              <w:spacing w:after="200"/>
            </w:pPr>
            <w:r w:rsidRPr="00B102D3">
              <w:t>$70 p/h</w:t>
            </w:r>
          </w:p>
        </w:tc>
        <w:tc>
          <w:tcPr>
            <w:tcW w:w="1559" w:type="dxa"/>
          </w:tcPr>
          <w:p w14:paraId="45119793" w14:textId="77777777" w:rsidR="00695D98" w:rsidRPr="00B102D3" w:rsidRDefault="00695D98" w:rsidP="006F16A0">
            <w:pPr>
              <w:spacing w:after="200"/>
            </w:pPr>
            <w:r w:rsidRPr="00B102D3">
              <w:t>373,929 hours</w:t>
            </w:r>
          </w:p>
        </w:tc>
      </w:tr>
      <w:tr w:rsidR="00695D98" w:rsidRPr="00B102D3" w14:paraId="523621FE" w14:textId="77777777" w:rsidTr="006F16A0">
        <w:trPr>
          <w:trHeight w:val="340"/>
          <w:jc w:val="center"/>
        </w:trPr>
        <w:tc>
          <w:tcPr>
            <w:tcW w:w="3004" w:type="dxa"/>
          </w:tcPr>
          <w:p w14:paraId="023F018C" w14:textId="77777777" w:rsidR="00695D98" w:rsidRPr="00B102D3" w:rsidRDefault="00695D98" w:rsidP="006F16A0">
            <w:pPr>
              <w:spacing w:after="200"/>
              <w:rPr>
                <w:b/>
              </w:rPr>
            </w:pPr>
            <w:r w:rsidRPr="00B102D3">
              <w:rPr>
                <w:b/>
              </w:rPr>
              <w:t xml:space="preserve">Minimum 10% </w:t>
            </w:r>
            <w:r>
              <w:rPr>
                <w:b/>
              </w:rPr>
              <w:t>requirement</w:t>
            </w:r>
          </w:p>
        </w:tc>
        <w:tc>
          <w:tcPr>
            <w:tcW w:w="992" w:type="dxa"/>
          </w:tcPr>
          <w:p w14:paraId="462B0CFC" w14:textId="77777777" w:rsidR="00695D98" w:rsidRPr="00B102D3" w:rsidRDefault="00695D98" w:rsidP="006F16A0">
            <w:pPr>
              <w:spacing w:after="200"/>
              <w:rPr>
                <w:b/>
              </w:rPr>
            </w:pPr>
            <w:r w:rsidRPr="00B102D3">
              <w:rPr>
                <w:b/>
              </w:rPr>
              <w:t>10%</w:t>
            </w:r>
          </w:p>
        </w:tc>
        <w:tc>
          <w:tcPr>
            <w:tcW w:w="1559" w:type="dxa"/>
          </w:tcPr>
          <w:p w14:paraId="7C9DF111" w14:textId="77777777" w:rsidR="00695D98" w:rsidRPr="00B102D3" w:rsidRDefault="00695D98" w:rsidP="006F16A0">
            <w:pPr>
              <w:spacing w:after="200"/>
              <w:rPr>
                <w:b/>
              </w:rPr>
            </w:pPr>
            <w:r w:rsidRPr="00B102D3">
              <w:rPr>
                <w:b/>
              </w:rPr>
              <w:t xml:space="preserve">37,392 hours </w:t>
            </w:r>
          </w:p>
        </w:tc>
      </w:tr>
    </w:tbl>
    <w:p w14:paraId="2BA6E515" w14:textId="77777777" w:rsidR="00695D98" w:rsidRPr="007400EE" w:rsidRDefault="00695D98" w:rsidP="00695D98">
      <w:pPr>
        <w:jc w:val="both"/>
        <w:rPr>
          <w:rFonts w:asciiTheme="minorHAnsi" w:hAnsiTheme="minorHAnsi" w:cstheme="minorHAnsi"/>
          <w:b/>
          <w:szCs w:val="18"/>
          <w:u w:val="single"/>
        </w:rPr>
      </w:pPr>
      <w:r w:rsidRPr="00012198">
        <w:rPr>
          <w:rFonts w:asciiTheme="minorHAnsi" w:hAnsiTheme="minorHAnsi" w:cstheme="minorHAnsi"/>
          <w:b/>
          <w:szCs w:val="18"/>
          <w:u w:val="single"/>
        </w:rPr>
        <w:t>Meeting the 10 per cent requirement</w:t>
      </w:r>
    </w:p>
    <w:p w14:paraId="3CAF26E1" w14:textId="77777777" w:rsidR="00695D98" w:rsidRPr="007400EE" w:rsidRDefault="00695D98" w:rsidP="00695D98">
      <w:pPr>
        <w:jc w:val="both"/>
        <w:rPr>
          <w:rFonts w:asciiTheme="minorHAnsi" w:hAnsiTheme="minorHAnsi" w:cstheme="minorHAnsi"/>
          <w:b/>
          <w:szCs w:val="18"/>
        </w:rPr>
      </w:pPr>
      <w:r w:rsidRPr="007400EE">
        <w:rPr>
          <w:rFonts w:asciiTheme="minorHAnsi" w:hAnsiTheme="minorHAnsi" w:cstheme="minorHAnsi"/>
          <w:b/>
          <w:szCs w:val="18"/>
        </w:rPr>
        <w:t xml:space="preserve">Who and what counts towards 10 per cent hours requirement? </w:t>
      </w:r>
    </w:p>
    <w:p w14:paraId="307D4117" w14:textId="5137FA09" w:rsidR="00695D98" w:rsidRPr="00030E30" w:rsidRDefault="00695D98" w:rsidP="00F303B6">
      <w:pPr>
        <w:numPr>
          <w:ilvl w:val="0"/>
          <w:numId w:val="21"/>
        </w:numPr>
        <w:spacing w:before="0"/>
        <w:jc w:val="both"/>
      </w:pPr>
      <w:r w:rsidRPr="00030E30">
        <w:t xml:space="preserve">The MPSG does not prescribe the breakdown of labour hour contributions from apprentices, trainees or cadets, or how it is to be applied across different contracts on a particular project. They can be used in any combination of hours. However, the Victorian apprentices, trainees or cadets that are used must reflect the existing occupational profile of the sector workforce, and bidders are to avoid reliance on any one group to achieve compliance where this is outside the industry or sector norm. </w:t>
      </w:r>
    </w:p>
    <w:p w14:paraId="626F796F" w14:textId="21414177" w:rsidR="00695D98" w:rsidRPr="00030E30" w:rsidRDefault="00695D98" w:rsidP="00F303B6">
      <w:pPr>
        <w:numPr>
          <w:ilvl w:val="0"/>
          <w:numId w:val="21"/>
        </w:numPr>
        <w:spacing w:before="0"/>
        <w:jc w:val="both"/>
      </w:pPr>
      <w:r w:rsidRPr="00030E30">
        <w:t xml:space="preserve">The contribution can include work hour contributions from either existing or new Victorian apprentices, Victorian trainees or cadets or combinations of these.     </w:t>
      </w:r>
    </w:p>
    <w:p w14:paraId="34483032" w14:textId="719CBA27" w:rsidR="00695D98" w:rsidRPr="00030E30" w:rsidRDefault="00695D98" w:rsidP="00F303B6">
      <w:pPr>
        <w:numPr>
          <w:ilvl w:val="0"/>
          <w:numId w:val="21"/>
        </w:numPr>
        <w:spacing w:before="0"/>
        <w:jc w:val="both"/>
      </w:pPr>
      <w:r w:rsidRPr="00030E30">
        <w:t>Only the hours spent working on the applying project or at offsite training can be counted towards the project’s 10 per cent requirement</w:t>
      </w:r>
      <w:r w:rsidR="00BB7079">
        <w:t>.</w:t>
      </w:r>
      <w:r w:rsidRPr="00030E30">
        <w:t xml:space="preserve"> For example, a full-time business administration trainee may work across a few projects, only spending an equivalent of two days working on the MPSG applicable project. Only 16 hours a week can be counted towards the requirement.</w:t>
      </w:r>
    </w:p>
    <w:p w14:paraId="1C6299C6" w14:textId="08EAD0F9" w:rsidR="00695D98" w:rsidRDefault="00695D98" w:rsidP="00030E30">
      <w:pPr>
        <w:numPr>
          <w:ilvl w:val="0"/>
          <w:numId w:val="21"/>
        </w:numPr>
        <w:spacing w:before="0"/>
        <w:jc w:val="both"/>
      </w:pPr>
      <w:r w:rsidRPr="00030E30">
        <w:t>Hours spent offsite for training and education can be counted towards the 10 per cent requirement. This allows the time apprentices, trainees and cadets spend away from the project at TAFE or university to still be counted. For example, a cadet working two days on the project with five contact hours at university, a total of 21 hours can be counted towards the hours requirement. However, if a cadet is on summer break from university and therefore not attending classes, no contact hours at university can be counted. Only training contact hours while concurrently working on the project can contribute toward the 10 per cent requirement.</w:t>
      </w:r>
    </w:p>
    <w:p w14:paraId="01139346" w14:textId="36E5AAD0" w:rsidR="00695D98" w:rsidRDefault="00695D98" w:rsidP="00030E30">
      <w:pPr>
        <w:numPr>
          <w:ilvl w:val="0"/>
          <w:numId w:val="21"/>
        </w:numPr>
        <w:spacing w:before="0"/>
        <w:jc w:val="both"/>
      </w:pPr>
      <w:r w:rsidRPr="00030E30">
        <w:t xml:space="preserve">Trainees and apprentices must be registered with the Victorian Registration and Qualification Authority. </w:t>
      </w:r>
    </w:p>
    <w:p w14:paraId="67059415" w14:textId="77777777" w:rsidR="00695D98" w:rsidRPr="007400EE" w:rsidRDefault="00695D98" w:rsidP="00695D98">
      <w:pPr>
        <w:jc w:val="both"/>
        <w:rPr>
          <w:rFonts w:asciiTheme="minorHAnsi" w:hAnsiTheme="minorHAnsi" w:cstheme="minorHAnsi"/>
          <w:b/>
          <w:szCs w:val="18"/>
        </w:rPr>
      </w:pPr>
      <w:r w:rsidRPr="007400EE">
        <w:rPr>
          <w:rFonts w:asciiTheme="minorHAnsi" w:hAnsiTheme="minorHAnsi" w:cstheme="minorHAnsi"/>
          <w:b/>
          <w:szCs w:val="18"/>
        </w:rPr>
        <w:t>Engaging new Apprentices, Trainees and Cadets</w:t>
      </w:r>
    </w:p>
    <w:p w14:paraId="40700D12" w14:textId="75470853" w:rsidR="00695D98" w:rsidRPr="00030E30" w:rsidRDefault="00695D98" w:rsidP="00030E30">
      <w:pPr>
        <w:numPr>
          <w:ilvl w:val="0"/>
          <w:numId w:val="21"/>
        </w:numPr>
        <w:spacing w:before="0"/>
        <w:jc w:val="both"/>
      </w:pPr>
      <w:r w:rsidRPr="00030E30">
        <w:t xml:space="preserve">Contributions </w:t>
      </w:r>
      <w:r w:rsidR="002A74A0">
        <w:t>to the MPSG</w:t>
      </w:r>
      <w:r w:rsidRPr="00030E30">
        <w:t xml:space="preserve"> may be from apprentices, trainees and cadets directly employed by the </w:t>
      </w:r>
      <w:r w:rsidR="00BB7079" w:rsidRPr="00030E30">
        <w:t>princip</w:t>
      </w:r>
      <w:r w:rsidR="00BB7079">
        <w:t>al</w:t>
      </w:r>
      <w:r w:rsidR="00BB7079" w:rsidRPr="00030E30">
        <w:t xml:space="preserve"> </w:t>
      </w:r>
      <w:r w:rsidRPr="00030E30">
        <w:t>contractor or subcontractors or indirectly employed through group training organisations (GTOs).</w:t>
      </w:r>
    </w:p>
    <w:p w14:paraId="430E0C8F" w14:textId="692683DD" w:rsidR="00695D98" w:rsidRPr="00030E30" w:rsidRDefault="00695D98" w:rsidP="00030E30">
      <w:pPr>
        <w:numPr>
          <w:ilvl w:val="0"/>
          <w:numId w:val="21"/>
        </w:numPr>
        <w:spacing w:before="0"/>
        <w:jc w:val="both"/>
      </w:pPr>
      <w:r w:rsidRPr="00030E30">
        <w:lastRenderedPageBreak/>
        <w:t>Bidders are encouraged to use Victorian apprentices, trainees or cadets drawn from groups who are generally under-represented in industry vocational training such as women, and/or who face barriers to vocational training or the workforce more generally, such as indigenous or older apprentices, trainees or cadets or those with a disability. A key resource to achieve this will be state and federal employment programs for helping long-term job seekers, such as Jobs Victoria.</w:t>
      </w:r>
    </w:p>
    <w:p w14:paraId="7444C50B" w14:textId="31FB6630" w:rsidR="00695D98" w:rsidRPr="002A74A0" w:rsidRDefault="00695D98" w:rsidP="002A74A0">
      <w:pPr>
        <w:numPr>
          <w:ilvl w:val="0"/>
          <w:numId w:val="21"/>
        </w:numPr>
        <w:spacing w:before="0"/>
        <w:jc w:val="both"/>
      </w:pPr>
      <w:r w:rsidRPr="00030E30">
        <w:t xml:space="preserve">Cadets combine formal tertiary training with practical work experience. Cadets are individuals enrolled in a recognised tertiary level organisation and who receive structured learning opportunities as part of their engagement to a Local Jobs First </w:t>
      </w:r>
      <w:r w:rsidR="00792D8C">
        <w:t>P</w:t>
      </w:r>
      <w:r w:rsidRPr="00030E30">
        <w:t>roject (e.g. cadets in architecture, quantity surveying, and engineering). Cadetships vary in length depending on the vocation but are generally 18 months to two years in length. A cadetship does not fall under a National Training Contract</w:t>
      </w:r>
      <w:r w:rsidR="00030E30">
        <w:t>.</w:t>
      </w:r>
    </w:p>
    <w:p w14:paraId="0D481D47" w14:textId="3305BC67" w:rsidR="00695D98" w:rsidRPr="0093585C" w:rsidRDefault="00695D98" w:rsidP="00695D98">
      <w:pPr>
        <w:spacing w:before="0" w:line="276" w:lineRule="auto"/>
        <w:jc w:val="both"/>
        <w:rPr>
          <w:rFonts w:asciiTheme="minorHAnsi" w:hAnsiTheme="minorHAnsi" w:cstheme="minorHAnsi"/>
          <w:b/>
          <w:sz w:val="20"/>
          <w:szCs w:val="18"/>
        </w:rPr>
      </w:pPr>
      <w:r w:rsidRPr="0093585C">
        <w:rPr>
          <w:rFonts w:asciiTheme="minorHAnsi" w:hAnsiTheme="minorHAnsi" w:cstheme="minorHAnsi"/>
          <w:b/>
          <w:sz w:val="20"/>
          <w:szCs w:val="18"/>
        </w:rPr>
        <w:t xml:space="preserve">Step 3 – </w:t>
      </w:r>
      <w:r w:rsidR="00BB7079">
        <w:rPr>
          <w:rFonts w:asciiTheme="minorHAnsi" w:hAnsiTheme="minorHAnsi" w:cstheme="minorHAnsi"/>
          <w:b/>
          <w:sz w:val="20"/>
          <w:szCs w:val="18"/>
        </w:rPr>
        <w:t>S</w:t>
      </w:r>
      <w:r w:rsidRPr="0093585C">
        <w:rPr>
          <w:rFonts w:asciiTheme="minorHAnsi" w:hAnsiTheme="minorHAnsi" w:cstheme="minorHAnsi"/>
          <w:b/>
          <w:sz w:val="20"/>
          <w:szCs w:val="18"/>
        </w:rPr>
        <w:t xml:space="preserve">ubmitting </w:t>
      </w:r>
      <w:r w:rsidR="000830CF">
        <w:rPr>
          <w:rFonts w:asciiTheme="minorHAnsi" w:hAnsiTheme="minorHAnsi" w:cstheme="minorHAnsi"/>
          <w:b/>
          <w:sz w:val="20"/>
          <w:szCs w:val="18"/>
        </w:rPr>
        <w:t xml:space="preserve">an </w:t>
      </w:r>
      <w:r w:rsidR="00530B8F">
        <w:rPr>
          <w:rFonts w:asciiTheme="minorHAnsi" w:hAnsiTheme="minorHAnsi" w:cstheme="minorHAnsi"/>
          <w:b/>
          <w:sz w:val="20"/>
          <w:szCs w:val="18"/>
        </w:rPr>
        <w:t>LIDP</w:t>
      </w:r>
      <w:r w:rsidR="00530B8F" w:rsidRPr="0093585C">
        <w:rPr>
          <w:rFonts w:asciiTheme="minorHAnsi" w:hAnsiTheme="minorHAnsi" w:cstheme="minorHAnsi"/>
          <w:b/>
          <w:sz w:val="20"/>
          <w:szCs w:val="18"/>
        </w:rPr>
        <w:t xml:space="preserve"> </w:t>
      </w:r>
      <w:r w:rsidRPr="0093585C">
        <w:rPr>
          <w:rFonts w:asciiTheme="minorHAnsi" w:hAnsiTheme="minorHAnsi" w:cstheme="minorHAnsi"/>
          <w:b/>
          <w:sz w:val="20"/>
          <w:szCs w:val="18"/>
        </w:rPr>
        <w:t xml:space="preserve">to </w:t>
      </w:r>
      <w:r w:rsidR="00C67102" w:rsidRPr="00530B8F">
        <w:rPr>
          <w:rFonts w:asciiTheme="minorHAnsi" w:hAnsiTheme="minorHAnsi" w:cstheme="minorHAnsi"/>
          <w:b/>
          <w:sz w:val="20"/>
          <w:szCs w:val="18"/>
        </w:rPr>
        <w:t xml:space="preserve">the </w:t>
      </w:r>
      <w:r w:rsidRPr="0093585C">
        <w:rPr>
          <w:rFonts w:asciiTheme="minorHAnsi" w:hAnsiTheme="minorHAnsi" w:cstheme="minorHAnsi"/>
          <w:b/>
          <w:sz w:val="20"/>
          <w:szCs w:val="18"/>
        </w:rPr>
        <w:t>ICN</w:t>
      </w:r>
    </w:p>
    <w:p w14:paraId="702FF4AD" w14:textId="7AC15C79" w:rsidR="00154DAD" w:rsidRPr="00154DAD" w:rsidRDefault="00154DAD" w:rsidP="00154DAD">
      <w:pPr>
        <w:numPr>
          <w:ilvl w:val="0"/>
          <w:numId w:val="21"/>
        </w:numPr>
        <w:spacing w:before="0"/>
        <w:jc w:val="both"/>
      </w:pPr>
      <w:r w:rsidRPr="00154DAD">
        <w:t xml:space="preserve">All fields within the online LIDP must be completed before it can be submitted. </w:t>
      </w:r>
    </w:p>
    <w:p w14:paraId="41A0E6AF" w14:textId="4710AE49" w:rsidR="00154DAD" w:rsidRPr="00154DAD" w:rsidRDefault="00154DAD" w:rsidP="00154DAD">
      <w:pPr>
        <w:numPr>
          <w:ilvl w:val="0"/>
          <w:numId w:val="21"/>
        </w:numPr>
        <w:spacing w:before="0"/>
        <w:jc w:val="both"/>
      </w:pPr>
      <w:r w:rsidRPr="00154DAD">
        <w:t xml:space="preserve">If you wish to submit </w:t>
      </w:r>
      <w:r w:rsidR="000830CF">
        <w:t>an LIDP</w:t>
      </w:r>
      <w:r w:rsidRPr="00154DAD">
        <w:t xml:space="preserve"> after the tender close date, contact the agency. </w:t>
      </w:r>
    </w:p>
    <w:p w14:paraId="32347ACF" w14:textId="791B7371" w:rsidR="00154DAD" w:rsidRPr="00154DAD" w:rsidRDefault="00154DAD" w:rsidP="00154DAD">
      <w:pPr>
        <w:numPr>
          <w:ilvl w:val="0"/>
          <w:numId w:val="21"/>
        </w:numPr>
        <w:spacing w:before="0"/>
        <w:jc w:val="both"/>
      </w:pPr>
      <w:r w:rsidRPr="00154DAD">
        <w:t xml:space="preserve">The agency will notify the ICN and all bidders on whether an extension has been allowed, and will advise on the revised due date for all LIDPs. The agency will then revise the timeline on the VMC as appropriate. </w:t>
      </w:r>
    </w:p>
    <w:p w14:paraId="4FD94713" w14:textId="13AD96D5" w:rsidR="00154DAD" w:rsidRPr="00154DAD" w:rsidRDefault="00154DAD" w:rsidP="00154DAD">
      <w:pPr>
        <w:numPr>
          <w:ilvl w:val="0"/>
          <w:numId w:val="21"/>
        </w:numPr>
        <w:spacing w:before="0"/>
        <w:jc w:val="both"/>
      </w:pPr>
      <w:r w:rsidRPr="00154DAD">
        <w:t xml:space="preserve">Bidders should allow time for </w:t>
      </w:r>
      <w:r w:rsidR="00905615" w:rsidRPr="008324B1">
        <w:t xml:space="preserve">the </w:t>
      </w:r>
      <w:r w:rsidRPr="00154DAD">
        <w:t xml:space="preserve">ICN to acknowledge the LIDP. </w:t>
      </w:r>
    </w:p>
    <w:p w14:paraId="56AEC651" w14:textId="775B2112" w:rsidR="00154DAD" w:rsidRPr="00154DAD" w:rsidRDefault="00C67102" w:rsidP="00154DAD">
      <w:pPr>
        <w:numPr>
          <w:ilvl w:val="0"/>
          <w:numId w:val="21"/>
        </w:numPr>
        <w:spacing w:before="0"/>
        <w:jc w:val="both"/>
      </w:pPr>
      <w:r w:rsidRPr="008324B1">
        <w:t xml:space="preserve">The </w:t>
      </w:r>
      <w:r w:rsidR="00154DAD" w:rsidRPr="00154DAD">
        <w:t>ICN will review each bidder’s LIDP and consider completeness, compliance and of the information.</w:t>
      </w:r>
    </w:p>
    <w:p w14:paraId="13A143AF" w14:textId="47D1E0CA" w:rsidR="00154DAD" w:rsidRPr="00154DAD" w:rsidRDefault="00C67102" w:rsidP="00154DAD">
      <w:pPr>
        <w:numPr>
          <w:ilvl w:val="0"/>
          <w:numId w:val="21"/>
        </w:numPr>
        <w:spacing w:before="0"/>
        <w:jc w:val="both"/>
      </w:pPr>
      <w:r w:rsidRPr="008324B1">
        <w:t xml:space="preserve">The </w:t>
      </w:r>
      <w:r w:rsidR="00154DAD" w:rsidRPr="00154DAD">
        <w:t xml:space="preserve">ICN will issue an </w:t>
      </w:r>
      <w:r w:rsidR="0055443C">
        <w:t>Acknowledgement Letter</w:t>
      </w:r>
      <w:r w:rsidR="00154DAD" w:rsidRPr="00154DAD">
        <w:t xml:space="preserve"> to respective bidders that have submitted a complete and compliant LIDP. This can take two to three working days minimum.</w:t>
      </w:r>
    </w:p>
    <w:p w14:paraId="2CAE4374" w14:textId="635DB46E" w:rsidR="00154DAD" w:rsidRPr="00154DAD" w:rsidRDefault="00C67102" w:rsidP="00154DAD">
      <w:pPr>
        <w:numPr>
          <w:ilvl w:val="0"/>
          <w:numId w:val="21"/>
        </w:numPr>
        <w:spacing w:before="0"/>
        <w:jc w:val="both"/>
      </w:pPr>
      <w:r w:rsidRPr="00EA57FF">
        <w:t xml:space="preserve">The </w:t>
      </w:r>
      <w:r w:rsidR="00154DAD" w:rsidRPr="00EA57FF">
        <w:t>ICN</w:t>
      </w:r>
      <w:r w:rsidR="00154DAD" w:rsidRPr="00154DAD">
        <w:t xml:space="preserve"> will only issue the </w:t>
      </w:r>
      <w:r w:rsidR="0055443C">
        <w:t>Acknowledgement Letter</w:t>
      </w:r>
      <w:r w:rsidR="00154DAD" w:rsidRPr="00154DAD">
        <w:t xml:space="preserve"> if:</w:t>
      </w:r>
    </w:p>
    <w:p w14:paraId="345E796E" w14:textId="77777777" w:rsidR="00154DAD" w:rsidRPr="00154DAD" w:rsidRDefault="00154DAD" w:rsidP="00154DAD">
      <w:pPr>
        <w:numPr>
          <w:ilvl w:val="0"/>
          <w:numId w:val="40"/>
        </w:numPr>
        <w:spacing w:before="0"/>
        <w:jc w:val="both"/>
      </w:pPr>
      <w:r w:rsidRPr="00154DAD">
        <w:t>all sections of the LIDP are fully complete; and</w:t>
      </w:r>
    </w:p>
    <w:p w14:paraId="276544F5" w14:textId="04CFBCEF" w:rsidR="00154DAD" w:rsidRPr="00154DAD" w:rsidRDefault="00154DAD" w:rsidP="00154DAD">
      <w:pPr>
        <w:numPr>
          <w:ilvl w:val="0"/>
          <w:numId w:val="40"/>
        </w:numPr>
        <w:spacing w:before="0"/>
        <w:jc w:val="both"/>
      </w:pPr>
      <w:r w:rsidRPr="00154DAD">
        <w:t>the LIDP has been submitted within the specified tender timeframe</w:t>
      </w:r>
      <w:r w:rsidR="00EA57FF">
        <w:t>;</w:t>
      </w:r>
    </w:p>
    <w:p w14:paraId="7313363B" w14:textId="5BE0C9DB" w:rsidR="00154DAD" w:rsidRPr="00154DAD" w:rsidRDefault="00154DAD" w:rsidP="00154DAD">
      <w:pPr>
        <w:numPr>
          <w:ilvl w:val="0"/>
          <w:numId w:val="40"/>
        </w:numPr>
        <w:spacing w:before="0"/>
        <w:jc w:val="both"/>
      </w:pPr>
      <w:r w:rsidRPr="00154DAD">
        <w:t>the information provided in the LIDP can be assessed;</w:t>
      </w:r>
      <w:r w:rsidR="00BB7079">
        <w:t xml:space="preserve"> and</w:t>
      </w:r>
    </w:p>
    <w:p w14:paraId="43145D5C" w14:textId="77777777" w:rsidR="00154DAD" w:rsidRPr="00154DAD" w:rsidRDefault="00154DAD" w:rsidP="00A71749">
      <w:pPr>
        <w:numPr>
          <w:ilvl w:val="0"/>
          <w:numId w:val="40"/>
        </w:numPr>
        <w:spacing w:before="0"/>
        <w:jc w:val="both"/>
      </w:pPr>
      <w:r w:rsidRPr="00154DAD">
        <w:t>the Statutory Declaration and all other conditions are agreed, including monitoring, reporting, auditing and compliance.</w:t>
      </w:r>
    </w:p>
    <w:p w14:paraId="7E401C26" w14:textId="2A646CD2" w:rsidR="00154DAD" w:rsidRPr="00154DAD" w:rsidRDefault="00C67102" w:rsidP="00154DAD">
      <w:pPr>
        <w:numPr>
          <w:ilvl w:val="0"/>
          <w:numId w:val="21"/>
        </w:numPr>
        <w:spacing w:before="0"/>
        <w:jc w:val="both"/>
      </w:pPr>
      <w:r w:rsidRPr="008F5F94">
        <w:t xml:space="preserve">The </w:t>
      </w:r>
      <w:r w:rsidR="00154DAD" w:rsidRPr="00154DAD">
        <w:t xml:space="preserve">ICN will also issue the Agency with </w:t>
      </w:r>
      <w:r w:rsidR="000830CF">
        <w:t>an LJF</w:t>
      </w:r>
      <w:r w:rsidR="00154DAD" w:rsidRPr="00154DAD">
        <w:t xml:space="preserve"> risk evaluation report, which assesses the achievability of the commitments made in each of the LIDPs submitted by all bidders and provides a risk rating of either high, medium or low. This risk rating reflects </w:t>
      </w:r>
      <w:r w:rsidR="00905615" w:rsidRPr="008F5F94">
        <w:t xml:space="preserve">the </w:t>
      </w:r>
      <w:r w:rsidR="00154DAD" w:rsidRPr="00154DAD">
        <w:t>ICN’s expert opinion on how likely you are to meet the commitments you have made in your LIDP, and allows for agencies to provide a full and fair opportunity to bidders. It is therefore very important to fill out the LIDP correctly and honestly.</w:t>
      </w:r>
    </w:p>
    <w:p w14:paraId="173E6E52" w14:textId="08D5C0E3" w:rsidR="00154DAD" w:rsidRPr="00154DAD" w:rsidRDefault="00154DAD" w:rsidP="00154DAD">
      <w:pPr>
        <w:numPr>
          <w:ilvl w:val="0"/>
          <w:numId w:val="21"/>
        </w:numPr>
        <w:spacing w:before="0"/>
        <w:jc w:val="both"/>
      </w:pPr>
      <w:r w:rsidRPr="00154DAD">
        <w:t xml:space="preserve">The ICN will inform a bidder and the agency in writing if the bidder’s LIDP has been deemed non-compliant due to incompleteness or inaccessible information being provided. When this happens, a non-compliance letter will be issued instead. </w:t>
      </w:r>
    </w:p>
    <w:p w14:paraId="117D6EAE" w14:textId="5A7FF1E6" w:rsidR="00154DAD" w:rsidRPr="00154DAD" w:rsidRDefault="00154DAD" w:rsidP="00154DAD">
      <w:pPr>
        <w:numPr>
          <w:ilvl w:val="0"/>
          <w:numId w:val="21"/>
        </w:numPr>
        <w:spacing w:before="0"/>
        <w:jc w:val="both"/>
      </w:pPr>
      <w:r w:rsidRPr="00154DAD">
        <w:t xml:space="preserve">Agencies may request bidders re-submit an LIDP in order to rectify mistakes or clarify any points. If this changes the nature of the LIDP, then it must be revised and resubmitted to </w:t>
      </w:r>
      <w:r w:rsidR="00905615" w:rsidRPr="008F5F94">
        <w:t xml:space="preserve">the </w:t>
      </w:r>
      <w:r w:rsidRPr="00154DAD">
        <w:t>ICN for acknowledg</w:t>
      </w:r>
      <w:r w:rsidR="00E425F1">
        <w:t>e</w:t>
      </w:r>
      <w:r w:rsidRPr="00154DAD">
        <w:t xml:space="preserve">ment through the VMC, and subsequent reassessment by the ICN and agency. </w:t>
      </w:r>
    </w:p>
    <w:p w14:paraId="7732A7D5" w14:textId="64CA592F" w:rsidR="00154DAD" w:rsidRDefault="00154DAD" w:rsidP="00B407F1">
      <w:pPr>
        <w:numPr>
          <w:ilvl w:val="0"/>
          <w:numId w:val="21"/>
        </w:numPr>
        <w:spacing w:before="0"/>
        <w:jc w:val="both"/>
      </w:pPr>
      <w:r w:rsidRPr="00154DAD">
        <w:t xml:space="preserve">The agency’s project manager must notify the ICN that a bidder is going to revise their LIDP. Once a plan is re-submitted, it will go through the same process for an </w:t>
      </w:r>
      <w:r w:rsidR="0055443C">
        <w:t>Acknowledgement Letter</w:t>
      </w:r>
      <w:r w:rsidRPr="00154DAD">
        <w:t xml:space="preserve"> and evaluation.</w:t>
      </w:r>
    </w:p>
    <w:p w14:paraId="0B0AC773" w14:textId="558E3862" w:rsidR="00695D98" w:rsidRPr="00D40534" w:rsidRDefault="00695D98" w:rsidP="00695D98">
      <w:pPr>
        <w:spacing w:before="0" w:line="276" w:lineRule="auto"/>
        <w:jc w:val="both"/>
        <w:rPr>
          <w:rFonts w:asciiTheme="minorHAnsi" w:hAnsiTheme="minorHAnsi" w:cstheme="minorHAnsi"/>
          <w:b/>
          <w:sz w:val="20"/>
          <w:szCs w:val="18"/>
          <w:lang w:val="en-US"/>
        </w:rPr>
      </w:pPr>
      <w:r w:rsidRPr="00D40534">
        <w:rPr>
          <w:rFonts w:asciiTheme="minorHAnsi" w:hAnsiTheme="minorHAnsi" w:cstheme="minorHAnsi"/>
          <w:b/>
          <w:sz w:val="20"/>
          <w:szCs w:val="18"/>
          <w:lang w:val="en-US"/>
        </w:rPr>
        <w:t xml:space="preserve">Step 4 – </w:t>
      </w:r>
      <w:r w:rsidR="00BB7079">
        <w:rPr>
          <w:rFonts w:asciiTheme="minorHAnsi" w:hAnsiTheme="minorHAnsi" w:cstheme="minorHAnsi"/>
          <w:b/>
          <w:sz w:val="20"/>
          <w:szCs w:val="18"/>
          <w:lang w:val="en-US"/>
        </w:rPr>
        <w:t>S</w:t>
      </w:r>
      <w:r w:rsidRPr="00D40534">
        <w:rPr>
          <w:rFonts w:asciiTheme="minorHAnsi" w:hAnsiTheme="minorHAnsi" w:cstheme="minorHAnsi"/>
          <w:b/>
          <w:sz w:val="20"/>
          <w:szCs w:val="18"/>
          <w:lang w:val="en-US"/>
        </w:rPr>
        <w:t xml:space="preserve">ubmit LIDP and </w:t>
      </w:r>
      <w:r w:rsidR="0055443C">
        <w:rPr>
          <w:rFonts w:asciiTheme="minorHAnsi" w:hAnsiTheme="minorHAnsi" w:cstheme="minorHAnsi"/>
          <w:b/>
          <w:sz w:val="20"/>
          <w:szCs w:val="18"/>
          <w:lang w:val="en-US"/>
        </w:rPr>
        <w:t>Acknowledgement Letter</w:t>
      </w:r>
      <w:r w:rsidRPr="00D40534">
        <w:rPr>
          <w:rFonts w:asciiTheme="minorHAnsi" w:hAnsiTheme="minorHAnsi" w:cstheme="minorHAnsi"/>
          <w:b/>
          <w:sz w:val="20"/>
          <w:szCs w:val="18"/>
          <w:lang w:val="en-US"/>
        </w:rPr>
        <w:t xml:space="preserve"> to the Agency </w:t>
      </w:r>
    </w:p>
    <w:p w14:paraId="37924F89" w14:textId="7E6AFE3D" w:rsidR="00695D98" w:rsidRPr="00030E30" w:rsidRDefault="00154DAD" w:rsidP="00030E30">
      <w:pPr>
        <w:numPr>
          <w:ilvl w:val="0"/>
          <w:numId w:val="21"/>
        </w:numPr>
        <w:spacing w:before="0"/>
        <w:jc w:val="both"/>
      </w:pPr>
      <w:r>
        <w:t xml:space="preserve">Bidders must submit their LIDP and </w:t>
      </w:r>
      <w:r w:rsidR="0055443C">
        <w:t>Acknowledgement Letter</w:t>
      </w:r>
      <w:r>
        <w:t xml:space="preserve"> to the Agency. </w:t>
      </w:r>
    </w:p>
    <w:p w14:paraId="7E42BFDB" w14:textId="79ACAA11" w:rsidR="00695D98" w:rsidRPr="00030E30" w:rsidRDefault="00695D98" w:rsidP="00030E30">
      <w:pPr>
        <w:numPr>
          <w:ilvl w:val="0"/>
          <w:numId w:val="21"/>
        </w:numPr>
        <w:spacing w:before="0"/>
        <w:jc w:val="both"/>
      </w:pPr>
      <w:r w:rsidRPr="00030E30">
        <w:t xml:space="preserve">The LIDP and </w:t>
      </w:r>
      <w:r w:rsidR="0055443C">
        <w:t>Acknowledgement Letter</w:t>
      </w:r>
      <w:r w:rsidRPr="00030E30">
        <w:t xml:space="preserve"> may be submitted in hard copy or electronically to the tender evaluation panel. </w:t>
      </w:r>
    </w:p>
    <w:p w14:paraId="61C72075" w14:textId="77777777" w:rsidR="00695D98" w:rsidRPr="00030E30" w:rsidRDefault="00695D98" w:rsidP="00030E30">
      <w:pPr>
        <w:numPr>
          <w:ilvl w:val="0"/>
          <w:numId w:val="21"/>
        </w:numPr>
        <w:spacing w:before="0"/>
        <w:jc w:val="both"/>
      </w:pPr>
      <w:r w:rsidRPr="00030E30">
        <w:lastRenderedPageBreak/>
        <w:t xml:space="preserve">Agencies will apply a ‘risk discount’ in their assessment of your bid. If you get a high risk, you will automatically score a zero for the Local Jobs First weightings. If you get a medium risk, you may lose two points against the weightings. It therefore very important to get the right balance between committing to local content and jobs, but also being realistic in your assessment.  </w:t>
      </w:r>
    </w:p>
    <w:p w14:paraId="2F3508A3" w14:textId="51D7604E" w:rsidR="00695D98" w:rsidRDefault="00695D98" w:rsidP="00030E30">
      <w:pPr>
        <w:numPr>
          <w:ilvl w:val="0"/>
          <w:numId w:val="21"/>
        </w:numPr>
        <w:spacing w:before="0"/>
        <w:jc w:val="both"/>
      </w:pPr>
      <w:r w:rsidRPr="00030E30">
        <w:t xml:space="preserve">Agencies will use your LIDP and the ICN’s </w:t>
      </w:r>
      <w:r w:rsidR="00BB1FB1">
        <w:rPr>
          <w:rFonts w:cs="Arial"/>
          <w:szCs w:val="18"/>
        </w:rPr>
        <w:t>risk evaluation report</w:t>
      </w:r>
      <w:r w:rsidR="00BB1FB1" w:rsidRPr="00A31BA5">
        <w:rPr>
          <w:rFonts w:cs="Arial"/>
          <w:szCs w:val="18"/>
        </w:rPr>
        <w:t xml:space="preserve"> </w:t>
      </w:r>
      <w:r w:rsidRPr="00030E30">
        <w:t>to establish your score against the Local Jobs First weightings – 10 per cent on your jobs outcomes, and 10 per cent on your industry development outcomes. The other 80 per cent will be on the other requirements the agency are taking into consideration on the specific procurement.</w:t>
      </w:r>
      <w:r w:rsidR="006C6B66">
        <w:t xml:space="preserve"> </w:t>
      </w:r>
    </w:p>
    <w:p w14:paraId="0231F64C" w14:textId="708BC90E" w:rsidR="001162DD" w:rsidRDefault="00A22BC5" w:rsidP="007D05D6">
      <w:pPr>
        <w:numPr>
          <w:ilvl w:val="0"/>
          <w:numId w:val="21"/>
        </w:numPr>
        <w:spacing w:before="0"/>
        <w:jc w:val="both"/>
      </w:pPr>
      <w:r>
        <w:t xml:space="preserve">For Strategic Projects, </w:t>
      </w:r>
      <w:r w:rsidR="007D05D6">
        <w:t>agencies</w:t>
      </w:r>
      <w:r>
        <w:t xml:space="preserve"> may consider: </w:t>
      </w:r>
    </w:p>
    <w:p w14:paraId="2EA90515" w14:textId="01B40C30" w:rsidR="001162DD" w:rsidRDefault="001162DD" w:rsidP="007D05D6">
      <w:pPr>
        <w:pStyle w:val="ListParagraph"/>
        <w:numPr>
          <w:ilvl w:val="0"/>
          <w:numId w:val="29"/>
        </w:numPr>
        <w:jc w:val="both"/>
        <w:rPr>
          <w:rFonts w:asciiTheme="minorHAnsi" w:hAnsiTheme="minorHAnsi" w:cstheme="minorHAnsi"/>
          <w:sz w:val="18"/>
          <w:szCs w:val="18"/>
        </w:rPr>
      </w:pPr>
      <w:r w:rsidRPr="007D05D6">
        <w:rPr>
          <w:rFonts w:asciiTheme="minorHAnsi" w:hAnsiTheme="minorHAnsi" w:cstheme="minorHAnsi"/>
          <w:sz w:val="18"/>
          <w:szCs w:val="18"/>
        </w:rPr>
        <w:t xml:space="preserve">whether the bidder Passes or Fails the minimum threshold test: A bid should be designated either a PASS or a FAIL rating based on whether the bid meets the minimum local content threshold set by the </w:t>
      </w:r>
      <w:r w:rsidR="002A3131">
        <w:rPr>
          <w:rFonts w:asciiTheme="minorHAnsi" w:hAnsiTheme="minorHAnsi" w:cstheme="minorHAnsi"/>
          <w:sz w:val="18"/>
          <w:szCs w:val="18"/>
        </w:rPr>
        <w:t>m</w:t>
      </w:r>
      <w:r w:rsidRPr="007D05D6">
        <w:rPr>
          <w:rFonts w:asciiTheme="minorHAnsi" w:hAnsiTheme="minorHAnsi" w:cstheme="minorHAnsi"/>
          <w:sz w:val="18"/>
          <w:szCs w:val="18"/>
        </w:rPr>
        <w:t>inister</w:t>
      </w:r>
      <w:r w:rsidR="002A3131">
        <w:rPr>
          <w:rFonts w:asciiTheme="minorHAnsi" w:hAnsiTheme="minorHAnsi" w:cstheme="minorHAnsi"/>
          <w:sz w:val="18"/>
          <w:szCs w:val="18"/>
        </w:rPr>
        <w:t xml:space="preserve"> </w:t>
      </w:r>
    </w:p>
    <w:p w14:paraId="73443812" w14:textId="77777777" w:rsidR="002A3131" w:rsidRPr="007D05D6" w:rsidRDefault="002A3131" w:rsidP="002A3131">
      <w:pPr>
        <w:pStyle w:val="ListParagraph"/>
        <w:jc w:val="both"/>
        <w:rPr>
          <w:rFonts w:asciiTheme="minorHAnsi" w:hAnsiTheme="minorHAnsi" w:cstheme="minorHAnsi"/>
          <w:sz w:val="18"/>
          <w:szCs w:val="18"/>
        </w:rPr>
      </w:pPr>
    </w:p>
    <w:p w14:paraId="2534B1F9" w14:textId="0B05E4F8" w:rsidR="001162DD" w:rsidRDefault="002A3131" w:rsidP="001162DD">
      <w:pPr>
        <w:pStyle w:val="ListParagraph"/>
        <w:numPr>
          <w:ilvl w:val="0"/>
          <w:numId w:val="28"/>
        </w:numPr>
        <w:jc w:val="both"/>
        <w:rPr>
          <w:rFonts w:asciiTheme="minorHAnsi" w:hAnsiTheme="minorHAnsi" w:cstheme="minorHAnsi"/>
          <w:sz w:val="18"/>
          <w:szCs w:val="18"/>
        </w:rPr>
      </w:pPr>
      <w:r>
        <w:rPr>
          <w:rFonts w:asciiTheme="minorHAnsi" w:hAnsiTheme="minorHAnsi" w:cstheme="minorHAnsi"/>
          <w:sz w:val="18"/>
          <w:szCs w:val="18"/>
        </w:rPr>
        <w:t>a</w:t>
      </w:r>
      <w:r w:rsidR="001162DD" w:rsidRPr="007D05D6">
        <w:rPr>
          <w:rFonts w:asciiTheme="minorHAnsi" w:hAnsiTheme="minorHAnsi" w:cstheme="minorHAnsi"/>
          <w:sz w:val="18"/>
          <w:szCs w:val="18"/>
        </w:rPr>
        <w:t>llocate 10%</w:t>
      </w:r>
      <w:r w:rsidR="007D05D6">
        <w:rPr>
          <w:rFonts w:asciiTheme="minorHAnsi" w:hAnsiTheme="minorHAnsi" w:cstheme="minorHAnsi"/>
          <w:sz w:val="18"/>
          <w:szCs w:val="18"/>
        </w:rPr>
        <w:t xml:space="preserve"> the</w:t>
      </w:r>
      <w:r w:rsidR="001162DD" w:rsidRPr="007D05D6">
        <w:rPr>
          <w:rFonts w:asciiTheme="minorHAnsi" w:hAnsiTheme="minorHAnsi" w:cstheme="minorHAnsi"/>
          <w:sz w:val="18"/>
          <w:szCs w:val="18"/>
        </w:rPr>
        <w:t xml:space="preserve"> </w:t>
      </w:r>
      <w:r w:rsidR="007D05D6">
        <w:rPr>
          <w:rFonts w:asciiTheme="minorHAnsi" w:hAnsiTheme="minorHAnsi" w:cstheme="minorHAnsi"/>
          <w:sz w:val="18"/>
          <w:szCs w:val="18"/>
        </w:rPr>
        <w:t>for industry development</w:t>
      </w:r>
      <w:r w:rsidR="001162DD" w:rsidRPr="007D05D6">
        <w:rPr>
          <w:rFonts w:asciiTheme="minorHAnsi" w:hAnsiTheme="minorHAnsi" w:cstheme="minorHAnsi"/>
          <w:sz w:val="18"/>
          <w:szCs w:val="18"/>
        </w:rPr>
        <w:t xml:space="preserve"> </w:t>
      </w:r>
      <w:r w:rsidR="007D05D6">
        <w:rPr>
          <w:rFonts w:asciiTheme="minorHAnsi" w:hAnsiTheme="minorHAnsi" w:cstheme="minorHAnsi"/>
          <w:sz w:val="18"/>
          <w:szCs w:val="18"/>
        </w:rPr>
        <w:t>based</w:t>
      </w:r>
      <w:r w:rsidR="001162DD" w:rsidRPr="007D05D6">
        <w:rPr>
          <w:rFonts w:asciiTheme="minorHAnsi" w:hAnsiTheme="minorHAnsi" w:cstheme="minorHAnsi"/>
          <w:sz w:val="18"/>
          <w:szCs w:val="18"/>
        </w:rPr>
        <w:t xml:space="preserve"> assessment of LID</w:t>
      </w:r>
      <w:r w:rsidR="00530B8F">
        <w:rPr>
          <w:rFonts w:asciiTheme="minorHAnsi" w:hAnsiTheme="minorHAnsi" w:cstheme="minorHAnsi"/>
          <w:sz w:val="18"/>
          <w:szCs w:val="18"/>
        </w:rPr>
        <w:t>Ps</w:t>
      </w:r>
      <w:r w:rsidR="001162DD" w:rsidRPr="007D05D6">
        <w:rPr>
          <w:rFonts w:asciiTheme="minorHAnsi" w:hAnsiTheme="minorHAnsi" w:cstheme="minorHAnsi"/>
          <w:sz w:val="18"/>
          <w:szCs w:val="18"/>
        </w:rPr>
        <w:t>: For example, for a bid evaluation where a maximum of 100 points can be earned, 10 points are allocated to the evaluation of industry development outcomes</w:t>
      </w:r>
    </w:p>
    <w:p w14:paraId="7C2DBCE1" w14:textId="77777777" w:rsidR="002A3131" w:rsidRPr="007D05D6" w:rsidRDefault="002A3131" w:rsidP="002A3131">
      <w:pPr>
        <w:pStyle w:val="ListParagraph"/>
        <w:jc w:val="both"/>
        <w:rPr>
          <w:rFonts w:asciiTheme="minorHAnsi" w:hAnsiTheme="minorHAnsi" w:cstheme="minorHAnsi"/>
          <w:sz w:val="18"/>
          <w:szCs w:val="18"/>
        </w:rPr>
      </w:pPr>
    </w:p>
    <w:p w14:paraId="3E593A4D" w14:textId="1BDCEE34" w:rsidR="002A3131" w:rsidRDefault="002A3131" w:rsidP="002A3131">
      <w:pPr>
        <w:pStyle w:val="ListParagraph"/>
        <w:numPr>
          <w:ilvl w:val="0"/>
          <w:numId w:val="28"/>
        </w:numPr>
        <w:jc w:val="both"/>
        <w:rPr>
          <w:rFonts w:asciiTheme="minorHAnsi" w:hAnsiTheme="minorHAnsi" w:cstheme="minorHAnsi"/>
          <w:sz w:val="18"/>
          <w:szCs w:val="18"/>
        </w:rPr>
      </w:pPr>
      <w:r>
        <w:rPr>
          <w:rFonts w:asciiTheme="minorHAnsi" w:hAnsiTheme="minorHAnsi" w:cstheme="minorHAnsi"/>
          <w:sz w:val="18"/>
          <w:szCs w:val="18"/>
        </w:rPr>
        <w:t>c</w:t>
      </w:r>
      <w:r w:rsidR="001162DD" w:rsidRPr="007D05D6">
        <w:rPr>
          <w:rFonts w:asciiTheme="minorHAnsi" w:hAnsiTheme="minorHAnsi" w:cstheme="minorHAnsi"/>
          <w:sz w:val="18"/>
          <w:szCs w:val="18"/>
        </w:rPr>
        <w:t>alculate the ‘VALUE-ADD’ score if the bid passes the minimum threshold test</w:t>
      </w:r>
      <w:r w:rsidR="007D05D6" w:rsidRPr="007D05D6">
        <w:rPr>
          <w:rFonts w:asciiTheme="minorHAnsi" w:hAnsiTheme="minorHAnsi" w:cstheme="minorHAnsi"/>
          <w:sz w:val="18"/>
          <w:szCs w:val="18"/>
        </w:rPr>
        <w:t xml:space="preserve">, based on how </w:t>
      </w:r>
      <w:r w:rsidR="007D05D6">
        <w:rPr>
          <w:rFonts w:asciiTheme="minorHAnsi" w:hAnsiTheme="minorHAnsi" w:cstheme="minorHAnsi"/>
          <w:sz w:val="18"/>
          <w:szCs w:val="18"/>
        </w:rPr>
        <w:t>h</w:t>
      </w:r>
      <w:r w:rsidR="007D05D6" w:rsidRPr="007D05D6">
        <w:rPr>
          <w:rFonts w:asciiTheme="minorHAnsi" w:hAnsiTheme="minorHAnsi" w:cstheme="minorHAnsi"/>
          <w:sz w:val="18"/>
          <w:szCs w:val="18"/>
        </w:rPr>
        <w:t>igh the bidder’s committed local content is against the minimum set by the Minister</w:t>
      </w:r>
      <w:r>
        <w:rPr>
          <w:rFonts w:asciiTheme="minorHAnsi" w:hAnsiTheme="minorHAnsi" w:cstheme="minorHAnsi"/>
          <w:sz w:val="18"/>
          <w:szCs w:val="18"/>
        </w:rPr>
        <w:t xml:space="preserve"> </w:t>
      </w:r>
    </w:p>
    <w:p w14:paraId="05AAF857" w14:textId="77777777" w:rsidR="002A3131" w:rsidRPr="002A3131" w:rsidRDefault="002A3131" w:rsidP="002A3131">
      <w:pPr>
        <w:pStyle w:val="ListParagraph"/>
        <w:jc w:val="both"/>
        <w:rPr>
          <w:rFonts w:asciiTheme="minorHAnsi" w:hAnsiTheme="minorHAnsi" w:cstheme="minorHAnsi"/>
          <w:sz w:val="18"/>
          <w:szCs w:val="18"/>
        </w:rPr>
      </w:pPr>
    </w:p>
    <w:p w14:paraId="209930C8" w14:textId="15B794BA" w:rsidR="00695D98" w:rsidRDefault="002A3131" w:rsidP="007D05D6">
      <w:pPr>
        <w:pStyle w:val="ListParagraph"/>
        <w:numPr>
          <w:ilvl w:val="0"/>
          <w:numId w:val="28"/>
        </w:numPr>
        <w:jc w:val="both"/>
        <w:rPr>
          <w:rFonts w:asciiTheme="minorHAnsi" w:hAnsiTheme="minorHAnsi" w:cstheme="minorHAnsi"/>
          <w:sz w:val="18"/>
          <w:szCs w:val="18"/>
        </w:rPr>
      </w:pPr>
      <w:r>
        <w:rPr>
          <w:rFonts w:asciiTheme="minorHAnsi" w:hAnsiTheme="minorHAnsi" w:cstheme="minorHAnsi"/>
          <w:sz w:val="18"/>
          <w:szCs w:val="18"/>
        </w:rPr>
        <w:t>f</w:t>
      </w:r>
      <w:r w:rsidR="00695D98" w:rsidRPr="007D05D6">
        <w:rPr>
          <w:rFonts w:asciiTheme="minorHAnsi" w:hAnsiTheme="minorHAnsi" w:cstheme="minorHAnsi"/>
          <w:sz w:val="18"/>
          <w:szCs w:val="18"/>
        </w:rPr>
        <w:t>or the 10 per cent for jobs outcomes, 5 per cent will be weighted specifically on your commitments to the MPSG as outlined in the LIDP</w:t>
      </w:r>
      <w:r w:rsidR="007D05D6" w:rsidRPr="007D05D6">
        <w:rPr>
          <w:rFonts w:asciiTheme="minorHAnsi" w:hAnsiTheme="minorHAnsi" w:cstheme="minorHAnsi"/>
          <w:sz w:val="18"/>
          <w:szCs w:val="18"/>
        </w:rPr>
        <w:t>, if the MPSG applies</w:t>
      </w:r>
      <w:r w:rsidR="00695D98" w:rsidRPr="007D05D6">
        <w:rPr>
          <w:rFonts w:asciiTheme="minorHAnsi" w:hAnsiTheme="minorHAnsi" w:cstheme="minorHAnsi"/>
          <w:sz w:val="18"/>
          <w:szCs w:val="18"/>
        </w:rPr>
        <w:t xml:space="preserve">. The agency will assess your MPSG commitments, not the ICN. </w:t>
      </w:r>
    </w:p>
    <w:p w14:paraId="09E4671D" w14:textId="77777777" w:rsidR="007D05D6" w:rsidRPr="007D05D6" w:rsidRDefault="007D05D6" w:rsidP="007D05D6">
      <w:pPr>
        <w:pStyle w:val="ListParagraph"/>
        <w:jc w:val="both"/>
        <w:rPr>
          <w:rFonts w:asciiTheme="minorHAnsi" w:hAnsiTheme="minorHAnsi" w:cstheme="minorHAnsi"/>
          <w:sz w:val="18"/>
          <w:szCs w:val="18"/>
        </w:rPr>
      </w:pPr>
    </w:p>
    <w:p w14:paraId="2FF11AC9" w14:textId="77777777" w:rsidR="00695D98" w:rsidRPr="00030E30" w:rsidRDefault="00695D98" w:rsidP="00030E30">
      <w:pPr>
        <w:numPr>
          <w:ilvl w:val="0"/>
          <w:numId w:val="21"/>
        </w:numPr>
        <w:spacing w:before="0"/>
        <w:jc w:val="both"/>
      </w:pPr>
      <w:r w:rsidRPr="00030E30">
        <w:t xml:space="preserve">During the tender evaluation process, the agency should assure themselves of the LIDP commitments and address with the bidders any issues of concern with the LIDPs, including risks identified in the LJF risk assessment evaluation report. </w:t>
      </w:r>
    </w:p>
    <w:p w14:paraId="4F9D585A" w14:textId="73FB8DFC" w:rsidR="00695D98" w:rsidRPr="00030E30" w:rsidRDefault="00695D98" w:rsidP="00030E30">
      <w:pPr>
        <w:numPr>
          <w:ilvl w:val="0"/>
          <w:numId w:val="21"/>
        </w:numPr>
        <w:spacing w:before="0"/>
        <w:jc w:val="both"/>
      </w:pPr>
      <w:r w:rsidRPr="00030E30">
        <w:t xml:space="preserve">Only notified bidders with </w:t>
      </w:r>
      <w:r w:rsidR="000830CF">
        <w:t>an LIDP</w:t>
      </w:r>
      <w:r w:rsidRPr="00030E30">
        <w:t xml:space="preserve"> and ICN </w:t>
      </w:r>
      <w:r w:rsidR="0055443C">
        <w:t>Acknowledgement Letter</w:t>
      </w:r>
      <w:r w:rsidRPr="00030E30">
        <w:t xml:space="preserve"> may be considered by the tender evaluation panel when selecting the successful applicant. L</w:t>
      </w:r>
      <w:r w:rsidR="00BD0D0F">
        <w:t>ocal Jobs First</w:t>
      </w:r>
      <w:r w:rsidRPr="00030E30">
        <w:t xml:space="preserve"> is a main</w:t>
      </w:r>
      <w:r w:rsidR="00BD0D0F">
        <w:t xml:space="preserve"> </w:t>
      </w:r>
      <w:r w:rsidRPr="00030E30">
        <w:t>selection criteria in choosing the preferred bidder.</w:t>
      </w:r>
    </w:p>
    <w:p w14:paraId="62534B89" w14:textId="17FB2264" w:rsidR="00695D98" w:rsidRPr="00D40534" w:rsidRDefault="00695D98" w:rsidP="00695D98">
      <w:pPr>
        <w:spacing w:before="0" w:line="276" w:lineRule="auto"/>
        <w:jc w:val="both"/>
        <w:rPr>
          <w:rFonts w:asciiTheme="minorHAnsi" w:hAnsiTheme="minorHAnsi" w:cstheme="minorHAnsi"/>
          <w:b/>
          <w:sz w:val="20"/>
          <w:szCs w:val="18"/>
        </w:rPr>
      </w:pPr>
      <w:r w:rsidRPr="00D40534">
        <w:rPr>
          <w:rFonts w:asciiTheme="minorHAnsi" w:hAnsiTheme="minorHAnsi" w:cstheme="minorHAnsi"/>
          <w:b/>
          <w:sz w:val="20"/>
          <w:szCs w:val="18"/>
        </w:rPr>
        <w:t xml:space="preserve">Step 5 - </w:t>
      </w:r>
      <w:r w:rsidR="00F647E1">
        <w:rPr>
          <w:rFonts w:asciiTheme="minorHAnsi" w:hAnsiTheme="minorHAnsi" w:cstheme="minorHAnsi"/>
          <w:b/>
          <w:sz w:val="20"/>
          <w:szCs w:val="18"/>
        </w:rPr>
        <w:t>P</w:t>
      </w:r>
      <w:r w:rsidRPr="00D40534">
        <w:rPr>
          <w:rFonts w:asciiTheme="minorHAnsi" w:hAnsiTheme="minorHAnsi" w:cstheme="minorHAnsi"/>
          <w:b/>
          <w:sz w:val="20"/>
          <w:szCs w:val="18"/>
        </w:rPr>
        <w:t xml:space="preserve">referred bidder selected and contract awarded </w:t>
      </w:r>
    </w:p>
    <w:p w14:paraId="3085B49E" w14:textId="77777777" w:rsidR="00695D98" w:rsidRPr="00030E30" w:rsidRDefault="00695D98" w:rsidP="00030E30">
      <w:pPr>
        <w:numPr>
          <w:ilvl w:val="0"/>
          <w:numId w:val="21"/>
        </w:numPr>
        <w:spacing w:before="0"/>
        <w:jc w:val="both"/>
      </w:pPr>
      <w:r w:rsidRPr="00030E30">
        <w:t xml:space="preserve">The preferred bidder will be notified by the tender evaluation panel of their success. </w:t>
      </w:r>
    </w:p>
    <w:p w14:paraId="146ECFD1" w14:textId="77777777" w:rsidR="00695D98" w:rsidRPr="00030E30" w:rsidRDefault="00695D98" w:rsidP="00030E30">
      <w:pPr>
        <w:numPr>
          <w:ilvl w:val="0"/>
          <w:numId w:val="21"/>
        </w:numPr>
        <w:spacing w:before="0"/>
        <w:jc w:val="both"/>
      </w:pPr>
      <w:r w:rsidRPr="00030E30">
        <w:t xml:space="preserve">Agencies will incorporate commitments included in the LIDP into the contract. </w:t>
      </w:r>
    </w:p>
    <w:p w14:paraId="7A274429" w14:textId="796FDCD1" w:rsidR="00695D98" w:rsidRPr="00030E30" w:rsidRDefault="00695D98" w:rsidP="00030E30">
      <w:pPr>
        <w:numPr>
          <w:ilvl w:val="0"/>
          <w:numId w:val="21"/>
        </w:numPr>
        <w:spacing w:before="0"/>
        <w:jc w:val="both"/>
      </w:pPr>
      <w:r w:rsidRPr="00030E30">
        <w:t>Suitable measures to manage any issues raised by</w:t>
      </w:r>
      <w:r w:rsidR="00835EBC">
        <w:t xml:space="preserve"> </w:t>
      </w:r>
      <w:r w:rsidR="00835EBC" w:rsidRPr="0082671D">
        <w:t>the</w:t>
      </w:r>
      <w:r w:rsidRPr="00030E30">
        <w:t xml:space="preserve"> ICN in its LJF risk evaluation report should be negotiated with the agency’s contract manager before finalisation. This step is essential given the successful bidder will need to demonstrate LJF outcomes against the agreed LIDP. Bidders may need to resubmit their LIDP to </w:t>
      </w:r>
      <w:r w:rsidR="00835EBC" w:rsidRPr="0082671D">
        <w:t xml:space="preserve">the </w:t>
      </w:r>
      <w:r w:rsidRPr="00030E30">
        <w:t>ICN for acknowledg</w:t>
      </w:r>
      <w:r w:rsidR="00E425F1">
        <w:t>e</w:t>
      </w:r>
      <w:r w:rsidRPr="00030E30">
        <w:t>ment and evaluation, with appropriate amendments, through the VMC.</w:t>
      </w:r>
    </w:p>
    <w:p w14:paraId="4F6EE4C9" w14:textId="7319938D" w:rsidR="00695D98" w:rsidRPr="00030E30" w:rsidRDefault="00695D98" w:rsidP="00030E30">
      <w:pPr>
        <w:numPr>
          <w:ilvl w:val="0"/>
          <w:numId w:val="21"/>
        </w:numPr>
        <w:spacing w:before="0"/>
        <w:jc w:val="both"/>
      </w:pPr>
      <w:r w:rsidRPr="00030E30">
        <w:t>The supplier must comply with the LJF commitments contained within their LIDP and contract.</w:t>
      </w:r>
    </w:p>
    <w:p w14:paraId="6C4BD1A7" w14:textId="1850B15B" w:rsidR="00695D98" w:rsidRPr="00030E30" w:rsidRDefault="00695D98" w:rsidP="00030E30">
      <w:pPr>
        <w:numPr>
          <w:ilvl w:val="0"/>
          <w:numId w:val="21"/>
        </w:numPr>
        <w:spacing w:before="0"/>
        <w:jc w:val="both"/>
      </w:pPr>
      <w:r w:rsidRPr="00030E30">
        <w:t xml:space="preserve">Contractors are required to report on their LJF commitments as contained in the LIDP during the life of the project to practical completion.  </w:t>
      </w:r>
    </w:p>
    <w:p w14:paraId="3083DAB8" w14:textId="77777777" w:rsidR="00A417C7" w:rsidRDefault="00A417C7" w:rsidP="006C6B66">
      <w:pPr>
        <w:spacing w:before="0" w:line="276" w:lineRule="auto"/>
        <w:jc w:val="both"/>
        <w:rPr>
          <w:rFonts w:asciiTheme="minorHAnsi" w:hAnsiTheme="minorHAnsi" w:cstheme="minorHAnsi"/>
          <w:b/>
          <w:sz w:val="20"/>
          <w:szCs w:val="18"/>
        </w:rPr>
      </w:pPr>
    </w:p>
    <w:p w14:paraId="0C93258E" w14:textId="77777777" w:rsidR="00A417C7" w:rsidRDefault="00A417C7" w:rsidP="006C6B66">
      <w:pPr>
        <w:spacing w:before="0" w:line="276" w:lineRule="auto"/>
        <w:jc w:val="both"/>
        <w:rPr>
          <w:rFonts w:asciiTheme="minorHAnsi" w:hAnsiTheme="minorHAnsi" w:cstheme="minorHAnsi"/>
          <w:b/>
          <w:sz w:val="20"/>
          <w:szCs w:val="18"/>
        </w:rPr>
      </w:pPr>
    </w:p>
    <w:p w14:paraId="1DAADD30" w14:textId="77777777" w:rsidR="00A417C7" w:rsidRDefault="00A417C7" w:rsidP="006C6B66">
      <w:pPr>
        <w:spacing w:before="0" w:line="276" w:lineRule="auto"/>
        <w:jc w:val="both"/>
        <w:rPr>
          <w:rFonts w:asciiTheme="minorHAnsi" w:hAnsiTheme="minorHAnsi" w:cstheme="minorHAnsi"/>
          <w:b/>
          <w:sz w:val="20"/>
          <w:szCs w:val="18"/>
        </w:rPr>
      </w:pPr>
    </w:p>
    <w:p w14:paraId="33B6DD51" w14:textId="04146672" w:rsidR="00695D98" w:rsidRPr="006C6B66" w:rsidRDefault="002A74A0" w:rsidP="006C6B66">
      <w:pPr>
        <w:spacing w:before="0" w:line="276" w:lineRule="auto"/>
        <w:jc w:val="both"/>
        <w:rPr>
          <w:rFonts w:asciiTheme="minorHAnsi" w:hAnsiTheme="minorHAnsi" w:cstheme="minorHAnsi"/>
          <w:b/>
          <w:sz w:val="20"/>
          <w:szCs w:val="18"/>
        </w:rPr>
      </w:pPr>
      <w:r w:rsidRPr="00030E30">
        <w:rPr>
          <w:noProof/>
        </w:rPr>
        <w:lastRenderedPageBreak/>
        <mc:AlternateContent>
          <mc:Choice Requires="wps">
            <w:drawing>
              <wp:anchor distT="45720" distB="45720" distL="114300" distR="114300" simplePos="0" relativeHeight="251664896" behindDoc="0" locked="0" layoutInCell="1" allowOverlap="1" wp14:anchorId="21E9F068" wp14:editId="2B9ED4F9">
                <wp:simplePos x="0" y="0"/>
                <wp:positionH relativeFrom="column">
                  <wp:posOffset>176536</wp:posOffset>
                </wp:positionH>
                <wp:positionV relativeFrom="paragraph">
                  <wp:posOffset>-182319</wp:posOffset>
                </wp:positionV>
                <wp:extent cx="5738495" cy="236220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362200"/>
                        </a:xfrm>
                        <a:prstGeom prst="rect">
                          <a:avLst/>
                        </a:prstGeom>
                        <a:solidFill>
                          <a:srgbClr val="FFFFFF"/>
                        </a:solidFill>
                        <a:ln w="9525">
                          <a:solidFill>
                            <a:srgbClr val="000000"/>
                          </a:solidFill>
                          <a:miter lim="800000"/>
                          <a:headEnd/>
                          <a:tailEnd/>
                        </a:ln>
                      </wps:spPr>
                      <wps:txbx>
                        <w:txbxContent>
                          <w:p w14:paraId="1855AC9D" w14:textId="555A7563" w:rsidR="006C6B66" w:rsidRDefault="006C6B66" w:rsidP="00534668">
                            <w:pPr>
                              <w:jc w:val="center"/>
                            </w:pPr>
                            <w:r>
                              <w:t xml:space="preserve">A bidder must register their details on the VMC and complete the online LIDP. The ICN will issue a bidder with an </w:t>
                            </w:r>
                            <w:r w:rsidR="0055443C">
                              <w:t>Acknowledgement Letter</w:t>
                            </w:r>
                            <w:r>
                              <w:t xml:space="preserve"> only if their LIDP has been completed appropriately and submitted on time. Only bidders with </w:t>
                            </w:r>
                            <w:r w:rsidR="000830CF">
                              <w:t>an LIDP</w:t>
                            </w:r>
                            <w:r>
                              <w:t xml:space="preserve"> and ICN </w:t>
                            </w:r>
                            <w:r w:rsidR="0055443C">
                              <w:t>Acknowledgement Letter</w:t>
                            </w:r>
                            <w:r>
                              <w:t xml:space="preserve"> may be considered by the tender evaluation panel.</w:t>
                            </w:r>
                          </w:p>
                          <w:p w14:paraId="29CBBDB5" w14:textId="0A563AD9" w:rsidR="006C6B66" w:rsidRDefault="006C6B66" w:rsidP="00534668">
                            <w:pPr>
                              <w:jc w:val="center"/>
                            </w:pPr>
                            <w:r>
                              <w:t>Agencies will incorporate the preferred bidders LIDP within the contract. The supplier must comply with the Local Jobs First commitments contained within their LIDP and contract.</w:t>
                            </w:r>
                          </w:p>
                          <w:p w14:paraId="083984DA" w14:textId="291C4F2E" w:rsidR="006C6B66" w:rsidRDefault="006C6B66" w:rsidP="00534668">
                            <w:pPr>
                              <w:jc w:val="center"/>
                              <w:rPr>
                                <w:rFonts w:asciiTheme="majorHAnsi" w:hAnsiTheme="majorHAnsi" w:cstheme="majorHAnsi"/>
                                <w:sz w:val="22"/>
                                <w:szCs w:val="22"/>
                              </w:rPr>
                            </w:pPr>
                            <w:r>
                              <w:t>The ICN can assist you in completion and LIDP.</w:t>
                            </w:r>
                          </w:p>
                          <w:p w14:paraId="21AA463C" w14:textId="3E1661F7" w:rsidR="006C6B66" w:rsidRDefault="006C6B66" w:rsidP="00534668">
                            <w:pPr>
                              <w:jc w:val="center"/>
                            </w:pPr>
                            <w:r w:rsidRPr="00084F7B">
                              <w:t xml:space="preserve">The LIDP required will reflect the size and complexity of the project. There are different LIDPs required for Standard, Strategic, contestable and </w:t>
                            </w:r>
                            <w:r w:rsidR="00A43439">
                              <w:rPr>
                                <w:rFonts w:asciiTheme="minorHAnsi" w:hAnsiTheme="minorHAnsi" w:cstheme="minorHAnsi"/>
                                <w:szCs w:val="18"/>
                                <w:lang w:val="en-US"/>
                              </w:rPr>
                              <w:t>limited contestability</w:t>
                            </w:r>
                            <w:r w:rsidR="00A43439" w:rsidRPr="007A58EE">
                              <w:rPr>
                                <w:rFonts w:asciiTheme="minorHAnsi" w:hAnsiTheme="minorHAnsi" w:cstheme="minorHAnsi"/>
                                <w:szCs w:val="18"/>
                                <w:lang w:val="en-US"/>
                              </w:rPr>
                              <w:t xml:space="preserve"> </w:t>
                            </w:r>
                            <w:r w:rsidRPr="00084F7B">
                              <w:t>projects.</w:t>
                            </w:r>
                          </w:p>
                          <w:p w14:paraId="1C5537A0" w14:textId="7BB91ACA" w:rsidR="006C6B66" w:rsidRPr="00084F7B" w:rsidRDefault="006C6B66" w:rsidP="00534668">
                            <w:pPr>
                              <w:jc w:val="center"/>
                            </w:pPr>
                            <w:r>
                              <w:t>For MPSG projects, commitments to use apprentices, trainees and cadets for 10 per cent of labour hours must be identified. The agency will assess your MPSG commitments through a 5 per cent weighting, part of the overall 10 per cent weighting for jobs outcomes for Local Jobs First projects.</w:t>
                            </w:r>
                          </w:p>
                          <w:p w14:paraId="0C43C813" w14:textId="77777777" w:rsidR="006C6B66" w:rsidRDefault="006C6B66" w:rsidP="00695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9F068" id="_x0000_s1030" type="#_x0000_t202" style="position:absolute;left:0;text-align:left;margin-left:13.9pt;margin-top:-14.35pt;width:451.85pt;height:18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WuJw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FyNr9aTJczSjja8qvrHHufYrDi+bl1PrwXoEkUSuqw9Qme&#10;He59iOmw4tklRvOgZL2VSiXF7aqNcuTAcEy26Tuh/+SmDOlKupzls4GBv0KM0/cnCC0DzruSuqSL&#10;sxMrIm/vTJ2mMTCpBhlTVuZEZORuYDH0VZ86No0BIskV1Edk1sEw3riOKLTgflDS4WiX1H/fMyco&#10;UR8Mdmc5mU7jLiRlOpvnqLhLS3VpYYYjVEkDJYO4CWl/Im8GbrGLjUz8vmRyShlHNtF+Wq+4E5d6&#10;8nr5CayfAAAA//8DAFBLAwQUAAYACAAAACEAN/C9ouEAAAAKAQAADwAAAGRycy9kb3ducmV2Lnht&#10;bEyPzU7DMBCE70i8g7VIXFDrNC5NGrKpEBIIblCqcnWTbRLhn2C7aXh7zAmOoxnNfFNuJq3YSM73&#10;1iAs5gkwMrVtetMi7N4fZzkwH6RppLKGEL7Jw6a6vChl0dizeaNxG1oWS4wvJEIXwlBw7uuOtPRz&#10;O5CJ3tE6LUOUruWNk+dYrhVPk2TFtexNXOjkQA8d1Z/bk0bIl8/jh38Rr/t6dVTrcJONT18O8fpq&#10;ur8DFmgKf2H4xY/oUEWmgz2ZxjOFkGaRPCDM0jwDFgNrsbgFdkAQSyGAVyX/f6H6AQAA//8DAFBL&#10;AQItABQABgAIAAAAIQC2gziS/gAAAOEBAAATAAAAAAAAAAAAAAAAAAAAAABbQ29udGVudF9UeXBl&#10;c10ueG1sUEsBAi0AFAAGAAgAAAAhADj9If/WAAAAlAEAAAsAAAAAAAAAAAAAAAAALwEAAF9yZWxz&#10;Ly5yZWxzUEsBAi0AFAAGAAgAAAAhAAgpxa4nAgAATAQAAA4AAAAAAAAAAAAAAAAALgIAAGRycy9l&#10;Mm9Eb2MueG1sUEsBAi0AFAAGAAgAAAAhADfwvaLhAAAACgEAAA8AAAAAAAAAAAAAAAAAgQQAAGRy&#10;cy9kb3ducmV2LnhtbFBLBQYAAAAABAAEAPMAAACPBQAAAAA=&#10;">
                <v:textbox>
                  <w:txbxContent>
                    <w:p w14:paraId="1855AC9D" w14:textId="555A7563" w:rsidR="006C6B66" w:rsidRDefault="006C6B66" w:rsidP="00534668">
                      <w:pPr>
                        <w:jc w:val="center"/>
                      </w:pPr>
                      <w:r>
                        <w:t xml:space="preserve">A bidder must register their details on the VMC and complete the online LIDP. The ICN will issue a bidder with an </w:t>
                      </w:r>
                      <w:r w:rsidR="0055443C">
                        <w:t>Acknowledgement Letter</w:t>
                      </w:r>
                      <w:r>
                        <w:t xml:space="preserve"> only if their LIDP has been completed appropriately and submitted on time. Only bidders with </w:t>
                      </w:r>
                      <w:r w:rsidR="000830CF">
                        <w:t>an LIDP</w:t>
                      </w:r>
                      <w:r>
                        <w:t xml:space="preserve"> and ICN </w:t>
                      </w:r>
                      <w:r w:rsidR="0055443C">
                        <w:t>Acknowledgement Letter</w:t>
                      </w:r>
                      <w:r>
                        <w:t xml:space="preserve"> may be considered by the tender evaluation panel.</w:t>
                      </w:r>
                    </w:p>
                    <w:p w14:paraId="29CBBDB5" w14:textId="0A563AD9" w:rsidR="006C6B66" w:rsidRDefault="006C6B66" w:rsidP="00534668">
                      <w:pPr>
                        <w:jc w:val="center"/>
                      </w:pPr>
                      <w:r>
                        <w:t>Agencies will incorporate the preferred bidders LIDP within the contract. The supplier must comply with the Local Jobs First commitments contained within their LIDP and contract.</w:t>
                      </w:r>
                    </w:p>
                    <w:p w14:paraId="083984DA" w14:textId="291C4F2E" w:rsidR="006C6B66" w:rsidRDefault="006C6B66" w:rsidP="00534668">
                      <w:pPr>
                        <w:jc w:val="center"/>
                        <w:rPr>
                          <w:rFonts w:asciiTheme="majorHAnsi" w:hAnsiTheme="majorHAnsi" w:cstheme="majorHAnsi"/>
                          <w:sz w:val="22"/>
                          <w:szCs w:val="22"/>
                        </w:rPr>
                      </w:pPr>
                      <w:r>
                        <w:t>The ICN can assist you in completion and LIDP.</w:t>
                      </w:r>
                    </w:p>
                    <w:p w14:paraId="21AA463C" w14:textId="3E1661F7" w:rsidR="006C6B66" w:rsidRDefault="006C6B66" w:rsidP="00534668">
                      <w:pPr>
                        <w:jc w:val="center"/>
                      </w:pPr>
                      <w:r w:rsidRPr="00084F7B">
                        <w:t xml:space="preserve">The LIDP required will reflect the size and complexity of the project. There are different LIDPs required for Standard, Strategic, contestable and </w:t>
                      </w:r>
                      <w:r w:rsidR="00A43439">
                        <w:rPr>
                          <w:rFonts w:asciiTheme="minorHAnsi" w:hAnsiTheme="minorHAnsi" w:cstheme="minorHAnsi"/>
                          <w:szCs w:val="18"/>
                          <w:lang w:val="en-US"/>
                        </w:rPr>
                        <w:t>limited contestability</w:t>
                      </w:r>
                      <w:r w:rsidR="00A43439" w:rsidRPr="007A58EE">
                        <w:rPr>
                          <w:rFonts w:asciiTheme="minorHAnsi" w:hAnsiTheme="minorHAnsi" w:cstheme="minorHAnsi"/>
                          <w:szCs w:val="18"/>
                          <w:lang w:val="en-US"/>
                        </w:rPr>
                        <w:t xml:space="preserve"> </w:t>
                      </w:r>
                      <w:r w:rsidRPr="00084F7B">
                        <w:t>projects.</w:t>
                      </w:r>
                    </w:p>
                    <w:p w14:paraId="1C5537A0" w14:textId="7BB91ACA" w:rsidR="006C6B66" w:rsidRPr="00084F7B" w:rsidRDefault="006C6B66" w:rsidP="00534668">
                      <w:pPr>
                        <w:jc w:val="center"/>
                      </w:pPr>
                      <w:r>
                        <w:t>For MPSG projects, commitments to use apprentices, trainees and cadets for 10 per cent of labour hours must be identified. The agency will assess your MPSG commitments through a 5 per cent weighting, part of the overall 10 per cent weighting for jobs outcomes for Local Jobs First projects.</w:t>
                      </w:r>
                    </w:p>
                    <w:p w14:paraId="0C43C813" w14:textId="77777777" w:rsidR="006C6B66" w:rsidRDefault="006C6B66" w:rsidP="00695D98"/>
                  </w:txbxContent>
                </v:textbox>
                <w10:wrap type="square"/>
              </v:shape>
            </w:pict>
          </mc:Fallback>
        </mc:AlternateContent>
      </w:r>
      <w:r w:rsidR="00695D98" w:rsidRPr="006C6B66">
        <w:rPr>
          <w:rFonts w:asciiTheme="minorHAnsi" w:hAnsiTheme="minorHAnsi" w:cstheme="minorHAnsi"/>
          <w:b/>
          <w:sz w:val="20"/>
          <w:szCs w:val="18"/>
        </w:rPr>
        <w:t xml:space="preserve">Step 6 – Monitoring Local Jobs First during delivery of the project </w:t>
      </w:r>
    </w:p>
    <w:p w14:paraId="09554AC4" w14:textId="15D28245" w:rsidR="00695D98" w:rsidRPr="00030E30" w:rsidRDefault="00695D98" w:rsidP="00030E30">
      <w:pPr>
        <w:numPr>
          <w:ilvl w:val="0"/>
          <w:numId w:val="21"/>
        </w:numPr>
        <w:spacing w:before="0"/>
        <w:jc w:val="both"/>
      </w:pPr>
      <w:r w:rsidRPr="00030E30">
        <w:t>Suppliers are required to report on their L</w:t>
      </w:r>
      <w:r w:rsidR="00534668">
        <w:t>ocal Jobs First</w:t>
      </w:r>
      <w:r w:rsidRPr="00030E30">
        <w:t xml:space="preserve"> commitments as contained in the LIDP during the life of the project to practical completion.</w:t>
      </w:r>
    </w:p>
    <w:p w14:paraId="2821E89E" w14:textId="7C87D516" w:rsidR="00695D98" w:rsidRPr="00030E30" w:rsidRDefault="00695D98" w:rsidP="00030E30">
      <w:pPr>
        <w:numPr>
          <w:ilvl w:val="0"/>
          <w:numId w:val="21"/>
        </w:numPr>
        <w:spacing w:before="0"/>
        <w:jc w:val="both"/>
      </w:pPr>
      <w:r w:rsidRPr="00030E30">
        <w:t xml:space="preserve">For all projects valued over $20 million (which will include all MPSG projects), agencies must </w:t>
      </w:r>
      <w:r w:rsidR="006121FA">
        <w:t>report to DJPR on Local Jobs First outcomes on a six-monthly basis.</w:t>
      </w:r>
    </w:p>
    <w:p w14:paraId="37E5BDB4" w14:textId="77777777" w:rsidR="00695D98" w:rsidRPr="00030E30" w:rsidRDefault="00695D98" w:rsidP="00030E30">
      <w:pPr>
        <w:numPr>
          <w:ilvl w:val="0"/>
          <w:numId w:val="21"/>
        </w:numPr>
        <w:spacing w:before="0"/>
        <w:jc w:val="both"/>
      </w:pPr>
      <w:r w:rsidRPr="00030E30">
        <w:t xml:space="preserve">Further guidance on monitoring and reporting is provided below. </w:t>
      </w:r>
    </w:p>
    <w:p w14:paraId="03AB8719" w14:textId="03A44F58" w:rsidR="00695D98" w:rsidRPr="006C6B66" w:rsidRDefault="00695D98" w:rsidP="006C6B66">
      <w:pPr>
        <w:spacing w:before="0" w:line="276" w:lineRule="auto"/>
        <w:jc w:val="both"/>
        <w:rPr>
          <w:rFonts w:asciiTheme="minorHAnsi" w:hAnsiTheme="minorHAnsi" w:cstheme="minorHAnsi"/>
          <w:b/>
          <w:sz w:val="20"/>
          <w:szCs w:val="18"/>
        </w:rPr>
      </w:pPr>
      <w:r w:rsidRPr="006C6B66">
        <w:rPr>
          <w:rFonts w:asciiTheme="minorHAnsi" w:hAnsiTheme="minorHAnsi" w:cstheme="minorHAnsi"/>
          <w:b/>
          <w:sz w:val="20"/>
          <w:szCs w:val="18"/>
        </w:rPr>
        <w:t xml:space="preserve">Step 7 – Changes during delivery of the </w:t>
      </w:r>
      <w:r w:rsidR="00E12F17">
        <w:rPr>
          <w:rFonts w:asciiTheme="minorHAnsi" w:hAnsiTheme="minorHAnsi" w:cstheme="minorHAnsi"/>
          <w:b/>
          <w:sz w:val="20"/>
          <w:szCs w:val="18"/>
        </w:rPr>
        <w:t>p</w:t>
      </w:r>
      <w:r w:rsidRPr="006C6B66">
        <w:rPr>
          <w:rFonts w:asciiTheme="minorHAnsi" w:hAnsiTheme="minorHAnsi" w:cstheme="minorHAnsi"/>
          <w:b/>
          <w:sz w:val="20"/>
          <w:szCs w:val="18"/>
        </w:rPr>
        <w:t xml:space="preserve">roject </w:t>
      </w:r>
    </w:p>
    <w:p w14:paraId="666A825A" w14:textId="742A29A4" w:rsidR="00695D98" w:rsidRPr="00030E30" w:rsidRDefault="00695D98" w:rsidP="00030E30">
      <w:pPr>
        <w:numPr>
          <w:ilvl w:val="0"/>
          <w:numId w:val="21"/>
        </w:numPr>
        <w:spacing w:before="0"/>
        <w:jc w:val="both"/>
      </w:pPr>
      <w:r w:rsidRPr="00030E30">
        <w:t xml:space="preserve">If an agency </w:t>
      </w:r>
      <w:r w:rsidR="00154DAD">
        <w:t>or</w:t>
      </w:r>
      <w:r w:rsidRPr="00030E30">
        <w:t xml:space="preserve"> supplier are varying a contract, then Local Jobs First must be given due consideration according to the change in value of the contract or scope of work. If the changes to the scope of work are substantial, the supplier must re-submit the LIDP to the ICN for re-evaluation</w:t>
      </w:r>
      <w:r w:rsidR="00265CFC">
        <w:t xml:space="preserve"> through the VMC</w:t>
      </w:r>
      <w:r w:rsidRPr="00030E30">
        <w:t>, in order that their commitments can be re-assessed</w:t>
      </w:r>
      <w:r w:rsidR="00D940C1">
        <w:t>. It may also be necess</w:t>
      </w:r>
      <w:r w:rsidR="000852EB">
        <w:t xml:space="preserve">ary </w:t>
      </w:r>
      <w:r w:rsidR="00A379AD">
        <w:t>for</w:t>
      </w:r>
      <w:r w:rsidR="00C4673A">
        <w:t xml:space="preserve"> </w:t>
      </w:r>
      <w:r w:rsidR="000852EB">
        <w:t>the minimum local requirements</w:t>
      </w:r>
      <w:r w:rsidR="00A379AD">
        <w:t xml:space="preserve"> to be </w:t>
      </w:r>
      <w:r w:rsidR="003611C6">
        <w:t>re-evaluated</w:t>
      </w:r>
      <w:r w:rsidR="00447AD3">
        <w:t xml:space="preserve"> if the changes</w:t>
      </w:r>
      <w:r w:rsidR="0024312A">
        <w:t xml:space="preserve"> and</w:t>
      </w:r>
      <w:r w:rsidR="009D2FAD">
        <w:t xml:space="preserve"> </w:t>
      </w:r>
      <w:r w:rsidR="0024312A">
        <w:t>/ or additions</w:t>
      </w:r>
      <w:r w:rsidR="00447AD3">
        <w:t xml:space="preserve"> </w:t>
      </w:r>
      <w:r w:rsidR="00C4673A">
        <w:t xml:space="preserve">to the project </w:t>
      </w:r>
      <w:r w:rsidR="00447AD3">
        <w:t>are significant.</w:t>
      </w:r>
      <w:r w:rsidR="000852EB">
        <w:t xml:space="preserve"> </w:t>
      </w:r>
      <w:r w:rsidRPr="00030E30">
        <w:t xml:space="preserve">If an MPSG project, this may necessitate in the Deemed Hours Formal being re-calculated and included in the contract variation as a deliverable. Contact </w:t>
      </w:r>
      <w:r w:rsidR="00FD52F5">
        <w:t>DJPR</w:t>
      </w:r>
      <w:r w:rsidR="00446947">
        <w:t xml:space="preserve"> and the delivery </w:t>
      </w:r>
      <w:r w:rsidR="002F1BEF">
        <w:t xml:space="preserve">agency </w:t>
      </w:r>
      <w:r w:rsidR="002F1BEF" w:rsidRPr="00030E30">
        <w:t>for</w:t>
      </w:r>
      <w:r w:rsidRPr="00030E30">
        <w:t xml:space="preserve"> more advice on a project by project basis. If you wish to seek feedback on your tender, you must do so through the delivery agency. Agencies are obliged to provide this feedback if you request it.  </w:t>
      </w:r>
    </w:p>
    <w:p w14:paraId="1F17A059" w14:textId="2D89D255" w:rsidR="00695D98" w:rsidRPr="006C6B66" w:rsidRDefault="00695D98" w:rsidP="006C6B66">
      <w:pPr>
        <w:spacing w:before="0" w:line="276" w:lineRule="auto"/>
        <w:jc w:val="both"/>
        <w:rPr>
          <w:rFonts w:asciiTheme="minorHAnsi" w:hAnsiTheme="minorHAnsi" w:cstheme="minorHAnsi"/>
          <w:b/>
          <w:sz w:val="20"/>
          <w:szCs w:val="18"/>
        </w:rPr>
      </w:pPr>
      <w:r w:rsidRPr="006C6B66">
        <w:rPr>
          <w:rFonts w:asciiTheme="minorHAnsi" w:hAnsiTheme="minorHAnsi" w:cstheme="minorHAnsi"/>
          <w:b/>
          <w:sz w:val="20"/>
          <w:szCs w:val="18"/>
        </w:rPr>
        <w:t xml:space="preserve">Step 8 – </w:t>
      </w:r>
      <w:r w:rsidR="00F647E1">
        <w:rPr>
          <w:rFonts w:asciiTheme="minorHAnsi" w:hAnsiTheme="minorHAnsi" w:cstheme="minorHAnsi"/>
          <w:b/>
          <w:sz w:val="20"/>
          <w:szCs w:val="18"/>
        </w:rPr>
        <w:t>P</w:t>
      </w:r>
      <w:r w:rsidRPr="006C6B66">
        <w:rPr>
          <w:rFonts w:asciiTheme="minorHAnsi" w:hAnsiTheme="minorHAnsi" w:cstheme="minorHAnsi"/>
          <w:b/>
          <w:sz w:val="20"/>
          <w:szCs w:val="18"/>
        </w:rPr>
        <w:t xml:space="preserve">roject completion </w:t>
      </w:r>
    </w:p>
    <w:p w14:paraId="478895A7" w14:textId="77777777" w:rsidR="00E97410" w:rsidRPr="00E97410" w:rsidRDefault="00E97410" w:rsidP="00E97410">
      <w:pPr>
        <w:numPr>
          <w:ilvl w:val="0"/>
          <w:numId w:val="21"/>
        </w:numPr>
        <w:spacing w:before="0"/>
        <w:jc w:val="both"/>
      </w:pPr>
      <w:r w:rsidRPr="00E97410">
        <w:t xml:space="preserve">Post-contract verification starts on practical completion of the project when works have been completed, and/or delivery of the goods or services. This does not include the ‘defect’ period. </w:t>
      </w:r>
    </w:p>
    <w:p w14:paraId="5DE214C3" w14:textId="72C97574" w:rsidR="00E97410" w:rsidRPr="00E97410" w:rsidRDefault="00E97410" w:rsidP="00E97410">
      <w:pPr>
        <w:numPr>
          <w:ilvl w:val="0"/>
          <w:numId w:val="21"/>
        </w:numPr>
        <w:spacing w:before="0"/>
        <w:jc w:val="both"/>
      </w:pPr>
      <w:r w:rsidRPr="00E97410">
        <w:t xml:space="preserve">Suppliers are required to report on their application of their LIDP and demonstrate outcomes achieved at the practical completion of the project through the Monitoring and Reporting Table, which is provided at Appendix </w:t>
      </w:r>
      <w:r w:rsidR="00F97F9E">
        <w:t>2</w:t>
      </w:r>
      <w:r w:rsidRPr="00E97410">
        <w:t xml:space="preserve">. </w:t>
      </w:r>
    </w:p>
    <w:p w14:paraId="454368A9" w14:textId="4C6A1E35" w:rsidR="00E97410" w:rsidRPr="00E97410" w:rsidRDefault="00E97410" w:rsidP="00E97410">
      <w:pPr>
        <w:numPr>
          <w:ilvl w:val="0"/>
          <w:numId w:val="21"/>
        </w:numPr>
        <w:spacing w:before="0"/>
        <w:jc w:val="both"/>
      </w:pPr>
      <w:r w:rsidRPr="00E97410">
        <w:t xml:space="preserve">The purpose of post-contract verification is to confirm that the LJF outcomes have been achieved through the project. The outcomes achieved are compared to those expected in the original LIDP and outlined in the monitoring table </w:t>
      </w:r>
      <w:bookmarkStart w:id="39" w:name="_Hlk515960383"/>
      <w:r w:rsidRPr="00E97410">
        <w:t>or agreed equivalent</w:t>
      </w:r>
      <w:bookmarkEnd w:id="39"/>
      <w:r w:rsidR="006121FA">
        <w:t>.</w:t>
      </w:r>
    </w:p>
    <w:p w14:paraId="461303D8" w14:textId="56323730" w:rsidR="00E97410" w:rsidRPr="00E97410" w:rsidRDefault="00E97410" w:rsidP="00E97410">
      <w:pPr>
        <w:numPr>
          <w:ilvl w:val="0"/>
          <w:numId w:val="21"/>
        </w:numPr>
        <w:spacing w:before="0"/>
        <w:jc w:val="both"/>
      </w:pPr>
      <w:r w:rsidRPr="00E97410">
        <w:t xml:space="preserve">The Monitoring and Reporting Table (Appendix </w:t>
      </w:r>
      <w:r w:rsidR="00F97F9E">
        <w:t>2</w:t>
      </w:r>
      <w:r w:rsidRPr="00E97410">
        <w:t>), accompanied by a Statutory Declaration (</w:t>
      </w:r>
      <w:r w:rsidR="0069575B">
        <w:rPr>
          <w:rFonts w:asciiTheme="minorHAnsi" w:hAnsiTheme="minorHAnsi" w:cstheme="minorHAnsi"/>
          <w:szCs w:val="18"/>
        </w:rPr>
        <w:t xml:space="preserve">available on the Local Jobs First website </w:t>
      </w:r>
      <w:hyperlink r:id="rId23" w:history="1">
        <w:r w:rsidR="0069575B" w:rsidRPr="001D3BCE">
          <w:rPr>
            <w:rStyle w:val="Hyperlink"/>
          </w:rPr>
          <w:t>localjobsfirst.vic.gov.au/key-documents</w:t>
        </w:r>
      </w:hyperlink>
      <w:r w:rsidRPr="00E97410">
        <w:t xml:space="preserve">) must be given to the respective contract manager within the delivery agency on practical completion of the project. </w:t>
      </w:r>
    </w:p>
    <w:p w14:paraId="62875740" w14:textId="77777777" w:rsidR="00E97410" w:rsidRPr="00E97410" w:rsidRDefault="00E97410" w:rsidP="00E97410">
      <w:pPr>
        <w:numPr>
          <w:ilvl w:val="0"/>
          <w:numId w:val="21"/>
        </w:numPr>
        <w:spacing w:before="0"/>
        <w:jc w:val="both"/>
      </w:pPr>
      <w:r w:rsidRPr="00E97410">
        <w:t>Statutory Declarations must only be completed by the appropriate authority i.e. Chief Executive Officer, Chief Financial Officer, Company Director etc).</w:t>
      </w:r>
    </w:p>
    <w:p w14:paraId="7D2B0DA9" w14:textId="5D369B85" w:rsidR="00E97410" w:rsidRPr="00E97410" w:rsidRDefault="00E97410" w:rsidP="00E97410">
      <w:pPr>
        <w:numPr>
          <w:ilvl w:val="0"/>
          <w:numId w:val="21"/>
        </w:numPr>
        <w:spacing w:before="0"/>
        <w:jc w:val="both"/>
      </w:pPr>
      <w:r w:rsidRPr="00E97410">
        <w:t xml:space="preserve">The agency will then give this information to </w:t>
      </w:r>
      <w:r w:rsidR="00871830" w:rsidRPr="0082671D">
        <w:t xml:space="preserve">the </w:t>
      </w:r>
      <w:r w:rsidRPr="00E97410">
        <w:t xml:space="preserve">ICN, so it can then verify the outcomes reported in the monitoring table against the agreed LIDP.  </w:t>
      </w:r>
    </w:p>
    <w:p w14:paraId="275539F5" w14:textId="51B3E24F" w:rsidR="00E97410" w:rsidRPr="00E97410" w:rsidRDefault="00E97410" w:rsidP="00E97410">
      <w:pPr>
        <w:numPr>
          <w:ilvl w:val="0"/>
          <w:numId w:val="21"/>
        </w:numPr>
        <w:spacing w:before="0"/>
        <w:jc w:val="both"/>
      </w:pPr>
      <w:r w:rsidRPr="00E97410">
        <w:lastRenderedPageBreak/>
        <w:t xml:space="preserve">Further information on preparing a Statutory Declaration is provided by the Victorian Department of Justice and Regulation at </w:t>
      </w:r>
      <w:hyperlink r:id="rId24" w:history="1">
        <w:r w:rsidR="00D04D41">
          <w:rPr>
            <w:rStyle w:val="Hyperlink"/>
          </w:rPr>
          <w:t>https://www.justice.vic.gov.au/statdecs</w:t>
        </w:r>
      </w:hyperlink>
      <w:r w:rsidR="00D04D41">
        <w:t>.</w:t>
      </w:r>
    </w:p>
    <w:p w14:paraId="46E5F090" w14:textId="1A513343" w:rsidR="00627BC8" w:rsidRPr="00E61594" w:rsidRDefault="00E61594" w:rsidP="00E61594">
      <w:pPr>
        <w:spacing w:before="0"/>
        <w:jc w:val="both"/>
        <w:rPr>
          <w:rFonts w:cs="Arial"/>
          <w:szCs w:val="18"/>
        </w:rPr>
      </w:pPr>
      <w:r w:rsidRPr="0035048D">
        <w:rPr>
          <w:noProof/>
        </w:rPr>
        <mc:AlternateContent>
          <mc:Choice Requires="wps">
            <w:drawing>
              <wp:inline distT="0" distB="0" distL="0" distR="0" wp14:anchorId="6A790DC6" wp14:editId="3D0DBE47">
                <wp:extent cx="5731510" cy="1820173"/>
                <wp:effectExtent l="0" t="0" r="21590" b="279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20173"/>
                        </a:xfrm>
                        <a:prstGeom prst="rect">
                          <a:avLst/>
                        </a:prstGeom>
                        <a:solidFill>
                          <a:srgbClr val="FFFFFF"/>
                        </a:solidFill>
                        <a:ln w="9525">
                          <a:solidFill>
                            <a:srgbClr val="000000"/>
                          </a:solidFill>
                          <a:miter lim="800000"/>
                          <a:headEnd/>
                          <a:tailEnd/>
                        </a:ln>
                      </wps:spPr>
                      <wps:txbx>
                        <w:txbxContent>
                          <w:p w14:paraId="796AC6CC" w14:textId="77777777" w:rsidR="006C6B66" w:rsidRPr="00060EFA" w:rsidRDefault="006C6B66" w:rsidP="00E61594">
                            <w:pPr>
                              <w:jc w:val="center"/>
                            </w:pPr>
                            <w:r>
                              <w:t>A</w:t>
                            </w:r>
                            <w:r w:rsidRPr="00060EFA">
                              <w:t>pplying L</w:t>
                            </w:r>
                            <w:r>
                              <w:t xml:space="preserve">ocal </w:t>
                            </w:r>
                            <w:r w:rsidRPr="00060EFA">
                              <w:t>J</w:t>
                            </w:r>
                            <w:r>
                              <w:t xml:space="preserve">obs </w:t>
                            </w:r>
                            <w:r w:rsidRPr="00060EFA">
                              <w:t>F</w:t>
                            </w:r>
                            <w:r>
                              <w:t>irst</w:t>
                            </w:r>
                            <w:r w:rsidRPr="00060EFA">
                              <w:t xml:space="preserve"> to Strategic Projects is identical to that of Standard Projects except </w:t>
                            </w:r>
                            <w:r>
                              <w:t xml:space="preserve">that the Minister for Jobs, Innovation and Trade </w:t>
                            </w:r>
                            <w:r w:rsidRPr="00060EFA">
                              <w:t xml:space="preserve">is responsible for setting local content requirements for a Strategic Project. </w:t>
                            </w:r>
                          </w:p>
                          <w:p w14:paraId="10598124" w14:textId="65BAFD2E" w:rsidR="006C6B66" w:rsidRDefault="006C6B66" w:rsidP="00E61594">
                            <w:pPr>
                              <w:jc w:val="center"/>
                            </w:pPr>
                            <w:r w:rsidRPr="00060EFA">
                              <w:t xml:space="preserve">An agency must contact </w:t>
                            </w:r>
                            <w:r>
                              <w:t>DJPR</w:t>
                            </w:r>
                            <w:r w:rsidRPr="00060EFA">
                              <w:t xml:space="preserve"> prior to proceeding with a project to confirm the setting of local content requirements for a specific project. </w:t>
                            </w:r>
                          </w:p>
                          <w:p w14:paraId="54BBED76" w14:textId="77777777" w:rsidR="006C6B66" w:rsidRDefault="006C6B66" w:rsidP="00E61594">
                            <w:pPr>
                              <w:jc w:val="center"/>
                            </w:pPr>
                            <w:r w:rsidRPr="00060EFA">
                              <w:t xml:space="preserve">The Minister must agree to the minimum local content requirements which are required to be included in project documents released to the market.  </w:t>
                            </w:r>
                          </w:p>
                          <w:p w14:paraId="4891A83A" w14:textId="77777777" w:rsidR="006C6B66" w:rsidRDefault="006C6B66" w:rsidP="00E61594">
                            <w:pPr>
                              <w:jc w:val="center"/>
                            </w:pPr>
                            <w:r>
                              <w:t>Release of documents without the agreement of the Minister for Jobs, Innovation and Trade to local content requirements will deem the agency non-complaint with Local Jobs First.</w:t>
                            </w:r>
                          </w:p>
                          <w:p w14:paraId="16EF832D" w14:textId="77777777" w:rsidR="006C6B66" w:rsidRPr="00A51772" w:rsidRDefault="006C6B66" w:rsidP="00E61594">
                            <w:pPr>
                              <w:jc w:val="center"/>
                            </w:pPr>
                          </w:p>
                        </w:txbxContent>
                      </wps:txbx>
                      <wps:bodyPr rot="0" vert="horz" wrap="square" lIns="91440" tIns="45720" rIns="91440" bIns="45720" anchor="t" anchorCtr="0">
                        <a:noAutofit/>
                      </wps:bodyPr>
                    </wps:wsp>
                  </a:graphicData>
                </a:graphic>
              </wp:inline>
            </w:drawing>
          </mc:Choice>
          <mc:Fallback>
            <w:pict>
              <v:shape w14:anchorId="6A790DC6" id="_x0000_s1031" type="#_x0000_t202" style="width:451.3pt;height:1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aeJgIAAEwEAAAOAAAAZHJzL2Uyb0RvYy54bWysVNtu2zAMfR+wfxD0vjhO4yU14hRdugwD&#10;ugvQ7gNkWY6FSaImKbGzrx8lp2l2exnmB4EUqUPykPTqZtCKHITzEkxF88mUEmE4NNLsKvrlcftq&#10;SYkPzDRMgREVPQpPb9YvX6x6W4oZdKAa4QiCGF/2tqJdCLbMMs87oZmfgBUGjS04zQKqbpc1jvWI&#10;rlU2m05fZz24xjrgwnu8vRuNdJ3w21bw8KltvQhEVRRzC+l06azjma1XrNw5ZjvJT2mwf8hCM2kw&#10;6BnqjgVG9k7+BqUld+ChDRMOOoO2lVykGrCafPpLNQ8dsyLVguR4e6bJ/z9Y/vHw2RHZVHROiWEa&#10;W/QohkDewEBmkZ3e+hKdHiy6hQGvscupUm/vgX/1xMCmY2Ynbp2DvhOswezy+DK7eDri+AhS9x+g&#10;wTBsHyABDa3TkTokgyA6dul47kxMheNlsbjKixxNHG35ErlaXKUYrHx6bp0P7wRoEoWKOmx9gmeH&#10;ex9iOqx8conRPCjZbKVSSXG7eqMcOTAck236Tug/uSlD+opeF7NiZOCvENP0/QlCy4DzrqSu6PLs&#10;xMrI21vTpGkMTKpRxpSVOREZuRtZDEM9pI4VMUAkuYbmiMw6GMcb1xGFDtx3Snoc7Yr6b3vmBCXq&#10;vcHuXOfzedyFpMyLxQwVd2mpLy3McISqaKBkFDch7U/kzcAtdrGVid/nTE4p48gm2k/rFXfiUk9e&#10;zz+B9Q8AAAD//wMAUEsDBBQABgAIAAAAIQBvkUmZ3AAAAAUBAAAPAAAAZHJzL2Rvd25yZXYueG1s&#10;TI/BTsMwEETvSP0HaytxQdRpQCYNcSqEBIJbKQiubrxNotrrYLtp+HsMF7isNJrRzNtqPVnDRvSh&#10;dyRhuciAITVO99RKeHt9uCyAhahIK+MIJXxhgHU9O6tUqd2JXnDcxpalEgqlktDFOJSch6ZDq8LC&#10;DUjJ2ztvVUzSt1x7dUrl1vA8ywS3qqe00KkB7ztsDtujlVBcP40f4flq896IvVnFi5vx8dNLeT6f&#10;7m6BRZziXxh+8BM61Ilp546kAzMS0iPx9yZvleUC2E5CXggBvK74f/r6GwAA//8DAFBLAQItABQA&#10;BgAIAAAAIQC2gziS/gAAAOEBAAATAAAAAAAAAAAAAAAAAAAAAABbQ29udGVudF9UeXBlc10ueG1s&#10;UEsBAi0AFAAGAAgAAAAhADj9If/WAAAAlAEAAAsAAAAAAAAAAAAAAAAALwEAAF9yZWxzLy5yZWxz&#10;UEsBAi0AFAAGAAgAAAAhAEt/tp4mAgAATAQAAA4AAAAAAAAAAAAAAAAALgIAAGRycy9lMm9Eb2Mu&#10;eG1sUEsBAi0AFAAGAAgAAAAhAG+RSZncAAAABQEAAA8AAAAAAAAAAAAAAAAAgAQAAGRycy9kb3du&#10;cmV2LnhtbFBLBQYAAAAABAAEAPMAAACJBQAAAAA=&#10;">
                <v:textbox>
                  <w:txbxContent>
                    <w:p w14:paraId="796AC6CC" w14:textId="77777777" w:rsidR="006C6B66" w:rsidRPr="00060EFA" w:rsidRDefault="006C6B66" w:rsidP="00E61594">
                      <w:pPr>
                        <w:jc w:val="center"/>
                      </w:pPr>
                      <w:r>
                        <w:t>A</w:t>
                      </w:r>
                      <w:r w:rsidRPr="00060EFA">
                        <w:t>pplying L</w:t>
                      </w:r>
                      <w:r>
                        <w:t xml:space="preserve">ocal </w:t>
                      </w:r>
                      <w:r w:rsidRPr="00060EFA">
                        <w:t>J</w:t>
                      </w:r>
                      <w:r>
                        <w:t xml:space="preserve">obs </w:t>
                      </w:r>
                      <w:r w:rsidRPr="00060EFA">
                        <w:t>F</w:t>
                      </w:r>
                      <w:r>
                        <w:t>irst</w:t>
                      </w:r>
                      <w:r w:rsidRPr="00060EFA">
                        <w:t xml:space="preserve"> to Strategic Projects is identical to that of Standard Projects except </w:t>
                      </w:r>
                      <w:r>
                        <w:t xml:space="preserve">that the Minister for Jobs, Innovation and Trade </w:t>
                      </w:r>
                      <w:r w:rsidRPr="00060EFA">
                        <w:t xml:space="preserve">is responsible for setting local content requirements for a Strategic Project. </w:t>
                      </w:r>
                    </w:p>
                    <w:p w14:paraId="10598124" w14:textId="65BAFD2E" w:rsidR="006C6B66" w:rsidRDefault="006C6B66" w:rsidP="00E61594">
                      <w:pPr>
                        <w:jc w:val="center"/>
                      </w:pPr>
                      <w:r w:rsidRPr="00060EFA">
                        <w:t xml:space="preserve">An agency must contact </w:t>
                      </w:r>
                      <w:r>
                        <w:t>DJPR</w:t>
                      </w:r>
                      <w:r w:rsidRPr="00060EFA">
                        <w:t xml:space="preserve"> prior to proceeding with a project to confirm the setting of local content requirements for a specific project. </w:t>
                      </w:r>
                    </w:p>
                    <w:p w14:paraId="54BBED76" w14:textId="77777777" w:rsidR="006C6B66" w:rsidRDefault="006C6B66" w:rsidP="00E61594">
                      <w:pPr>
                        <w:jc w:val="center"/>
                      </w:pPr>
                      <w:r w:rsidRPr="00060EFA">
                        <w:t xml:space="preserve">The Minister must agree to the minimum local content requirements which are required to be included in project documents released to the market.  </w:t>
                      </w:r>
                    </w:p>
                    <w:p w14:paraId="4891A83A" w14:textId="77777777" w:rsidR="006C6B66" w:rsidRDefault="006C6B66" w:rsidP="00E61594">
                      <w:pPr>
                        <w:jc w:val="center"/>
                      </w:pPr>
                      <w:r>
                        <w:t>Release of documents without the agreement of the Minister for Jobs, Innovation and Trade to local content requirements will deem the agency non-complaint with Local Jobs First.</w:t>
                      </w:r>
                    </w:p>
                    <w:p w14:paraId="16EF832D" w14:textId="77777777" w:rsidR="006C6B66" w:rsidRPr="00A51772" w:rsidRDefault="006C6B66" w:rsidP="00E61594">
                      <w:pPr>
                        <w:jc w:val="center"/>
                      </w:pPr>
                    </w:p>
                  </w:txbxContent>
                </v:textbox>
                <w10:anchorlock/>
              </v:shape>
            </w:pict>
          </mc:Fallback>
        </mc:AlternateContent>
      </w:r>
    </w:p>
    <w:p w14:paraId="020B4282" w14:textId="5AE99182" w:rsidR="00663DD7" w:rsidRPr="00403079" w:rsidRDefault="00663DD7" w:rsidP="00DA63F8">
      <w:pPr>
        <w:pStyle w:val="Heading1"/>
        <w:ind w:left="426" w:hanging="578"/>
      </w:pPr>
      <w:bookmarkStart w:id="40" w:name="_Toc40369049"/>
      <w:r w:rsidRPr="00403079">
        <w:t>Applying Local Jobs First to Market Led Proposals</w:t>
      </w:r>
      <w:bookmarkEnd w:id="40"/>
    </w:p>
    <w:p w14:paraId="41C20755" w14:textId="1C21B3D4" w:rsidR="00663DD7" w:rsidRDefault="00663DD7" w:rsidP="001E04C5">
      <w:pPr>
        <w:jc w:val="both"/>
      </w:pPr>
      <w:r>
        <w:t xml:space="preserve">1. LJF </w:t>
      </w:r>
      <w:r w:rsidR="00634067">
        <w:t xml:space="preserve">also </w:t>
      </w:r>
      <w:r>
        <w:t>applies to Market Led Proposals</w:t>
      </w:r>
      <w:r w:rsidR="00634067">
        <w:t>, sometimes known as unsolicited proposals</w:t>
      </w:r>
      <w:r>
        <w:t xml:space="preserve">. </w:t>
      </w:r>
    </w:p>
    <w:p w14:paraId="66A782C5" w14:textId="25A07F47" w:rsidR="00663DD7" w:rsidRDefault="00663DD7" w:rsidP="001E04C5">
      <w:pPr>
        <w:jc w:val="both"/>
      </w:pPr>
      <w:r>
        <w:t>2. As a project proponent you must</w:t>
      </w:r>
      <w:r w:rsidR="00684DC0">
        <w:t xml:space="preserve"> </w:t>
      </w:r>
      <w:r w:rsidR="00BE153E">
        <w:t>identify the</w:t>
      </w:r>
      <w:r>
        <w:t xml:space="preserve"> local content and job outcomes. The steps however differ, with the project proponent responsible for developing </w:t>
      </w:r>
      <w:r w:rsidR="000830CF">
        <w:t>an LIDP</w:t>
      </w:r>
      <w:r>
        <w:t xml:space="preserve"> and committing to terms and conditions that apply under these </w:t>
      </w:r>
      <w:r w:rsidR="00974DF9">
        <w:t>G</w:t>
      </w:r>
      <w:r>
        <w:t>uidel</w:t>
      </w:r>
      <w:r w:rsidR="00077CDB">
        <w:t>ines to LJF Strategic Projects.</w:t>
      </w:r>
    </w:p>
    <w:p w14:paraId="3243B167" w14:textId="77777777" w:rsidR="00663DD7" w:rsidRDefault="00663DD7" w:rsidP="001E04C5">
      <w:pPr>
        <w:jc w:val="both"/>
      </w:pPr>
      <w:r>
        <w:t>3. To be considered compliant with the LJF, a bidder must:</w:t>
      </w:r>
    </w:p>
    <w:p w14:paraId="1ECF7DF8" w14:textId="03359F0C" w:rsidR="00663DD7" w:rsidRDefault="00047FE9" w:rsidP="00DE7CD3">
      <w:pPr>
        <w:pStyle w:val="ListParagraph"/>
        <w:numPr>
          <w:ilvl w:val="0"/>
          <w:numId w:val="12"/>
        </w:numPr>
        <w:jc w:val="both"/>
        <w:rPr>
          <w:rFonts w:ascii="Arial" w:hAnsi="Arial"/>
          <w:sz w:val="18"/>
          <w:szCs w:val="20"/>
          <w:lang w:eastAsia="en-US"/>
        </w:rPr>
      </w:pPr>
      <w:r>
        <w:rPr>
          <w:rFonts w:ascii="Arial" w:hAnsi="Arial"/>
          <w:sz w:val="18"/>
          <w:szCs w:val="20"/>
          <w:lang w:eastAsia="en-US"/>
        </w:rPr>
        <w:t>c</w:t>
      </w:r>
      <w:r w:rsidRPr="00663DD7">
        <w:rPr>
          <w:rFonts w:ascii="Arial" w:hAnsi="Arial"/>
          <w:sz w:val="18"/>
          <w:szCs w:val="20"/>
          <w:lang w:eastAsia="en-US"/>
        </w:rPr>
        <w:t xml:space="preserve">omplete </w:t>
      </w:r>
      <w:r w:rsidR="00663DD7" w:rsidRPr="00663DD7">
        <w:rPr>
          <w:rFonts w:ascii="Arial" w:hAnsi="Arial"/>
          <w:sz w:val="18"/>
          <w:szCs w:val="20"/>
          <w:lang w:eastAsia="en-US"/>
        </w:rPr>
        <w:t>all sections of the LIDP</w:t>
      </w:r>
    </w:p>
    <w:p w14:paraId="7A2036A9" w14:textId="77777777" w:rsidR="002A74A0" w:rsidRPr="00663DD7" w:rsidRDefault="002A74A0" w:rsidP="002A74A0">
      <w:pPr>
        <w:pStyle w:val="ListParagraph"/>
        <w:jc w:val="both"/>
        <w:rPr>
          <w:rFonts w:ascii="Arial" w:hAnsi="Arial"/>
          <w:sz w:val="18"/>
          <w:szCs w:val="20"/>
          <w:lang w:eastAsia="en-US"/>
        </w:rPr>
      </w:pPr>
    </w:p>
    <w:p w14:paraId="4CD49F18" w14:textId="1B56D7E1" w:rsidR="00663DD7" w:rsidRDefault="00047FE9" w:rsidP="00DE7CD3">
      <w:pPr>
        <w:pStyle w:val="ListParagraph"/>
        <w:numPr>
          <w:ilvl w:val="0"/>
          <w:numId w:val="12"/>
        </w:numPr>
        <w:jc w:val="both"/>
        <w:rPr>
          <w:rFonts w:ascii="Arial" w:hAnsi="Arial"/>
          <w:sz w:val="18"/>
          <w:szCs w:val="20"/>
          <w:lang w:eastAsia="en-US"/>
        </w:rPr>
      </w:pPr>
      <w:r>
        <w:rPr>
          <w:rFonts w:ascii="Arial" w:hAnsi="Arial"/>
          <w:sz w:val="18"/>
          <w:szCs w:val="20"/>
          <w:lang w:eastAsia="en-US"/>
        </w:rPr>
        <w:t>s</w:t>
      </w:r>
      <w:r w:rsidRPr="00663DD7">
        <w:rPr>
          <w:rFonts w:ascii="Arial" w:hAnsi="Arial"/>
          <w:sz w:val="18"/>
          <w:szCs w:val="20"/>
          <w:lang w:eastAsia="en-US"/>
        </w:rPr>
        <w:t xml:space="preserve">ign </w:t>
      </w:r>
      <w:r w:rsidR="00663DD7" w:rsidRPr="00663DD7">
        <w:rPr>
          <w:rFonts w:ascii="Arial" w:hAnsi="Arial"/>
          <w:sz w:val="18"/>
          <w:szCs w:val="20"/>
          <w:lang w:eastAsia="en-US"/>
        </w:rPr>
        <w:t>the Statutory Declaration and agree all other conditions, including monitoring, reporting, auditing and compliance requirements</w:t>
      </w:r>
    </w:p>
    <w:p w14:paraId="0DBBDEB9" w14:textId="77777777" w:rsidR="002A74A0" w:rsidRDefault="002A74A0" w:rsidP="002A74A0">
      <w:pPr>
        <w:pStyle w:val="ListParagraph"/>
        <w:jc w:val="both"/>
        <w:rPr>
          <w:rFonts w:ascii="Arial" w:hAnsi="Arial"/>
          <w:sz w:val="18"/>
          <w:szCs w:val="20"/>
          <w:lang w:eastAsia="en-US"/>
        </w:rPr>
      </w:pPr>
    </w:p>
    <w:p w14:paraId="05317127" w14:textId="4AB49B6F" w:rsidR="00663DD7" w:rsidRPr="007E2807" w:rsidRDefault="00047FE9" w:rsidP="00DE7CD3">
      <w:pPr>
        <w:pStyle w:val="ListParagraph"/>
        <w:numPr>
          <w:ilvl w:val="0"/>
          <w:numId w:val="12"/>
        </w:numPr>
        <w:jc w:val="both"/>
        <w:rPr>
          <w:rFonts w:ascii="Arial" w:hAnsi="Arial"/>
          <w:sz w:val="18"/>
          <w:szCs w:val="20"/>
          <w:lang w:eastAsia="en-US"/>
        </w:rPr>
      </w:pPr>
      <w:r>
        <w:rPr>
          <w:rFonts w:ascii="Arial" w:hAnsi="Arial"/>
          <w:sz w:val="18"/>
          <w:szCs w:val="20"/>
          <w:lang w:eastAsia="en-US"/>
        </w:rPr>
        <w:t>e</w:t>
      </w:r>
      <w:r w:rsidRPr="00663DD7">
        <w:rPr>
          <w:rFonts w:ascii="Arial" w:hAnsi="Arial"/>
          <w:sz w:val="18"/>
          <w:szCs w:val="20"/>
          <w:lang w:eastAsia="en-US"/>
        </w:rPr>
        <w:t xml:space="preserve">ngage </w:t>
      </w:r>
      <w:r w:rsidR="00663DD7" w:rsidRPr="00663DD7">
        <w:rPr>
          <w:rFonts w:ascii="Arial" w:hAnsi="Arial"/>
          <w:sz w:val="18"/>
          <w:szCs w:val="20"/>
          <w:lang w:eastAsia="en-US"/>
        </w:rPr>
        <w:t>with the ICN in developing the LIDP on local content matters and local supply chain engagement.</w:t>
      </w:r>
      <w:r w:rsidR="00663DD7">
        <w:t xml:space="preserve"> </w:t>
      </w:r>
    </w:p>
    <w:p w14:paraId="452CC600" w14:textId="3F6D599E" w:rsidR="007E2807" w:rsidRPr="007E2807" w:rsidRDefault="007E2807" w:rsidP="007E2807">
      <w:pPr>
        <w:jc w:val="both"/>
      </w:pPr>
      <w:r>
        <w:t xml:space="preserve">4. </w:t>
      </w:r>
      <w:r w:rsidR="00654C1F">
        <w:t xml:space="preserve">As the bidder </w:t>
      </w:r>
      <w:r w:rsidR="00C1130B">
        <w:t>will</w:t>
      </w:r>
      <w:r w:rsidR="00654C1F">
        <w:t xml:space="preserve"> not have a project already set up in the VMC, the bidder is required to the </w:t>
      </w:r>
      <w:r w:rsidR="00C1130B">
        <w:t>template LIDP, found on the Local Jobs First website (</w:t>
      </w:r>
      <w:hyperlink r:id="rId25" w:history="1">
        <w:r w:rsidR="00C1130B" w:rsidRPr="00804CF2">
          <w:rPr>
            <w:color w:val="004EA8" w:themeColor="text2"/>
            <w:u w:val="single"/>
          </w:rPr>
          <w:t>localjobsfirst.vic.gov.au/key-documents</w:t>
        </w:r>
      </w:hyperlink>
      <w:r w:rsidR="00C1130B">
        <w:t xml:space="preserve">). </w:t>
      </w:r>
    </w:p>
    <w:p w14:paraId="203EF14E" w14:textId="499CBBBE" w:rsidR="00663DD7" w:rsidRPr="00663DD7" w:rsidRDefault="00663DD7" w:rsidP="00DA63F8">
      <w:pPr>
        <w:pStyle w:val="Heading1"/>
        <w:ind w:left="426" w:hanging="578"/>
      </w:pPr>
      <w:bookmarkStart w:id="41" w:name="_Toc40369050"/>
      <w:r w:rsidRPr="00663DD7">
        <w:t xml:space="preserve">Local Jobs First and Grants </w:t>
      </w:r>
      <w:r w:rsidR="006831D4">
        <w:t>and loans</w:t>
      </w:r>
      <w:bookmarkEnd w:id="41"/>
    </w:p>
    <w:p w14:paraId="22A45B67" w14:textId="08557466" w:rsidR="00542874" w:rsidRPr="00F92F27" w:rsidRDefault="00663DD7" w:rsidP="00DE7CD3">
      <w:pPr>
        <w:numPr>
          <w:ilvl w:val="0"/>
          <w:numId w:val="16"/>
        </w:numPr>
        <w:spacing w:before="0" w:line="276" w:lineRule="auto"/>
        <w:jc w:val="both"/>
        <w:rPr>
          <w:rFonts w:asciiTheme="minorHAnsi" w:hAnsiTheme="minorHAnsi" w:cstheme="minorHAnsi"/>
          <w:szCs w:val="18"/>
          <w:lang w:val="en-US"/>
        </w:rPr>
      </w:pPr>
      <w:r w:rsidRPr="00F92F27">
        <w:rPr>
          <w:rFonts w:asciiTheme="minorHAnsi" w:hAnsiTheme="minorHAnsi" w:cstheme="minorHAnsi"/>
          <w:szCs w:val="18"/>
          <w:lang w:val="en-US"/>
        </w:rPr>
        <w:t xml:space="preserve">The </w:t>
      </w:r>
      <w:r w:rsidR="00736983">
        <w:rPr>
          <w:rFonts w:asciiTheme="minorHAnsi" w:hAnsiTheme="minorHAnsi" w:cstheme="minorHAnsi"/>
          <w:szCs w:val="18"/>
          <w:lang w:val="en-US"/>
        </w:rPr>
        <w:t>main</w:t>
      </w:r>
      <w:r w:rsidR="00736983" w:rsidRPr="00F92F27">
        <w:rPr>
          <w:rFonts w:asciiTheme="minorHAnsi" w:hAnsiTheme="minorHAnsi" w:cstheme="minorHAnsi"/>
          <w:szCs w:val="18"/>
          <w:lang w:val="en-US"/>
        </w:rPr>
        <w:t xml:space="preserve"> </w:t>
      </w:r>
      <w:r w:rsidRPr="00F92F27">
        <w:rPr>
          <w:rFonts w:asciiTheme="minorHAnsi" w:hAnsiTheme="minorHAnsi" w:cstheme="minorHAnsi"/>
          <w:szCs w:val="18"/>
          <w:lang w:val="en-US"/>
        </w:rPr>
        <w:t xml:space="preserve">difference in the </w:t>
      </w:r>
      <w:r w:rsidR="00634067" w:rsidRPr="00F92F27">
        <w:rPr>
          <w:rFonts w:asciiTheme="minorHAnsi" w:hAnsiTheme="minorHAnsi" w:cstheme="minorHAnsi"/>
          <w:szCs w:val="18"/>
          <w:lang w:val="en-US"/>
        </w:rPr>
        <w:t>LJF</w:t>
      </w:r>
      <w:r w:rsidRPr="00F92F27">
        <w:rPr>
          <w:rFonts w:asciiTheme="minorHAnsi" w:hAnsiTheme="minorHAnsi" w:cstheme="minorHAnsi"/>
          <w:szCs w:val="18"/>
          <w:lang w:val="en-US"/>
        </w:rPr>
        <w:t xml:space="preserve"> process for grant </w:t>
      </w:r>
      <w:r w:rsidR="006831D4">
        <w:rPr>
          <w:rFonts w:asciiTheme="minorHAnsi" w:hAnsiTheme="minorHAnsi" w:cstheme="minorHAnsi"/>
          <w:szCs w:val="18"/>
          <w:lang w:val="en-US"/>
        </w:rPr>
        <w:t xml:space="preserve">or loan </w:t>
      </w:r>
      <w:r w:rsidRPr="00F92F27">
        <w:rPr>
          <w:rFonts w:asciiTheme="minorHAnsi" w:hAnsiTheme="minorHAnsi" w:cstheme="minorHAnsi"/>
          <w:szCs w:val="18"/>
          <w:lang w:val="en-US"/>
        </w:rPr>
        <w:t xml:space="preserve">recipients is the requirement to consult with the ICN to acquire an Interaction Reference Number (IRN) rather than register and </w:t>
      </w:r>
      <w:r w:rsidR="00634067" w:rsidRPr="00F92F27">
        <w:rPr>
          <w:rFonts w:asciiTheme="minorHAnsi" w:hAnsiTheme="minorHAnsi" w:cstheme="minorHAnsi"/>
          <w:szCs w:val="18"/>
          <w:lang w:val="en-US"/>
        </w:rPr>
        <w:t>develop</w:t>
      </w:r>
      <w:r w:rsidRPr="00F92F27">
        <w:rPr>
          <w:rFonts w:asciiTheme="minorHAnsi" w:hAnsiTheme="minorHAnsi" w:cstheme="minorHAnsi"/>
          <w:szCs w:val="18"/>
          <w:lang w:val="en-US"/>
        </w:rPr>
        <w:t xml:space="preserve"> </w:t>
      </w:r>
      <w:r w:rsidR="000830CF">
        <w:rPr>
          <w:rFonts w:asciiTheme="minorHAnsi" w:hAnsiTheme="minorHAnsi" w:cstheme="minorHAnsi"/>
          <w:szCs w:val="18"/>
          <w:lang w:val="en-US"/>
        </w:rPr>
        <w:t>an LIDP</w:t>
      </w:r>
      <w:r w:rsidRPr="00F92F27">
        <w:rPr>
          <w:rFonts w:asciiTheme="minorHAnsi" w:hAnsiTheme="minorHAnsi" w:cstheme="minorHAnsi"/>
          <w:szCs w:val="18"/>
          <w:lang w:val="en-US"/>
        </w:rPr>
        <w:t xml:space="preserve">. </w:t>
      </w:r>
    </w:p>
    <w:p w14:paraId="5C533F02" w14:textId="500CCDDD" w:rsidR="00663DD7" w:rsidRDefault="00663DD7" w:rsidP="00DE7CD3">
      <w:pPr>
        <w:numPr>
          <w:ilvl w:val="0"/>
          <w:numId w:val="16"/>
        </w:numPr>
        <w:spacing w:before="0" w:line="276" w:lineRule="auto"/>
        <w:jc w:val="both"/>
      </w:pPr>
      <w:r w:rsidRPr="00F92F27">
        <w:rPr>
          <w:rFonts w:asciiTheme="minorHAnsi" w:hAnsiTheme="minorHAnsi" w:cstheme="minorHAnsi"/>
          <w:szCs w:val="18"/>
          <w:lang w:val="en-US"/>
        </w:rPr>
        <w:t xml:space="preserve">The application of </w:t>
      </w:r>
      <w:r w:rsidR="00634067" w:rsidRPr="00F92F27">
        <w:rPr>
          <w:rFonts w:asciiTheme="minorHAnsi" w:hAnsiTheme="minorHAnsi" w:cstheme="minorHAnsi"/>
          <w:szCs w:val="18"/>
          <w:lang w:val="en-US"/>
        </w:rPr>
        <w:t>LJF</w:t>
      </w:r>
      <w:r w:rsidR="00542874" w:rsidRPr="00F92F27">
        <w:rPr>
          <w:rFonts w:asciiTheme="minorHAnsi" w:hAnsiTheme="minorHAnsi" w:cstheme="minorHAnsi"/>
          <w:szCs w:val="18"/>
          <w:lang w:val="en-US"/>
        </w:rPr>
        <w:t xml:space="preserve"> </w:t>
      </w:r>
      <w:r w:rsidRPr="00F92F27">
        <w:rPr>
          <w:rFonts w:asciiTheme="minorHAnsi" w:hAnsiTheme="minorHAnsi" w:cstheme="minorHAnsi"/>
          <w:szCs w:val="18"/>
          <w:lang w:val="en-US"/>
        </w:rPr>
        <w:t>to grant</w:t>
      </w:r>
      <w:r w:rsidR="006831D4">
        <w:rPr>
          <w:rFonts w:asciiTheme="minorHAnsi" w:hAnsiTheme="minorHAnsi" w:cstheme="minorHAnsi"/>
          <w:szCs w:val="18"/>
          <w:lang w:val="en-US"/>
        </w:rPr>
        <w:t xml:space="preserve"> or loan</w:t>
      </w:r>
      <w:r w:rsidRPr="00F92F27">
        <w:rPr>
          <w:rFonts w:asciiTheme="minorHAnsi" w:hAnsiTheme="minorHAnsi" w:cstheme="minorHAnsi"/>
          <w:szCs w:val="18"/>
          <w:lang w:val="en-US"/>
        </w:rPr>
        <w:t xml:space="preserve"> recipients </w:t>
      </w:r>
      <w:r w:rsidR="00634067" w:rsidRPr="00F92F27">
        <w:rPr>
          <w:rFonts w:asciiTheme="minorHAnsi" w:hAnsiTheme="minorHAnsi" w:cstheme="minorHAnsi"/>
          <w:szCs w:val="18"/>
          <w:lang w:val="en-US"/>
        </w:rPr>
        <w:t>ensures that</w:t>
      </w:r>
      <w:r w:rsidRPr="00F92F27">
        <w:rPr>
          <w:rFonts w:asciiTheme="minorHAnsi" w:hAnsiTheme="minorHAnsi" w:cstheme="minorHAnsi"/>
          <w:szCs w:val="18"/>
          <w:lang w:val="en-US"/>
        </w:rPr>
        <w:t xml:space="preserve"> local SMEs are able to access opportunities within the procurement</w:t>
      </w:r>
      <w:r>
        <w:t xml:space="preserve"> activity once it </w:t>
      </w:r>
      <w:r w:rsidR="00E81939">
        <w:t>starts</w:t>
      </w:r>
      <w:r>
        <w:t xml:space="preserve">. </w:t>
      </w:r>
    </w:p>
    <w:p w14:paraId="488FB940" w14:textId="2A6BE959" w:rsidR="006831D4" w:rsidRDefault="006831D4" w:rsidP="00DE7CD3">
      <w:pPr>
        <w:numPr>
          <w:ilvl w:val="0"/>
          <w:numId w:val="16"/>
        </w:numPr>
        <w:spacing w:before="0" w:line="276" w:lineRule="auto"/>
        <w:jc w:val="both"/>
      </w:pPr>
      <w:r>
        <w:t xml:space="preserve">In the below steps, “grants” refers to both grants and loans provided by the State </w:t>
      </w:r>
      <w:r w:rsidR="003B07A4">
        <w:t>G</w:t>
      </w:r>
      <w:r>
        <w:t xml:space="preserve">overnment. </w:t>
      </w:r>
    </w:p>
    <w:p w14:paraId="35369362" w14:textId="617B5DE3" w:rsidR="00663DD7" w:rsidRPr="00542874" w:rsidRDefault="00542874" w:rsidP="001E04C5">
      <w:pPr>
        <w:jc w:val="both"/>
        <w:rPr>
          <w:b/>
        </w:rPr>
      </w:pPr>
      <w:r>
        <w:rPr>
          <w:b/>
        </w:rPr>
        <w:t>Step One – grant recipient</w:t>
      </w:r>
      <w:r w:rsidR="00663DD7" w:rsidRPr="00542874">
        <w:rPr>
          <w:b/>
        </w:rPr>
        <w:t xml:space="preserve"> awarded </w:t>
      </w:r>
    </w:p>
    <w:p w14:paraId="638B7819" w14:textId="014029A5" w:rsidR="00663DD7" w:rsidRPr="006A130B" w:rsidRDefault="00663DD7" w:rsidP="00DE7CD3">
      <w:pPr>
        <w:numPr>
          <w:ilvl w:val="0"/>
          <w:numId w:val="16"/>
        </w:numPr>
        <w:spacing w:before="0" w:line="276" w:lineRule="auto"/>
        <w:jc w:val="both"/>
        <w:rPr>
          <w:rFonts w:asciiTheme="minorHAnsi" w:hAnsiTheme="minorHAnsi" w:cstheme="minorHAnsi"/>
          <w:szCs w:val="18"/>
          <w:lang w:val="en-US"/>
        </w:rPr>
      </w:pPr>
      <w:r w:rsidRPr="00F92F27">
        <w:rPr>
          <w:rFonts w:asciiTheme="minorHAnsi" w:hAnsiTheme="minorHAnsi" w:cstheme="minorHAnsi"/>
          <w:szCs w:val="18"/>
          <w:lang w:val="en-US"/>
        </w:rPr>
        <w:t xml:space="preserve">The </w:t>
      </w:r>
      <w:r w:rsidR="003B07A4">
        <w:rPr>
          <w:rFonts w:asciiTheme="minorHAnsi" w:hAnsiTheme="minorHAnsi" w:cstheme="minorHAnsi"/>
          <w:szCs w:val="18"/>
          <w:lang w:val="en-US"/>
        </w:rPr>
        <w:t>a</w:t>
      </w:r>
      <w:r w:rsidRPr="00F92F27">
        <w:rPr>
          <w:rFonts w:asciiTheme="minorHAnsi" w:hAnsiTheme="minorHAnsi" w:cstheme="minorHAnsi"/>
          <w:szCs w:val="18"/>
          <w:lang w:val="en-US"/>
        </w:rPr>
        <w:t xml:space="preserve">gency contract manager will advise the grant recipient that they must submit </w:t>
      </w:r>
      <w:r w:rsidR="00077CDB" w:rsidRPr="00F92F27">
        <w:rPr>
          <w:rFonts w:asciiTheme="minorHAnsi" w:hAnsiTheme="minorHAnsi" w:cstheme="minorHAnsi"/>
          <w:szCs w:val="18"/>
          <w:lang w:val="en-US"/>
        </w:rPr>
        <w:t>an IRN</w:t>
      </w:r>
      <w:r w:rsidRPr="00F92F27">
        <w:rPr>
          <w:rFonts w:asciiTheme="minorHAnsi" w:hAnsiTheme="minorHAnsi" w:cstheme="minorHAnsi"/>
          <w:szCs w:val="18"/>
          <w:lang w:val="en-US"/>
        </w:rPr>
        <w:t xml:space="preserve"> form th</w:t>
      </w:r>
      <w:r w:rsidR="00751B62">
        <w:rPr>
          <w:rFonts w:asciiTheme="minorHAnsi" w:hAnsiTheme="minorHAnsi" w:cstheme="minorHAnsi"/>
          <w:szCs w:val="18"/>
          <w:lang w:val="en-US"/>
        </w:rPr>
        <w:t>r</w:t>
      </w:r>
      <w:r w:rsidR="00542874" w:rsidRPr="00F92F27">
        <w:rPr>
          <w:rFonts w:asciiTheme="minorHAnsi" w:hAnsiTheme="minorHAnsi" w:cstheme="minorHAnsi"/>
          <w:szCs w:val="18"/>
          <w:lang w:val="en-US"/>
        </w:rPr>
        <w:t xml:space="preserve">ough the </w:t>
      </w:r>
      <w:r w:rsidR="00E418B8" w:rsidRPr="00F92F27">
        <w:rPr>
          <w:rFonts w:asciiTheme="minorHAnsi" w:hAnsiTheme="minorHAnsi" w:cstheme="minorHAnsi"/>
          <w:szCs w:val="18"/>
          <w:lang w:val="en-US"/>
        </w:rPr>
        <w:t>VMC</w:t>
      </w:r>
      <w:r w:rsidR="006A130B">
        <w:rPr>
          <w:rFonts w:asciiTheme="minorHAnsi" w:hAnsiTheme="minorHAnsi" w:cstheme="minorHAnsi"/>
          <w:szCs w:val="18"/>
          <w:lang w:val="en-US"/>
        </w:rPr>
        <w:t xml:space="preserve"> at </w:t>
      </w:r>
      <w:hyperlink r:id="rId26" w:history="1">
        <w:r w:rsidR="00767D3B" w:rsidRPr="002E63A2">
          <w:rPr>
            <w:rStyle w:val="Hyperlink"/>
          </w:rPr>
          <w:t>www.icnforce.com</w:t>
        </w:r>
      </w:hyperlink>
      <w:bookmarkStart w:id="42" w:name="_GoBack"/>
      <w:bookmarkEnd w:id="42"/>
      <w:r w:rsidR="00FE5902">
        <w:rPr>
          <w:rFonts w:asciiTheme="minorHAnsi" w:hAnsiTheme="minorHAnsi" w:cstheme="minorHAnsi"/>
          <w:szCs w:val="18"/>
          <w:lang w:val="en-US"/>
        </w:rPr>
        <w:t xml:space="preserve">. Registration on the VMC is not required for grants, there is a separate </w:t>
      </w:r>
      <w:r w:rsidR="00430A5F">
        <w:rPr>
          <w:rFonts w:asciiTheme="minorHAnsi" w:hAnsiTheme="minorHAnsi" w:cstheme="minorHAnsi"/>
          <w:szCs w:val="18"/>
          <w:lang w:val="en-US"/>
        </w:rPr>
        <w:t xml:space="preserve">link on the </w:t>
      </w:r>
      <w:r w:rsidR="00430A5F">
        <w:rPr>
          <w:rFonts w:asciiTheme="minorHAnsi" w:hAnsiTheme="minorHAnsi" w:cstheme="minorHAnsi"/>
          <w:szCs w:val="18"/>
          <w:lang w:val="en-US"/>
        </w:rPr>
        <w:lastRenderedPageBreak/>
        <w:t>registration page.</w:t>
      </w:r>
      <w:r w:rsidR="00515C48">
        <w:rPr>
          <w:rFonts w:asciiTheme="minorHAnsi" w:hAnsiTheme="minorHAnsi" w:cstheme="minorHAnsi"/>
          <w:szCs w:val="18"/>
          <w:lang w:val="en-US"/>
        </w:rPr>
        <w:t xml:space="preserve"> The</w:t>
      </w:r>
      <w:r w:rsidR="00FA159C">
        <w:rPr>
          <w:rFonts w:asciiTheme="minorHAnsi" w:hAnsiTheme="minorHAnsi" w:cstheme="minorHAnsi"/>
          <w:szCs w:val="18"/>
          <w:lang w:val="en-US"/>
        </w:rPr>
        <w:t xml:space="preserve"> </w:t>
      </w:r>
      <w:r w:rsidR="008A4209">
        <w:rPr>
          <w:rFonts w:asciiTheme="minorHAnsi" w:hAnsiTheme="minorHAnsi" w:cstheme="minorHAnsi"/>
          <w:szCs w:val="18"/>
          <w:lang w:val="en-US"/>
        </w:rPr>
        <w:t>registration should occur as soon as the grant recipient and agency reasonably expect the grant arrangement to proceed</w:t>
      </w:r>
      <w:r w:rsidR="00515C48">
        <w:rPr>
          <w:rFonts w:asciiTheme="minorHAnsi" w:hAnsiTheme="minorHAnsi" w:cstheme="minorHAnsi"/>
          <w:szCs w:val="18"/>
          <w:lang w:val="en-US"/>
        </w:rPr>
        <w:t xml:space="preserve"> </w:t>
      </w:r>
    </w:p>
    <w:p w14:paraId="788B4945" w14:textId="7E04B247" w:rsidR="00663DD7" w:rsidRDefault="00663DD7" w:rsidP="00DE7CD3">
      <w:pPr>
        <w:numPr>
          <w:ilvl w:val="0"/>
          <w:numId w:val="16"/>
        </w:numPr>
        <w:spacing w:before="0" w:line="276" w:lineRule="auto"/>
        <w:jc w:val="both"/>
      </w:pPr>
      <w:r w:rsidRPr="00542874">
        <w:rPr>
          <w:rFonts w:asciiTheme="minorHAnsi" w:hAnsiTheme="minorHAnsi" w:cstheme="minorHAnsi"/>
          <w:szCs w:val="18"/>
          <w:lang w:val="en-US"/>
        </w:rPr>
        <w:t xml:space="preserve">The IRN </w:t>
      </w:r>
      <w:r w:rsidR="00E418B8">
        <w:rPr>
          <w:rFonts w:asciiTheme="minorHAnsi" w:hAnsiTheme="minorHAnsi" w:cstheme="minorHAnsi"/>
          <w:szCs w:val="18"/>
          <w:lang w:val="en-US"/>
        </w:rPr>
        <w:t>f</w:t>
      </w:r>
      <w:r w:rsidRPr="00542874">
        <w:rPr>
          <w:rFonts w:asciiTheme="minorHAnsi" w:hAnsiTheme="minorHAnsi" w:cstheme="minorHAnsi"/>
          <w:szCs w:val="18"/>
          <w:lang w:val="en-US"/>
        </w:rPr>
        <w:t xml:space="preserve">orm requires grant recipients and design contractors to </w:t>
      </w:r>
      <w:r w:rsidR="008F0CAD">
        <w:rPr>
          <w:rFonts w:asciiTheme="minorHAnsi" w:hAnsiTheme="minorHAnsi" w:cstheme="minorHAnsi"/>
          <w:szCs w:val="18"/>
          <w:lang w:val="en-US"/>
        </w:rPr>
        <w:t>give</w:t>
      </w:r>
      <w:r w:rsidR="008F0CAD" w:rsidRPr="00542874">
        <w:rPr>
          <w:rFonts w:asciiTheme="minorHAnsi" w:hAnsiTheme="minorHAnsi" w:cstheme="minorHAnsi"/>
          <w:szCs w:val="18"/>
          <w:lang w:val="en-US"/>
        </w:rPr>
        <w:t xml:space="preserve"> </w:t>
      </w:r>
      <w:r w:rsidRPr="00542874">
        <w:rPr>
          <w:rFonts w:asciiTheme="minorHAnsi" w:hAnsiTheme="minorHAnsi" w:cstheme="minorHAnsi"/>
          <w:szCs w:val="18"/>
          <w:lang w:val="en-US"/>
        </w:rPr>
        <w:t>an indication on the nature of the</w:t>
      </w:r>
      <w:r w:rsidR="00E418B8">
        <w:rPr>
          <w:rFonts w:asciiTheme="minorHAnsi" w:hAnsiTheme="minorHAnsi" w:cstheme="minorHAnsi"/>
          <w:szCs w:val="18"/>
          <w:lang w:val="en-US"/>
        </w:rPr>
        <w:t xml:space="preserve"> grant activities to be undertaken or</w:t>
      </w:r>
      <w:r w:rsidRPr="00542874">
        <w:rPr>
          <w:rFonts w:asciiTheme="minorHAnsi" w:hAnsiTheme="minorHAnsi" w:cstheme="minorHAnsi"/>
          <w:szCs w:val="18"/>
          <w:lang w:val="en-US"/>
        </w:rPr>
        <w:t xml:space="preserve"> project being designed</w:t>
      </w:r>
      <w:r w:rsidRPr="00F92F27">
        <w:rPr>
          <w:rFonts w:asciiTheme="minorHAnsi" w:hAnsiTheme="minorHAnsi" w:cstheme="minorHAnsi"/>
          <w:szCs w:val="18"/>
          <w:lang w:val="en-US"/>
        </w:rPr>
        <w:t>, and the likely goods and services to be required</w:t>
      </w:r>
      <w:r>
        <w:t xml:space="preserve">. </w:t>
      </w:r>
    </w:p>
    <w:p w14:paraId="1286D561" w14:textId="6F8D791D" w:rsidR="00663DD7" w:rsidRPr="007A41B2" w:rsidRDefault="00663DD7" w:rsidP="001E04C5">
      <w:pPr>
        <w:jc w:val="both"/>
        <w:rPr>
          <w:rFonts w:asciiTheme="minorHAnsi" w:hAnsiTheme="minorHAnsi" w:cstheme="minorHAnsi"/>
          <w:szCs w:val="18"/>
          <w:lang w:val="en-US"/>
        </w:rPr>
      </w:pPr>
      <w:r w:rsidRPr="00542874">
        <w:rPr>
          <w:b/>
        </w:rPr>
        <w:t xml:space="preserve">Step Two – consultation </w:t>
      </w:r>
      <w:r w:rsidRPr="007A41B2">
        <w:rPr>
          <w:b/>
        </w:rPr>
        <w:t xml:space="preserve">with </w:t>
      </w:r>
      <w:r w:rsidR="0072078F" w:rsidRPr="007A41B2">
        <w:rPr>
          <w:b/>
        </w:rPr>
        <w:t xml:space="preserve">the </w:t>
      </w:r>
      <w:r w:rsidRPr="007A41B2">
        <w:rPr>
          <w:b/>
        </w:rPr>
        <w:t>ICN</w:t>
      </w:r>
      <w:r w:rsidRPr="007A41B2">
        <w:rPr>
          <w:rFonts w:asciiTheme="minorHAnsi" w:hAnsiTheme="minorHAnsi" w:cstheme="minorHAnsi"/>
          <w:szCs w:val="18"/>
          <w:lang w:val="en-US"/>
        </w:rPr>
        <w:t xml:space="preserve"> </w:t>
      </w:r>
    </w:p>
    <w:p w14:paraId="59B4A0B6" w14:textId="7B005A4A" w:rsidR="00663DD7" w:rsidRPr="00542874" w:rsidRDefault="00663DD7" w:rsidP="00DE7CD3">
      <w:pPr>
        <w:numPr>
          <w:ilvl w:val="0"/>
          <w:numId w:val="16"/>
        </w:numPr>
        <w:spacing w:before="0" w:line="276" w:lineRule="auto"/>
        <w:jc w:val="both"/>
        <w:rPr>
          <w:rFonts w:asciiTheme="minorHAnsi" w:hAnsiTheme="minorHAnsi" w:cstheme="minorHAnsi"/>
          <w:szCs w:val="18"/>
          <w:lang w:val="en-US"/>
        </w:rPr>
      </w:pPr>
      <w:r w:rsidRPr="00542874">
        <w:rPr>
          <w:rFonts w:asciiTheme="minorHAnsi" w:hAnsiTheme="minorHAnsi" w:cstheme="minorHAnsi"/>
          <w:szCs w:val="18"/>
          <w:lang w:val="en-US"/>
        </w:rPr>
        <w:t xml:space="preserve">Once the IRN form is submitted, </w:t>
      </w:r>
      <w:r w:rsidR="0072078F" w:rsidRPr="007A41B2">
        <w:rPr>
          <w:rFonts w:asciiTheme="minorHAnsi" w:hAnsiTheme="minorHAnsi" w:cstheme="minorHAnsi"/>
          <w:szCs w:val="18"/>
          <w:lang w:val="en-US"/>
        </w:rPr>
        <w:t xml:space="preserve">the </w:t>
      </w:r>
      <w:r w:rsidRPr="00542874">
        <w:rPr>
          <w:rFonts w:asciiTheme="minorHAnsi" w:hAnsiTheme="minorHAnsi" w:cstheme="minorHAnsi"/>
          <w:szCs w:val="18"/>
          <w:lang w:val="en-US"/>
        </w:rPr>
        <w:t xml:space="preserve">ICN will review the information and then contact the grant recipient to discuss opportunities for local industry. </w:t>
      </w:r>
    </w:p>
    <w:p w14:paraId="36E9333B" w14:textId="68DF4892" w:rsidR="00545D01" w:rsidRDefault="00663DD7" w:rsidP="00DE7CD3">
      <w:pPr>
        <w:numPr>
          <w:ilvl w:val="0"/>
          <w:numId w:val="16"/>
        </w:numPr>
        <w:spacing w:before="0" w:line="276" w:lineRule="auto"/>
        <w:jc w:val="both"/>
        <w:rPr>
          <w:rFonts w:asciiTheme="minorHAnsi" w:hAnsiTheme="minorHAnsi" w:cstheme="minorHAnsi"/>
          <w:szCs w:val="18"/>
          <w:lang w:val="en-US"/>
        </w:rPr>
      </w:pPr>
      <w:r w:rsidRPr="00542874">
        <w:rPr>
          <w:rFonts w:asciiTheme="minorHAnsi" w:hAnsiTheme="minorHAnsi" w:cstheme="minorHAnsi"/>
          <w:szCs w:val="18"/>
          <w:lang w:val="en-US"/>
        </w:rPr>
        <w:t xml:space="preserve">The grant recipient must discuss with </w:t>
      </w:r>
      <w:r w:rsidR="0072078F" w:rsidRPr="007A41B2">
        <w:rPr>
          <w:rFonts w:asciiTheme="minorHAnsi" w:hAnsiTheme="minorHAnsi" w:cstheme="minorHAnsi"/>
          <w:szCs w:val="18"/>
          <w:lang w:val="en-US"/>
        </w:rPr>
        <w:t xml:space="preserve">the </w:t>
      </w:r>
      <w:r w:rsidRPr="00542874">
        <w:rPr>
          <w:rFonts w:asciiTheme="minorHAnsi" w:hAnsiTheme="minorHAnsi" w:cstheme="minorHAnsi"/>
          <w:szCs w:val="18"/>
          <w:lang w:val="en-US"/>
        </w:rPr>
        <w:t xml:space="preserve">ICN how opportunities for </w:t>
      </w:r>
      <w:r w:rsidR="00545D01" w:rsidRPr="00F92F27">
        <w:rPr>
          <w:rFonts w:asciiTheme="minorHAnsi" w:hAnsiTheme="minorHAnsi" w:cstheme="minorHAnsi"/>
          <w:szCs w:val="18"/>
          <w:lang w:val="en-US"/>
        </w:rPr>
        <w:t>SMEs</w:t>
      </w:r>
      <w:r w:rsidR="0072078F">
        <w:rPr>
          <w:rFonts w:asciiTheme="minorHAnsi" w:hAnsiTheme="minorHAnsi" w:cstheme="minorHAnsi"/>
          <w:szCs w:val="18"/>
          <w:lang w:val="en-US"/>
        </w:rPr>
        <w:t>.</w:t>
      </w:r>
      <w:r w:rsidR="00545D01" w:rsidRPr="00F92F27">
        <w:rPr>
          <w:rFonts w:asciiTheme="minorHAnsi" w:hAnsiTheme="minorHAnsi" w:cstheme="minorHAnsi"/>
          <w:szCs w:val="18"/>
          <w:lang w:val="en-US"/>
        </w:rPr>
        <w:t xml:space="preserve"> </w:t>
      </w:r>
    </w:p>
    <w:p w14:paraId="018641FC" w14:textId="5FF9BCEC" w:rsidR="00663DD7" w:rsidRPr="00542874" w:rsidRDefault="00F630B3" w:rsidP="00DE7CD3">
      <w:pPr>
        <w:numPr>
          <w:ilvl w:val="0"/>
          <w:numId w:val="16"/>
        </w:numPr>
        <w:spacing w:before="0" w:line="276" w:lineRule="auto"/>
        <w:jc w:val="both"/>
        <w:rPr>
          <w:rFonts w:asciiTheme="minorHAnsi" w:hAnsiTheme="minorHAnsi" w:cstheme="minorHAnsi"/>
          <w:szCs w:val="18"/>
          <w:lang w:val="en-US"/>
        </w:rPr>
      </w:pPr>
      <w:r>
        <w:rPr>
          <w:rFonts w:asciiTheme="minorHAnsi" w:hAnsiTheme="minorHAnsi" w:cstheme="minorHAnsi"/>
          <w:szCs w:val="18"/>
          <w:lang w:val="en-US"/>
        </w:rPr>
        <w:t>SMEs</w:t>
      </w:r>
      <w:r w:rsidR="00F77927" w:rsidRPr="00F92F27">
        <w:rPr>
          <w:rFonts w:asciiTheme="minorHAnsi" w:hAnsiTheme="minorHAnsi" w:cstheme="minorHAnsi"/>
          <w:szCs w:val="18"/>
          <w:lang w:val="en-US"/>
        </w:rPr>
        <w:t xml:space="preserve"> </w:t>
      </w:r>
      <w:r w:rsidR="00663DD7" w:rsidRPr="00542874">
        <w:rPr>
          <w:rFonts w:asciiTheme="minorHAnsi" w:hAnsiTheme="minorHAnsi" w:cstheme="minorHAnsi"/>
          <w:szCs w:val="18"/>
          <w:lang w:val="en-US"/>
        </w:rPr>
        <w:t xml:space="preserve">or contestable items will be </w:t>
      </w:r>
      <w:r w:rsidR="008F0CAD">
        <w:rPr>
          <w:rFonts w:asciiTheme="minorHAnsi" w:hAnsiTheme="minorHAnsi" w:cstheme="minorHAnsi"/>
          <w:szCs w:val="18"/>
          <w:lang w:val="en-US"/>
        </w:rPr>
        <w:t>given</w:t>
      </w:r>
      <w:r w:rsidR="008F0CAD" w:rsidRPr="00542874">
        <w:rPr>
          <w:rFonts w:asciiTheme="minorHAnsi" w:hAnsiTheme="minorHAnsi" w:cstheme="minorHAnsi"/>
          <w:szCs w:val="18"/>
          <w:lang w:val="en-US"/>
        </w:rPr>
        <w:t xml:space="preserve"> </w:t>
      </w:r>
      <w:r w:rsidR="00663DD7" w:rsidRPr="00542874">
        <w:rPr>
          <w:rFonts w:asciiTheme="minorHAnsi" w:hAnsiTheme="minorHAnsi" w:cstheme="minorHAnsi"/>
          <w:szCs w:val="18"/>
          <w:lang w:val="en-US"/>
        </w:rPr>
        <w:t>for the project. This may involve</w:t>
      </w:r>
      <w:r w:rsidR="004B7077">
        <w:rPr>
          <w:rFonts w:asciiTheme="minorHAnsi" w:hAnsiTheme="minorHAnsi" w:cstheme="minorHAnsi"/>
          <w:szCs w:val="18"/>
          <w:lang w:val="en-US"/>
        </w:rPr>
        <w:t xml:space="preserve"> </w:t>
      </w:r>
      <w:r w:rsidR="004B7077" w:rsidRPr="007A41B2">
        <w:rPr>
          <w:rFonts w:asciiTheme="minorHAnsi" w:hAnsiTheme="minorHAnsi" w:cstheme="minorHAnsi"/>
          <w:szCs w:val="18"/>
          <w:lang w:val="en-US"/>
        </w:rPr>
        <w:t xml:space="preserve">the </w:t>
      </w:r>
      <w:r w:rsidR="00663DD7" w:rsidRPr="00542874">
        <w:rPr>
          <w:rFonts w:asciiTheme="minorHAnsi" w:hAnsiTheme="minorHAnsi" w:cstheme="minorHAnsi"/>
          <w:szCs w:val="18"/>
          <w:lang w:val="en-US"/>
        </w:rPr>
        <w:t xml:space="preserve">ICN contributing </w:t>
      </w:r>
      <w:r w:rsidR="00542874" w:rsidRPr="00542874">
        <w:rPr>
          <w:rFonts w:asciiTheme="minorHAnsi" w:hAnsiTheme="minorHAnsi" w:cstheme="minorHAnsi"/>
          <w:szCs w:val="18"/>
          <w:lang w:val="en-US"/>
        </w:rPr>
        <w:t>to or</w:t>
      </w:r>
      <w:r w:rsidR="00663DD7" w:rsidRPr="00542874">
        <w:rPr>
          <w:rFonts w:asciiTheme="minorHAnsi" w:hAnsiTheme="minorHAnsi" w:cstheme="minorHAnsi"/>
          <w:szCs w:val="18"/>
          <w:lang w:val="en-US"/>
        </w:rPr>
        <w:t xml:space="preserve"> reviewing draft designs or participating in particular project meetings. </w:t>
      </w:r>
    </w:p>
    <w:p w14:paraId="169E0830" w14:textId="32A8C6BF" w:rsidR="00663DD7" w:rsidRDefault="00663DD7" w:rsidP="00DE7CD3">
      <w:pPr>
        <w:numPr>
          <w:ilvl w:val="0"/>
          <w:numId w:val="16"/>
        </w:numPr>
        <w:spacing w:before="0" w:line="276" w:lineRule="auto"/>
        <w:jc w:val="both"/>
        <w:rPr>
          <w:rFonts w:asciiTheme="minorHAnsi" w:hAnsiTheme="minorHAnsi" w:cstheme="minorHAnsi"/>
          <w:szCs w:val="18"/>
          <w:lang w:val="en-US"/>
        </w:rPr>
      </w:pPr>
      <w:r w:rsidRPr="00542874">
        <w:rPr>
          <w:rFonts w:asciiTheme="minorHAnsi" w:hAnsiTheme="minorHAnsi" w:cstheme="minorHAnsi"/>
          <w:szCs w:val="18"/>
          <w:lang w:val="en-US"/>
        </w:rPr>
        <w:t xml:space="preserve">Consultation with </w:t>
      </w:r>
      <w:r w:rsidR="008734DE" w:rsidRPr="007A41B2">
        <w:rPr>
          <w:rFonts w:asciiTheme="minorHAnsi" w:hAnsiTheme="minorHAnsi" w:cstheme="minorHAnsi"/>
          <w:szCs w:val="18"/>
          <w:lang w:val="en-US"/>
        </w:rPr>
        <w:t xml:space="preserve">the </w:t>
      </w:r>
      <w:r w:rsidRPr="00542874">
        <w:rPr>
          <w:rFonts w:asciiTheme="minorHAnsi" w:hAnsiTheme="minorHAnsi" w:cstheme="minorHAnsi"/>
          <w:szCs w:val="18"/>
          <w:lang w:val="en-US"/>
        </w:rPr>
        <w:t xml:space="preserve">ICN can take between 30 minutes and a few hours, depending on the nature of the contestable items in the procurement activity. </w:t>
      </w:r>
    </w:p>
    <w:p w14:paraId="47ACD049" w14:textId="04BB6751" w:rsidR="00663DD7" w:rsidRPr="00542874" w:rsidRDefault="00663DD7" w:rsidP="001E04C5">
      <w:pPr>
        <w:jc w:val="both"/>
        <w:rPr>
          <w:b/>
        </w:rPr>
      </w:pPr>
      <w:r w:rsidRPr="00542874">
        <w:rPr>
          <w:b/>
        </w:rPr>
        <w:t>Step Three – Interaction Reference Number (IRN)</w:t>
      </w:r>
      <w:r w:rsidR="00752812">
        <w:rPr>
          <w:b/>
        </w:rPr>
        <w:t xml:space="preserve"> Notice</w:t>
      </w:r>
      <w:r w:rsidRPr="00542874">
        <w:rPr>
          <w:b/>
        </w:rPr>
        <w:t xml:space="preserve"> issued </w:t>
      </w:r>
    </w:p>
    <w:p w14:paraId="4BBF645C" w14:textId="791B79C6" w:rsidR="00663DD7" w:rsidRPr="00542874" w:rsidRDefault="008734DE" w:rsidP="00DE7CD3">
      <w:pPr>
        <w:numPr>
          <w:ilvl w:val="0"/>
          <w:numId w:val="16"/>
        </w:numPr>
        <w:spacing w:before="0" w:line="276" w:lineRule="auto"/>
        <w:jc w:val="both"/>
        <w:rPr>
          <w:rFonts w:asciiTheme="minorHAnsi" w:hAnsiTheme="minorHAnsi" w:cstheme="minorHAnsi"/>
          <w:szCs w:val="18"/>
          <w:lang w:val="en-US"/>
        </w:rPr>
      </w:pPr>
      <w:r w:rsidRPr="007A41B2">
        <w:rPr>
          <w:rFonts w:asciiTheme="minorHAnsi" w:hAnsiTheme="minorHAnsi" w:cstheme="minorHAnsi"/>
          <w:szCs w:val="18"/>
          <w:lang w:val="en-US"/>
        </w:rPr>
        <w:t xml:space="preserve">The </w:t>
      </w:r>
      <w:r w:rsidR="00663DD7" w:rsidRPr="00542874">
        <w:rPr>
          <w:rFonts w:asciiTheme="minorHAnsi" w:hAnsiTheme="minorHAnsi" w:cstheme="minorHAnsi"/>
          <w:szCs w:val="18"/>
          <w:lang w:val="en-US"/>
        </w:rPr>
        <w:t>ICN will issue the grant recipient with an IR</w:t>
      </w:r>
      <w:r w:rsidR="00A37BA0">
        <w:rPr>
          <w:rFonts w:asciiTheme="minorHAnsi" w:hAnsiTheme="minorHAnsi" w:cstheme="minorHAnsi"/>
          <w:szCs w:val="18"/>
          <w:lang w:val="en-US"/>
        </w:rPr>
        <w:t>N Notice</w:t>
      </w:r>
      <w:r w:rsidR="006A15BF">
        <w:rPr>
          <w:rFonts w:asciiTheme="minorHAnsi" w:hAnsiTheme="minorHAnsi" w:cstheme="minorHAnsi"/>
          <w:szCs w:val="18"/>
          <w:lang w:val="en-US"/>
        </w:rPr>
        <w:t xml:space="preserve">, if they are satisfied with the consultation. </w:t>
      </w:r>
    </w:p>
    <w:p w14:paraId="087A0BDF" w14:textId="0444F379" w:rsidR="00663DD7" w:rsidRDefault="00663DD7" w:rsidP="00DE7CD3">
      <w:pPr>
        <w:numPr>
          <w:ilvl w:val="0"/>
          <w:numId w:val="16"/>
        </w:numPr>
        <w:spacing w:before="0" w:line="276" w:lineRule="auto"/>
        <w:jc w:val="both"/>
        <w:rPr>
          <w:rFonts w:asciiTheme="minorHAnsi" w:hAnsiTheme="minorHAnsi" w:cstheme="minorHAnsi"/>
          <w:szCs w:val="18"/>
          <w:lang w:val="en-US"/>
        </w:rPr>
      </w:pPr>
      <w:r w:rsidRPr="00542874">
        <w:rPr>
          <w:rFonts w:asciiTheme="minorHAnsi" w:hAnsiTheme="minorHAnsi" w:cstheme="minorHAnsi"/>
          <w:szCs w:val="18"/>
          <w:lang w:val="en-US"/>
        </w:rPr>
        <w:t xml:space="preserve">The letter will note any agreements made between </w:t>
      </w:r>
      <w:r w:rsidR="00835EBC" w:rsidRPr="007A41B2">
        <w:rPr>
          <w:rFonts w:asciiTheme="minorHAnsi" w:hAnsiTheme="minorHAnsi" w:cstheme="minorHAnsi"/>
          <w:szCs w:val="18"/>
          <w:lang w:val="en-US"/>
        </w:rPr>
        <w:t xml:space="preserve">the </w:t>
      </w:r>
      <w:r w:rsidRPr="00542874">
        <w:rPr>
          <w:rFonts w:asciiTheme="minorHAnsi" w:hAnsiTheme="minorHAnsi" w:cstheme="minorHAnsi"/>
          <w:szCs w:val="18"/>
          <w:lang w:val="en-US"/>
        </w:rPr>
        <w:t xml:space="preserve">ICN and the grant recipient in their consultation </w:t>
      </w:r>
      <w:r w:rsidRPr="0061408A">
        <w:rPr>
          <w:rFonts w:asciiTheme="minorHAnsi" w:hAnsiTheme="minorHAnsi" w:cstheme="minorHAnsi"/>
          <w:szCs w:val="18"/>
          <w:lang w:val="en-US"/>
        </w:rPr>
        <w:t xml:space="preserve">past or in the future. </w:t>
      </w:r>
    </w:p>
    <w:p w14:paraId="4D261372" w14:textId="77777777" w:rsidR="00663DD7" w:rsidRPr="007A41B2" w:rsidRDefault="00663DD7" w:rsidP="001E04C5">
      <w:pPr>
        <w:jc w:val="both"/>
        <w:rPr>
          <w:b/>
        </w:rPr>
      </w:pPr>
      <w:r w:rsidRPr="007A41B2">
        <w:rPr>
          <w:b/>
        </w:rPr>
        <w:t>Step Four – Notify contract manager on IRN outcome</w:t>
      </w:r>
    </w:p>
    <w:p w14:paraId="48C4E769" w14:textId="3E4AD4EE" w:rsidR="00663DD7" w:rsidRPr="00CC4229" w:rsidRDefault="00663DD7" w:rsidP="00DE7CD3">
      <w:pPr>
        <w:numPr>
          <w:ilvl w:val="0"/>
          <w:numId w:val="16"/>
        </w:numPr>
        <w:spacing w:before="0" w:line="276" w:lineRule="auto"/>
        <w:jc w:val="both"/>
        <w:rPr>
          <w:rFonts w:asciiTheme="minorHAnsi" w:hAnsiTheme="minorHAnsi" w:cstheme="minorHAnsi"/>
          <w:szCs w:val="18"/>
          <w:lang w:val="en-US"/>
        </w:rPr>
      </w:pPr>
      <w:r w:rsidRPr="00CC4229">
        <w:rPr>
          <w:rFonts w:asciiTheme="minorHAnsi" w:hAnsiTheme="minorHAnsi" w:cstheme="minorHAnsi"/>
          <w:szCs w:val="18"/>
          <w:lang w:val="en-US"/>
        </w:rPr>
        <w:t xml:space="preserve">The grant recipient will submit its IRN to the </w:t>
      </w:r>
      <w:r w:rsidR="000E6548">
        <w:rPr>
          <w:rFonts w:asciiTheme="minorHAnsi" w:hAnsiTheme="minorHAnsi" w:cstheme="minorHAnsi"/>
          <w:szCs w:val="18"/>
          <w:lang w:val="en-US"/>
        </w:rPr>
        <w:t>a</w:t>
      </w:r>
      <w:r w:rsidR="00B36265" w:rsidRPr="00CC4229">
        <w:rPr>
          <w:rFonts w:asciiTheme="minorHAnsi" w:hAnsiTheme="minorHAnsi" w:cstheme="minorHAnsi"/>
          <w:szCs w:val="18"/>
          <w:lang w:val="en-US"/>
        </w:rPr>
        <w:t xml:space="preserve">gency </w:t>
      </w:r>
      <w:r w:rsidRPr="00CC4229">
        <w:rPr>
          <w:rFonts w:asciiTheme="minorHAnsi" w:hAnsiTheme="minorHAnsi" w:cstheme="minorHAnsi"/>
          <w:szCs w:val="18"/>
          <w:lang w:val="en-US"/>
        </w:rPr>
        <w:t xml:space="preserve">contract manager to demonstrate they have consulted with </w:t>
      </w:r>
      <w:r w:rsidR="002C51C8" w:rsidRPr="007A41B2">
        <w:rPr>
          <w:rFonts w:asciiTheme="minorHAnsi" w:hAnsiTheme="minorHAnsi" w:cstheme="minorHAnsi"/>
          <w:szCs w:val="18"/>
          <w:lang w:val="en-US"/>
        </w:rPr>
        <w:t xml:space="preserve">the </w:t>
      </w:r>
      <w:r w:rsidRPr="00CC4229">
        <w:rPr>
          <w:rFonts w:asciiTheme="minorHAnsi" w:hAnsiTheme="minorHAnsi" w:cstheme="minorHAnsi"/>
          <w:szCs w:val="18"/>
          <w:lang w:val="en-US"/>
        </w:rPr>
        <w:t xml:space="preserve">ICN, and </w:t>
      </w:r>
      <w:r w:rsidR="002C51C8" w:rsidRPr="007A41B2">
        <w:rPr>
          <w:rFonts w:asciiTheme="minorHAnsi" w:hAnsiTheme="minorHAnsi" w:cstheme="minorHAnsi"/>
          <w:szCs w:val="18"/>
          <w:lang w:val="en-US"/>
        </w:rPr>
        <w:t xml:space="preserve">the </w:t>
      </w:r>
      <w:r w:rsidRPr="00CC4229">
        <w:rPr>
          <w:rFonts w:asciiTheme="minorHAnsi" w:hAnsiTheme="minorHAnsi" w:cstheme="minorHAnsi"/>
          <w:szCs w:val="18"/>
          <w:lang w:val="en-US"/>
        </w:rPr>
        <w:t xml:space="preserve">ICN is satisfied local industry will be considered in the project. </w:t>
      </w:r>
      <w:r w:rsidR="00CC4229" w:rsidRPr="00CC4229">
        <w:rPr>
          <w:rFonts w:asciiTheme="minorHAnsi" w:hAnsiTheme="minorHAnsi" w:cstheme="minorHAnsi"/>
          <w:szCs w:val="18"/>
          <w:lang w:val="en-US"/>
        </w:rPr>
        <w:t xml:space="preserve">The grant recipient must provide the IRN to the agency within 20 business days of the grant agreement being executed. </w:t>
      </w:r>
    </w:p>
    <w:p w14:paraId="7DD9757A" w14:textId="68B23780" w:rsidR="0060402D" w:rsidRDefault="0060402D" w:rsidP="005E2EE1">
      <w:pPr>
        <w:pStyle w:val="Heading1"/>
        <w:ind w:left="426" w:hanging="578"/>
      </w:pPr>
      <w:bookmarkStart w:id="43" w:name="_Toc40369051"/>
      <w:r>
        <w:t>Applying Local Jobs First to Panels</w:t>
      </w:r>
      <w:bookmarkEnd w:id="43"/>
      <w:r>
        <w:t xml:space="preserve"> </w:t>
      </w:r>
    </w:p>
    <w:p w14:paraId="1A7CD331" w14:textId="02FEBB37" w:rsidR="0060402D" w:rsidRDefault="0060402D" w:rsidP="0035644D">
      <w:pPr>
        <w:numPr>
          <w:ilvl w:val="0"/>
          <w:numId w:val="30"/>
        </w:numPr>
        <w:spacing w:before="0" w:line="276" w:lineRule="auto"/>
        <w:jc w:val="both"/>
      </w:pPr>
      <w:r>
        <w:t xml:space="preserve">Panel contracts entail an agency appointing a panel of suppliers, from which individual suppliers are then selected to provide particular goods or services over the life of a project. </w:t>
      </w:r>
    </w:p>
    <w:p w14:paraId="41BEBAAB" w14:textId="0E743AF1" w:rsidR="0060402D" w:rsidRDefault="0060402D" w:rsidP="0035644D">
      <w:pPr>
        <w:numPr>
          <w:ilvl w:val="0"/>
          <w:numId w:val="30"/>
        </w:numPr>
        <w:spacing w:before="0" w:line="276" w:lineRule="auto"/>
        <w:jc w:val="both"/>
      </w:pPr>
      <w:r>
        <w:t>LJF applies at the point of purchase from a panel. If you are suppli</w:t>
      </w:r>
      <w:r w:rsidR="0027234C">
        <w:t>ng</w:t>
      </w:r>
      <w:r>
        <w:t xml:space="preserve"> goods, services or construction actives through a panel, it is subject to LJF if the total value of a project that utilises the panel meets the thresholds of:</w:t>
      </w:r>
    </w:p>
    <w:p w14:paraId="4D0C10FB" w14:textId="77777777" w:rsidR="0060402D" w:rsidRDefault="0060402D" w:rsidP="0035644D">
      <w:pPr>
        <w:spacing w:before="0" w:line="276" w:lineRule="auto"/>
        <w:ind w:left="360"/>
        <w:jc w:val="both"/>
      </w:pPr>
      <w:r>
        <w:t>•</w:t>
      </w:r>
      <w:r>
        <w:tab/>
        <w:t>$1 million or more in regional Victoria, or</w:t>
      </w:r>
    </w:p>
    <w:p w14:paraId="62F4455F" w14:textId="77777777" w:rsidR="0060402D" w:rsidRDefault="0060402D" w:rsidP="0035644D">
      <w:pPr>
        <w:spacing w:before="0" w:line="276" w:lineRule="auto"/>
        <w:ind w:left="360"/>
        <w:jc w:val="both"/>
      </w:pPr>
      <w:r>
        <w:t>•</w:t>
      </w:r>
      <w:r>
        <w:tab/>
        <w:t>$3 million or more in metropolitan Melbourne or for state-wide activities.</w:t>
      </w:r>
    </w:p>
    <w:p w14:paraId="501645B2" w14:textId="5ED9C05C" w:rsidR="0060402D" w:rsidRDefault="0060402D" w:rsidP="0035644D">
      <w:pPr>
        <w:numPr>
          <w:ilvl w:val="0"/>
          <w:numId w:val="30"/>
        </w:numPr>
        <w:spacing w:before="0" w:line="276" w:lineRule="auto"/>
        <w:jc w:val="both"/>
      </w:pPr>
      <w:r>
        <w:t>The delivery agency must develop a purchase order template and contract terms and conditions that reflect this requirement.</w:t>
      </w:r>
    </w:p>
    <w:p w14:paraId="017CA4FF" w14:textId="77777777" w:rsidR="0060402D" w:rsidRPr="00F647E1" w:rsidRDefault="0060402D" w:rsidP="0035644D">
      <w:pPr>
        <w:numPr>
          <w:ilvl w:val="0"/>
          <w:numId w:val="30"/>
        </w:numPr>
        <w:spacing w:before="0" w:line="276" w:lineRule="auto"/>
        <w:jc w:val="both"/>
        <w:rPr>
          <w:szCs w:val="18"/>
        </w:rPr>
      </w:pPr>
      <w:r w:rsidRPr="00F647E1">
        <w:rPr>
          <w:szCs w:val="18"/>
        </w:rPr>
        <w:t>EXAMPLES:</w:t>
      </w:r>
    </w:p>
    <w:p w14:paraId="25D26A42" w14:textId="1EF19C54" w:rsidR="0060402D" w:rsidRDefault="00AB19FB" w:rsidP="0035644D">
      <w:pPr>
        <w:pStyle w:val="ListParagraph"/>
        <w:numPr>
          <w:ilvl w:val="0"/>
          <w:numId w:val="31"/>
        </w:numPr>
        <w:spacing w:line="276" w:lineRule="auto"/>
        <w:jc w:val="both"/>
        <w:rPr>
          <w:rFonts w:asciiTheme="minorHAnsi" w:hAnsiTheme="minorHAnsi" w:cstheme="minorHAnsi"/>
          <w:sz w:val="18"/>
          <w:szCs w:val="18"/>
        </w:rPr>
      </w:pPr>
      <w:r>
        <w:rPr>
          <w:rFonts w:asciiTheme="minorHAnsi" w:hAnsiTheme="minorHAnsi" w:cstheme="minorHAnsi"/>
          <w:sz w:val="18"/>
          <w:szCs w:val="18"/>
        </w:rPr>
        <w:t>a</w:t>
      </w:r>
      <w:r w:rsidR="0060402D" w:rsidRPr="006C6B66">
        <w:rPr>
          <w:rFonts w:asciiTheme="minorHAnsi" w:hAnsiTheme="minorHAnsi" w:cstheme="minorHAnsi"/>
          <w:sz w:val="18"/>
          <w:szCs w:val="18"/>
        </w:rPr>
        <w:t xml:space="preserve"> one-off purchase by a department or agency procuring audit services from a supplier on the Professional Advisory Service (PAS) State Purchase Contract (SPC) that meets a threshold is required to complete a Local Industry Development Plan (LIDP); or</w:t>
      </w:r>
    </w:p>
    <w:p w14:paraId="0A1C0F51" w14:textId="77777777" w:rsidR="00EC269D" w:rsidRPr="006C6B66" w:rsidRDefault="00EC269D" w:rsidP="00EC269D">
      <w:pPr>
        <w:pStyle w:val="ListParagraph"/>
        <w:spacing w:line="276" w:lineRule="auto"/>
        <w:jc w:val="both"/>
        <w:rPr>
          <w:rFonts w:asciiTheme="minorHAnsi" w:hAnsiTheme="minorHAnsi" w:cstheme="minorHAnsi"/>
          <w:sz w:val="18"/>
          <w:szCs w:val="18"/>
        </w:rPr>
      </w:pPr>
    </w:p>
    <w:p w14:paraId="3E2B8E61" w14:textId="51A791BE" w:rsidR="002A74A0" w:rsidRDefault="00AB19FB" w:rsidP="002A74A0">
      <w:pPr>
        <w:pStyle w:val="ListParagraph"/>
        <w:numPr>
          <w:ilvl w:val="0"/>
          <w:numId w:val="31"/>
        </w:numPr>
        <w:spacing w:line="276" w:lineRule="auto"/>
        <w:jc w:val="both"/>
        <w:rPr>
          <w:rFonts w:asciiTheme="minorHAnsi" w:hAnsiTheme="minorHAnsi" w:cstheme="minorHAnsi"/>
          <w:sz w:val="18"/>
          <w:szCs w:val="18"/>
        </w:rPr>
      </w:pPr>
      <w:r>
        <w:rPr>
          <w:rFonts w:asciiTheme="minorHAnsi" w:hAnsiTheme="minorHAnsi" w:cstheme="minorHAnsi"/>
          <w:sz w:val="18"/>
          <w:szCs w:val="18"/>
        </w:rPr>
        <w:lastRenderedPageBreak/>
        <w:t>t</w:t>
      </w:r>
      <w:r w:rsidR="0060402D" w:rsidRPr="00EC269D">
        <w:rPr>
          <w:rFonts w:asciiTheme="minorHAnsi" w:hAnsiTheme="minorHAnsi" w:cstheme="minorHAnsi"/>
          <w:sz w:val="18"/>
          <w:szCs w:val="18"/>
        </w:rPr>
        <w:t>he procurement is part of a larger project where the total project value exceeds a threshold. Then each time a purchase by the delivery agency is made off a panel in relation to that project an LIDP must be completed. E.g.: every instance of legal advice sought on the specific project from the Legal Services SPC, irrespective of the value of the individual purchase order, an LIDP must be completed.</w:t>
      </w:r>
    </w:p>
    <w:p w14:paraId="210AE037" w14:textId="77777777" w:rsidR="002A74A0" w:rsidRPr="00CE6FBA" w:rsidRDefault="002A74A0" w:rsidP="00CE6FBA">
      <w:pPr>
        <w:spacing w:line="276" w:lineRule="auto"/>
        <w:jc w:val="both"/>
        <w:rPr>
          <w:rFonts w:asciiTheme="minorHAnsi" w:hAnsiTheme="minorHAnsi" w:cstheme="minorHAnsi"/>
          <w:szCs w:val="18"/>
        </w:rPr>
      </w:pPr>
    </w:p>
    <w:p w14:paraId="7F4CF66A" w14:textId="04800369" w:rsidR="0027234C" w:rsidRDefault="0060402D" w:rsidP="005E2EE1">
      <w:pPr>
        <w:numPr>
          <w:ilvl w:val="0"/>
          <w:numId w:val="30"/>
        </w:numPr>
        <w:spacing w:before="0" w:line="276" w:lineRule="auto"/>
        <w:jc w:val="both"/>
      </w:pPr>
      <w:r>
        <w:t>A Statement of Intent is no longer a requirement as part of applying Local Jobs First to panels.</w:t>
      </w:r>
    </w:p>
    <w:p w14:paraId="42401147" w14:textId="77777777" w:rsidR="00542874" w:rsidRDefault="00542874" w:rsidP="005E2EE1">
      <w:pPr>
        <w:pStyle w:val="Heading1"/>
        <w:ind w:left="426" w:hanging="578"/>
      </w:pPr>
      <w:bookmarkStart w:id="44" w:name="_Toc523396461"/>
      <w:bookmarkStart w:id="45" w:name="_Toc40369052"/>
      <w:r w:rsidRPr="00BE153E">
        <w:t>Local</w:t>
      </w:r>
      <w:r>
        <w:t xml:space="preserve"> Jobs First Monitoring Requirements</w:t>
      </w:r>
      <w:bookmarkEnd w:id="44"/>
      <w:bookmarkEnd w:id="45"/>
      <w:r>
        <w:t xml:space="preserve"> </w:t>
      </w:r>
    </w:p>
    <w:p w14:paraId="2EE3A6BD" w14:textId="376DDEB4" w:rsidR="00542874" w:rsidRPr="00D40534" w:rsidRDefault="00542874" w:rsidP="00D40534">
      <w:pPr>
        <w:rPr>
          <w:b/>
          <w:sz w:val="20"/>
        </w:rPr>
      </w:pPr>
      <w:bookmarkStart w:id="46" w:name="_Toc523396462"/>
      <w:r w:rsidRPr="00D40534">
        <w:rPr>
          <w:b/>
          <w:sz w:val="20"/>
        </w:rPr>
        <w:t>Regular monitoring of delivery of LJF commitments</w:t>
      </w:r>
      <w:bookmarkEnd w:id="46"/>
    </w:p>
    <w:p w14:paraId="6E80613F" w14:textId="5924F859" w:rsidR="00542874" w:rsidRPr="00164687" w:rsidRDefault="00542874" w:rsidP="00DE7CD3">
      <w:pPr>
        <w:numPr>
          <w:ilvl w:val="0"/>
          <w:numId w:val="15"/>
        </w:numPr>
        <w:spacing w:before="0" w:line="276" w:lineRule="auto"/>
        <w:rPr>
          <w:rFonts w:asciiTheme="minorHAnsi" w:hAnsiTheme="minorHAnsi" w:cstheme="minorHAnsi"/>
          <w:szCs w:val="18"/>
          <w:lang w:val="en-US"/>
        </w:rPr>
      </w:pPr>
      <w:r w:rsidRPr="00164687">
        <w:rPr>
          <w:rFonts w:asciiTheme="minorHAnsi" w:hAnsiTheme="minorHAnsi" w:cstheme="minorHAnsi"/>
          <w:szCs w:val="18"/>
          <w:lang w:val="en-US"/>
        </w:rPr>
        <w:t xml:space="preserve">Contractors are responsible for ongoing monitoring of the </w:t>
      </w:r>
      <w:r w:rsidR="004A604F">
        <w:rPr>
          <w:rFonts w:asciiTheme="minorHAnsi" w:hAnsiTheme="minorHAnsi" w:cstheme="minorHAnsi"/>
          <w:szCs w:val="18"/>
          <w:lang w:val="en-US"/>
        </w:rPr>
        <w:t>application of</w:t>
      </w:r>
      <w:r w:rsidRPr="00164687">
        <w:rPr>
          <w:rFonts w:asciiTheme="minorHAnsi" w:hAnsiTheme="minorHAnsi" w:cstheme="minorHAnsi"/>
          <w:szCs w:val="18"/>
          <w:lang w:val="en-US"/>
        </w:rPr>
        <w:t xml:space="preserve"> LIDP commitments by themselves and their supply chain. </w:t>
      </w:r>
    </w:p>
    <w:p w14:paraId="09FEA42F" w14:textId="12A440EF" w:rsidR="00E24C9C" w:rsidRPr="00164687" w:rsidRDefault="00E24C9C" w:rsidP="00DE7CD3">
      <w:pPr>
        <w:numPr>
          <w:ilvl w:val="0"/>
          <w:numId w:val="15"/>
        </w:numPr>
        <w:spacing w:before="0" w:line="276" w:lineRule="auto"/>
        <w:rPr>
          <w:rFonts w:asciiTheme="minorHAnsi" w:hAnsiTheme="minorHAnsi" w:cstheme="minorHAnsi"/>
          <w:szCs w:val="18"/>
          <w:lang w:val="en-US"/>
        </w:rPr>
      </w:pPr>
      <w:bookmarkStart w:id="47" w:name="_Hlk524342762"/>
      <w:r w:rsidRPr="00164687">
        <w:rPr>
          <w:rFonts w:asciiTheme="minorHAnsi" w:hAnsiTheme="minorHAnsi" w:cstheme="minorHAnsi"/>
          <w:szCs w:val="18"/>
          <w:lang w:val="en-US"/>
        </w:rPr>
        <w:t xml:space="preserve">Contractors must keep and maintain </w:t>
      </w:r>
      <w:r w:rsidR="00520CA7" w:rsidRPr="00164687">
        <w:rPr>
          <w:rFonts w:asciiTheme="minorHAnsi" w:hAnsiTheme="minorHAnsi" w:cstheme="minorHAnsi"/>
          <w:szCs w:val="18"/>
          <w:lang w:val="en-US"/>
        </w:rPr>
        <w:t>strong supporting</w:t>
      </w:r>
      <w:r w:rsidRPr="00164687">
        <w:rPr>
          <w:rFonts w:asciiTheme="minorHAnsi" w:hAnsiTheme="minorHAnsi" w:cstheme="minorHAnsi"/>
          <w:szCs w:val="18"/>
          <w:lang w:val="en-US"/>
        </w:rPr>
        <w:t xml:space="preserve"> evidence to demonstrate compliance with LIDP commitments</w:t>
      </w:r>
      <w:r w:rsidR="00520CA7" w:rsidRPr="00164687">
        <w:rPr>
          <w:rFonts w:asciiTheme="minorHAnsi" w:hAnsiTheme="minorHAnsi" w:cstheme="minorHAnsi"/>
          <w:szCs w:val="18"/>
          <w:lang w:val="en-US"/>
        </w:rPr>
        <w:t xml:space="preserve">. This includes proof and detail as to how local content percentages were calculated and retaining supply chain information. </w:t>
      </w:r>
    </w:p>
    <w:p w14:paraId="25808313" w14:textId="3822C7FB" w:rsidR="00520CA7" w:rsidRDefault="00520CA7" w:rsidP="00DE7CD3">
      <w:pPr>
        <w:numPr>
          <w:ilvl w:val="0"/>
          <w:numId w:val="15"/>
        </w:numPr>
        <w:spacing w:before="0" w:line="276" w:lineRule="auto"/>
        <w:rPr>
          <w:rFonts w:asciiTheme="minorHAnsi" w:hAnsiTheme="minorHAnsi" w:cstheme="minorHAnsi"/>
          <w:szCs w:val="18"/>
          <w:lang w:val="en-US"/>
        </w:rPr>
      </w:pPr>
      <w:r w:rsidRPr="00164687">
        <w:rPr>
          <w:rFonts w:asciiTheme="minorHAnsi" w:hAnsiTheme="minorHAnsi" w:cstheme="minorHAnsi"/>
          <w:szCs w:val="18"/>
          <w:lang w:val="en-US"/>
        </w:rPr>
        <w:t xml:space="preserve">The </w:t>
      </w:r>
      <w:r w:rsidR="00204263">
        <w:rPr>
          <w:rFonts w:asciiTheme="minorHAnsi" w:hAnsiTheme="minorHAnsi" w:cstheme="minorHAnsi"/>
          <w:szCs w:val="18"/>
          <w:lang w:val="en-US"/>
        </w:rPr>
        <w:t>delivery</w:t>
      </w:r>
      <w:r w:rsidR="00222CCC">
        <w:rPr>
          <w:rFonts w:asciiTheme="minorHAnsi" w:hAnsiTheme="minorHAnsi" w:cstheme="minorHAnsi"/>
          <w:szCs w:val="18"/>
          <w:lang w:val="en-US"/>
        </w:rPr>
        <w:t xml:space="preserve"> agency</w:t>
      </w:r>
      <w:r w:rsidRPr="00164687">
        <w:rPr>
          <w:rFonts w:asciiTheme="minorHAnsi" w:hAnsiTheme="minorHAnsi" w:cstheme="minorHAnsi"/>
          <w:szCs w:val="18"/>
          <w:lang w:val="en-US"/>
        </w:rPr>
        <w:t xml:space="preserve">, </w:t>
      </w:r>
      <w:r w:rsidR="00DE7CD3">
        <w:rPr>
          <w:rFonts w:asciiTheme="minorHAnsi" w:hAnsiTheme="minorHAnsi" w:cstheme="minorHAnsi"/>
          <w:szCs w:val="18"/>
          <w:lang w:val="en-US"/>
        </w:rPr>
        <w:t>DJPR</w:t>
      </w:r>
      <w:r w:rsidRPr="00164687">
        <w:rPr>
          <w:rFonts w:asciiTheme="minorHAnsi" w:hAnsiTheme="minorHAnsi" w:cstheme="minorHAnsi"/>
          <w:szCs w:val="18"/>
          <w:lang w:val="en-US"/>
        </w:rPr>
        <w:t xml:space="preserve">, and the </w:t>
      </w:r>
      <w:r w:rsidR="00F664CD">
        <w:rPr>
          <w:rFonts w:asciiTheme="minorHAnsi" w:hAnsiTheme="minorHAnsi" w:cstheme="minorHAnsi"/>
          <w:szCs w:val="18"/>
          <w:lang w:val="en-US"/>
        </w:rPr>
        <w:t>L</w:t>
      </w:r>
      <w:r w:rsidR="002E6993">
        <w:rPr>
          <w:rFonts w:asciiTheme="minorHAnsi" w:hAnsiTheme="minorHAnsi" w:cstheme="minorHAnsi"/>
          <w:szCs w:val="18"/>
          <w:lang w:val="en-US"/>
        </w:rPr>
        <w:t xml:space="preserve">ocal </w:t>
      </w:r>
      <w:r w:rsidR="00F664CD">
        <w:rPr>
          <w:rFonts w:asciiTheme="minorHAnsi" w:hAnsiTheme="minorHAnsi" w:cstheme="minorHAnsi"/>
          <w:szCs w:val="18"/>
          <w:lang w:val="en-US"/>
        </w:rPr>
        <w:t>J</w:t>
      </w:r>
      <w:r w:rsidR="002E6993">
        <w:rPr>
          <w:rFonts w:asciiTheme="minorHAnsi" w:hAnsiTheme="minorHAnsi" w:cstheme="minorHAnsi"/>
          <w:szCs w:val="18"/>
          <w:lang w:val="en-US"/>
        </w:rPr>
        <w:t xml:space="preserve">obs </w:t>
      </w:r>
      <w:r w:rsidR="00F664CD">
        <w:rPr>
          <w:rFonts w:asciiTheme="minorHAnsi" w:hAnsiTheme="minorHAnsi" w:cstheme="minorHAnsi"/>
          <w:szCs w:val="18"/>
          <w:lang w:val="en-US"/>
        </w:rPr>
        <w:t>F</w:t>
      </w:r>
      <w:r w:rsidR="002E6993">
        <w:rPr>
          <w:rFonts w:asciiTheme="minorHAnsi" w:hAnsiTheme="minorHAnsi" w:cstheme="minorHAnsi"/>
          <w:szCs w:val="18"/>
          <w:lang w:val="en-US"/>
        </w:rPr>
        <w:t>irst</w:t>
      </w:r>
      <w:r w:rsidRPr="00164687">
        <w:rPr>
          <w:rFonts w:asciiTheme="minorHAnsi" w:hAnsiTheme="minorHAnsi" w:cstheme="minorHAnsi"/>
          <w:szCs w:val="18"/>
          <w:lang w:val="en-US"/>
        </w:rPr>
        <w:t xml:space="preserve"> Commissioner can request this information during</w:t>
      </w:r>
      <w:r w:rsidR="00F664CD">
        <w:rPr>
          <w:rFonts w:asciiTheme="minorHAnsi" w:hAnsiTheme="minorHAnsi" w:cstheme="minorHAnsi"/>
          <w:szCs w:val="18"/>
          <w:lang w:val="en-US"/>
        </w:rPr>
        <w:t xml:space="preserve"> and after completion of</w:t>
      </w:r>
      <w:r w:rsidRPr="00164687">
        <w:rPr>
          <w:rFonts w:asciiTheme="minorHAnsi" w:hAnsiTheme="minorHAnsi" w:cstheme="minorHAnsi"/>
          <w:szCs w:val="18"/>
          <w:lang w:val="en-US"/>
        </w:rPr>
        <w:t xml:space="preserve"> the project. </w:t>
      </w:r>
    </w:p>
    <w:p w14:paraId="00855B64" w14:textId="77777777" w:rsidR="00B9600F" w:rsidRPr="00164687" w:rsidRDefault="00B9600F" w:rsidP="00B9600F">
      <w:pPr>
        <w:numPr>
          <w:ilvl w:val="0"/>
          <w:numId w:val="15"/>
        </w:numPr>
        <w:spacing w:before="0" w:line="276" w:lineRule="auto"/>
        <w:rPr>
          <w:rFonts w:asciiTheme="minorHAnsi" w:hAnsiTheme="minorHAnsi" w:cstheme="minorHAnsi"/>
          <w:szCs w:val="18"/>
          <w:lang w:val="en-US"/>
        </w:rPr>
      </w:pPr>
      <w:r w:rsidRPr="00164687">
        <w:rPr>
          <w:rFonts w:asciiTheme="minorHAnsi" w:hAnsiTheme="minorHAnsi" w:cstheme="minorHAnsi"/>
          <w:szCs w:val="18"/>
          <w:lang w:val="en-US"/>
        </w:rPr>
        <w:t xml:space="preserve">Contractors must notify the </w:t>
      </w:r>
      <w:r>
        <w:rPr>
          <w:rFonts w:asciiTheme="minorHAnsi" w:hAnsiTheme="minorHAnsi" w:cstheme="minorHAnsi"/>
          <w:szCs w:val="18"/>
          <w:lang w:val="en-US"/>
        </w:rPr>
        <w:t>delivery agency</w:t>
      </w:r>
      <w:r w:rsidRPr="00164687">
        <w:rPr>
          <w:rFonts w:asciiTheme="minorHAnsi" w:hAnsiTheme="minorHAnsi" w:cstheme="minorHAnsi"/>
          <w:szCs w:val="18"/>
          <w:lang w:val="en-US"/>
        </w:rPr>
        <w:t xml:space="preserve"> as soon as they are aware they may not </w:t>
      </w:r>
      <w:r>
        <w:rPr>
          <w:rFonts w:asciiTheme="minorHAnsi" w:hAnsiTheme="minorHAnsi" w:cstheme="minorHAnsi"/>
          <w:szCs w:val="18"/>
          <w:lang w:val="en-US"/>
        </w:rPr>
        <w:t>meet</w:t>
      </w:r>
      <w:r w:rsidRPr="00164687">
        <w:rPr>
          <w:rFonts w:asciiTheme="minorHAnsi" w:hAnsiTheme="minorHAnsi" w:cstheme="minorHAnsi"/>
          <w:szCs w:val="18"/>
          <w:lang w:val="en-US"/>
        </w:rPr>
        <w:t xml:space="preserve"> their LIDP commitments. </w:t>
      </w:r>
    </w:p>
    <w:p w14:paraId="170FBAFC" w14:textId="395F9CE4" w:rsidR="00B9600F" w:rsidRPr="00164687" w:rsidRDefault="00B9600F" w:rsidP="00B9600F">
      <w:pPr>
        <w:numPr>
          <w:ilvl w:val="0"/>
          <w:numId w:val="15"/>
        </w:numPr>
        <w:spacing w:before="0" w:line="276" w:lineRule="auto"/>
        <w:rPr>
          <w:rFonts w:asciiTheme="minorHAnsi" w:hAnsiTheme="minorHAnsi" w:cstheme="minorHAnsi"/>
          <w:szCs w:val="18"/>
          <w:lang w:val="en-US"/>
        </w:rPr>
      </w:pPr>
      <w:r>
        <w:rPr>
          <w:rFonts w:asciiTheme="minorHAnsi" w:hAnsiTheme="minorHAnsi" w:cstheme="minorHAnsi"/>
          <w:szCs w:val="18"/>
          <w:lang w:val="en-US"/>
        </w:rPr>
        <w:t>DJPR</w:t>
      </w:r>
      <w:r w:rsidRPr="00164687">
        <w:rPr>
          <w:rFonts w:asciiTheme="minorHAnsi" w:hAnsiTheme="minorHAnsi" w:cstheme="minorHAnsi"/>
          <w:szCs w:val="18"/>
          <w:lang w:val="en-US"/>
        </w:rPr>
        <w:t xml:space="preserve">, the </w:t>
      </w:r>
      <w:r>
        <w:rPr>
          <w:rFonts w:asciiTheme="minorHAnsi" w:hAnsiTheme="minorHAnsi" w:cstheme="minorHAnsi"/>
          <w:szCs w:val="18"/>
          <w:lang w:val="en-US"/>
        </w:rPr>
        <w:t>Local Jobs First</w:t>
      </w:r>
      <w:r w:rsidRPr="00164687">
        <w:rPr>
          <w:rFonts w:asciiTheme="minorHAnsi" w:hAnsiTheme="minorHAnsi" w:cstheme="minorHAnsi"/>
          <w:szCs w:val="18"/>
          <w:lang w:val="en-US"/>
        </w:rPr>
        <w:t xml:space="preserve"> Commissioner or the ICN may be able to </w:t>
      </w:r>
      <w:r>
        <w:rPr>
          <w:rFonts w:asciiTheme="minorHAnsi" w:hAnsiTheme="minorHAnsi" w:cstheme="minorHAnsi"/>
          <w:szCs w:val="18"/>
          <w:lang w:val="en-US"/>
        </w:rPr>
        <w:t>help</w:t>
      </w:r>
      <w:r w:rsidRPr="00164687">
        <w:rPr>
          <w:rFonts w:asciiTheme="minorHAnsi" w:hAnsiTheme="minorHAnsi" w:cstheme="minorHAnsi"/>
          <w:szCs w:val="18"/>
          <w:lang w:val="en-US"/>
        </w:rPr>
        <w:t>, for instance in sourcing local</w:t>
      </w:r>
      <w:r>
        <w:rPr>
          <w:rFonts w:asciiTheme="minorHAnsi" w:hAnsiTheme="minorHAnsi" w:cstheme="minorHAnsi"/>
          <w:szCs w:val="18"/>
          <w:lang w:val="en-US"/>
        </w:rPr>
        <w:t xml:space="preserve"> </w:t>
      </w:r>
      <w:r w:rsidRPr="00F92F27">
        <w:rPr>
          <w:rFonts w:asciiTheme="minorHAnsi" w:hAnsiTheme="minorHAnsi" w:cstheme="minorHAnsi"/>
          <w:szCs w:val="18"/>
          <w:lang w:val="en-US"/>
        </w:rPr>
        <w:t>SMEs</w:t>
      </w:r>
      <w:r>
        <w:rPr>
          <w:rFonts w:asciiTheme="minorHAnsi" w:hAnsiTheme="minorHAnsi" w:cstheme="minorHAnsi"/>
          <w:szCs w:val="18"/>
          <w:lang w:val="en-US"/>
        </w:rPr>
        <w:t>.</w:t>
      </w:r>
    </w:p>
    <w:p w14:paraId="51851D1B" w14:textId="2A86D4EE" w:rsidR="00B9600F" w:rsidRPr="00084F7B" w:rsidRDefault="00B9600F" w:rsidP="00B9600F">
      <w:pPr>
        <w:numPr>
          <w:ilvl w:val="0"/>
          <w:numId w:val="15"/>
        </w:numPr>
        <w:spacing w:before="0" w:line="276" w:lineRule="auto"/>
        <w:rPr>
          <w:rFonts w:asciiTheme="minorHAnsi" w:hAnsiTheme="minorHAnsi" w:cstheme="minorHAnsi"/>
          <w:szCs w:val="18"/>
          <w:lang w:val="en-US"/>
        </w:rPr>
      </w:pPr>
      <w:r>
        <w:rPr>
          <w:rFonts w:asciiTheme="minorHAnsi" w:hAnsiTheme="minorHAnsi" w:cstheme="minorHAnsi"/>
          <w:szCs w:val="18"/>
          <w:lang w:val="en-US"/>
        </w:rPr>
        <w:t xml:space="preserve">For projects subject to the </w:t>
      </w:r>
      <w:r w:rsidR="00046CA1">
        <w:rPr>
          <w:rFonts w:asciiTheme="minorHAnsi" w:hAnsiTheme="minorHAnsi" w:cstheme="minorHAnsi"/>
          <w:szCs w:val="18"/>
          <w:lang w:val="en-US"/>
        </w:rPr>
        <w:t>MPSG</w:t>
      </w:r>
      <w:r>
        <w:rPr>
          <w:rFonts w:asciiTheme="minorHAnsi" w:hAnsiTheme="minorHAnsi" w:cstheme="minorHAnsi"/>
          <w:szCs w:val="18"/>
          <w:lang w:val="en-US"/>
        </w:rPr>
        <w:t>, o</w:t>
      </w:r>
      <w:r w:rsidRPr="00955490">
        <w:rPr>
          <w:rFonts w:asciiTheme="minorHAnsi" w:hAnsiTheme="minorHAnsi" w:cstheme="minorHAnsi"/>
          <w:szCs w:val="18"/>
          <w:lang w:val="en-US"/>
        </w:rPr>
        <w:t xml:space="preserve">nce a project has </w:t>
      </w:r>
      <w:r>
        <w:rPr>
          <w:rFonts w:asciiTheme="minorHAnsi" w:hAnsiTheme="minorHAnsi" w:cstheme="minorHAnsi"/>
          <w:szCs w:val="18"/>
          <w:lang w:val="en-US"/>
        </w:rPr>
        <w:t>started</w:t>
      </w:r>
      <w:r w:rsidRPr="00955490">
        <w:rPr>
          <w:rFonts w:asciiTheme="minorHAnsi" w:hAnsiTheme="minorHAnsi" w:cstheme="minorHAnsi"/>
          <w:szCs w:val="18"/>
          <w:lang w:val="en-US"/>
        </w:rPr>
        <w:t>, the number of labour hours performed by apprentices, trainees and cadets are tracked against the contracted 10 per cent labour hours. The labour hour</w:t>
      </w:r>
      <w:r w:rsidR="00C7559A" w:rsidRPr="00CC1469">
        <w:rPr>
          <w:rFonts w:asciiTheme="minorHAnsi" w:hAnsiTheme="minorHAnsi" w:cstheme="minorHAnsi"/>
          <w:szCs w:val="18"/>
          <w:lang w:val="en-US"/>
        </w:rPr>
        <w:t>s</w:t>
      </w:r>
      <w:r w:rsidRPr="00955490">
        <w:rPr>
          <w:rFonts w:asciiTheme="minorHAnsi" w:hAnsiTheme="minorHAnsi" w:cstheme="minorHAnsi"/>
          <w:szCs w:val="18"/>
          <w:lang w:val="en-US"/>
        </w:rPr>
        <w:t xml:space="preserve"> data must be collected for each individual apprentice, trainee and cadet throughout the duration of the project and reported six-monthly, at a minimum, to the </w:t>
      </w:r>
      <w:r>
        <w:rPr>
          <w:rFonts w:asciiTheme="minorHAnsi" w:hAnsiTheme="minorHAnsi" w:cstheme="minorHAnsi"/>
          <w:szCs w:val="18"/>
          <w:lang w:val="en-US"/>
        </w:rPr>
        <w:t>delivery agency.</w:t>
      </w:r>
    </w:p>
    <w:p w14:paraId="7CF2C15C" w14:textId="61FB5548" w:rsidR="00B9600F" w:rsidRPr="00B9600F" w:rsidRDefault="00B9600F" w:rsidP="00B9600F">
      <w:pPr>
        <w:numPr>
          <w:ilvl w:val="0"/>
          <w:numId w:val="15"/>
        </w:numPr>
        <w:spacing w:before="0" w:line="276" w:lineRule="auto"/>
        <w:rPr>
          <w:rFonts w:asciiTheme="minorHAnsi" w:hAnsiTheme="minorHAnsi" w:cstheme="minorHAnsi"/>
          <w:szCs w:val="18"/>
          <w:lang w:val="en-US"/>
        </w:rPr>
      </w:pPr>
      <w:r w:rsidRPr="00164687">
        <w:rPr>
          <w:rFonts w:asciiTheme="minorHAnsi" w:hAnsiTheme="minorHAnsi" w:cstheme="minorHAnsi"/>
          <w:szCs w:val="18"/>
          <w:lang w:val="en-US"/>
        </w:rPr>
        <w:t xml:space="preserve">The Victorian </w:t>
      </w:r>
      <w:r>
        <w:rPr>
          <w:rFonts w:asciiTheme="minorHAnsi" w:hAnsiTheme="minorHAnsi" w:cstheme="minorHAnsi"/>
          <w:szCs w:val="18"/>
          <w:lang w:val="en-US"/>
        </w:rPr>
        <w:t>Local Jobs First</w:t>
      </w:r>
      <w:r w:rsidRPr="00164687">
        <w:rPr>
          <w:rFonts w:asciiTheme="minorHAnsi" w:hAnsiTheme="minorHAnsi" w:cstheme="minorHAnsi"/>
          <w:szCs w:val="18"/>
          <w:lang w:val="en-US"/>
        </w:rPr>
        <w:t xml:space="preserve"> Commissioner may review contractor monitoring processes. Under Section 24 of the </w:t>
      </w:r>
      <w:r w:rsidRPr="006C6B66">
        <w:rPr>
          <w:rFonts w:asciiTheme="minorHAnsi" w:hAnsiTheme="minorHAnsi" w:cstheme="minorHAnsi"/>
          <w:i/>
          <w:szCs w:val="18"/>
          <w:lang w:val="en-US"/>
        </w:rPr>
        <w:t>Local Jobs First Act 2003</w:t>
      </w:r>
      <w:r w:rsidRPr="00164687">
        <w:rPr>
          <w:rFonts w:asciiTheme="minorHAnsi" w:hAnsiTheme="minorHAnsi" w:cstheme="minorHAnsi"/>
          <w:szCs w:val="18"/>
          <w:lang w:val="en-US"/>
        </w:rPr>
        <w:t>, the Commissioner may issue an information notice to request information or documents</w:t>
      </w:r>
      <w:r>
        <w:rPr>
          <w:rFonts w:asciiTheme="minorHAnsi" w:hAnsiTheme="minorHAnsi" w:cstheme="minorHAnsi"/>
          <w:szCs w:val="18"/>
          <w:lang w:val="en-US"/>
        </w:rPr>
        <w:t xml:space="preserve"> pertaining to LJF</w:t>
      </w:r>
      <w:r w:rsidRPr="00164687">
        <w:rPr>
          <w:rFonts w:asciiTheme="minorHAnsi" w:hAnsiTheme="minorHAnsi" w:cstheme="minorHAnsi"/>
          <w:szCs w:val="18"/>
          <w:lang w:val="en-US"/>
        </w:rPr>
        <w:t xml:space="preserve">. </w:t>
      </w:r>
    </w:p>
    <w:bookmarkEnd w:id="47"/>
    <w:p w14:paraId="30D2A892" w14:textId="285AFC5B" w:rsidR="00630BF1" w:rsidRPr="00B407F1" w:rsidRDefault="00630BF1" w:rsidP="00630BF1">
      <w:pPr>
        <w:rPr>
          <w:b/>
          <w:szCs w:val="18"/>
        </w:rPr>
      </w:pPr>
      <w:r w:rsidRPr="00B407F1">
        <w:rPr>
          <w:b/>
          <w:szCs w:val="18"/>
        </w:rPr>
        <w:t>Six Monthly Reporting</w:t>
      </w:r>
    </w:p>
    <w:p w14:paraId="60D2F637" w14:textId="6B7C1934" w:rsidR="00542874" w:rsidRPr="00B9600F" w:rsidRDefault="00A17C5F" w:rsidP="00B9600F">
      <w:pPr>
        <w:numPr>
          <w:ilvl w:val="0"/>
          <w:numId w:val="15"/>
        </w:numPr>
        <w:spacing w:before="0" w:line="276" w:lineRule="auto"/>
        <w:rPr>
          <w:rFonts w:asciiTheme="minorHAnsi" w:hAnsiTheme="minorHAnsi" w:cstheme="minorHAnsi"/>
          <w:szCs w:val="18"/>
          <w:lang w:val="en-US"/>
        </w:rPr>
      </w:pPr>
      <w:r w:rsidRPr="00B9600F">
        <w:rPr>
          <w:rFonts w:asciiTheme="minorHAnsi" w:hAnsiTheme="minorHAnsi" w:cstheme="minorHAnsi"/>
          <w:szCs w:val="18"/>
          <w:lang w:val="en-US"/>
        </w:rPr>
        <w:t>For a</w:t>
      </w:r>
      <w:r w:rsidR="00542874" w:rsidRPr="00B9600F">
        <w:rPr>
          <w:rFonts w:asciiTheme="minorHAnsi" w:hAnsiTheme="minorHAnsi" w:cstheme="minorHAnsi"/>
          <w:szCs w:val="18"/>
          <w:lang w:val="en-US"/>
        </w:rPr>
        <w:t xml:space="preserve">ll Victorian Government projects with a value of $20 million or more, including all projects deemed Strategic Projects, </w:t>
      </w:r>
      <w:r w:rsidR="00F12B0A" w:rsidRPr="00B9600F">
        <w:rPr>
          <w:rFonts w:asciiTheme="minorHAnsi" w:hAnsiTheme="minorHAnsi" w:cstheme="minorHAnsi"/>
          <w:szCs w:val="18"/>
          <w:lang w:val="en-US"/>
        </w:rPr>
        <w:t>princip</w:t>
      </w:r>
      <w:r w:rsidR="00F647E1">
        <w:rPr>
          <w:rFonts w:asciiTheme="minorHAnsi" w:hAnsiTheme="minorHAnsi" w:cstheme="minorHAnsi"/>
          <w:szCs w:val="18"/>
          <w:lang w:val="en-US"/>
        </w:rPr>
        <w:t>al</w:t>
      </w:r>
      <w:r w:rsidR="00F12B0A" w:rsidRPr="00B9600F">
        <w:rPr>
          <w:rFonts w:asciiTheme="minorHAnsi" w:hAnsiTheme="minorHAnsi" w:cstheme="minorHAnsi"/>
          <w:szCs w:val="18"/>
          <w:lang w:val="en-US"/>
        </w:rPr>
        <w:t xml:space="preserve"> contractors are required </w:t>
      </w:r>
      <w:r w:rsidR="0012519A" w:rsidRPr="00CC1469">
        <w:rPr>
          <w:rFonts w:asciiTheme="minorHAnsi" w:hAnsiTheme="minorHAnsi" w:cstheme="minorHAnsi"/>
          <w:szCs w:val="18"/>
          <w:lang w:val="en-US"/>
        </w:rPr>
        <w:t xml:space="preserve">to </w:t>
      </w:r>
      <w:r w:rsidR="00AD582D" w:rsidRPr="00B9600F">
        <w:rPr>
          <w:rFonts w:asciiTheme="minorHAnsi" w:hAnsiTheme="minorHAnsi" w:cstheme="minorHAnsi"/>
          <w:szCs w:val="18"/>
          <w:lang w:val="en-US"/>
        </w:rPr>
        <w:t>report six</w:t>
      </w:r>
      <w:r w:rsidR="00F12B0A" w:rsidRPr="00B9600F">
        <w:rPr>
          <w:rFonts w:asciiTheme="minorHAnsi" w:hAnsiTheme="minorHAnsi" w:cstheme="minorHAnsi"/>
          <w:szCs w:val="18"/>
          <w:lang w:val="en-US"/>
        </w:rPr>
        <w:t xml:space="preserve"> monthly to the </w:t>
      </w:r>
      <w:r w:rsidR="004E79BE">
        <w:rPr>
          <w:rFonts w:asciiTheme="minorHAnsi" w:hAnsiTheme="minorHAnsi" w:cstheme="minorHAnsi"/>
          <w:szCs w:val="18"/>
          <w:lang w:val="en-US"/>
        </w:rPr>
        <w:t>a</w:t>
      </w:r>
      <w:r w:rsidR="00F12B0A" w:rsidRPr="00B9600F">
        <w:rPr>
          <w:rFonts w:asciiTheme="minorHAnsi" w:hAnsiTheme="minorHAnsi" w:cstheme="minorHAnsi"/>
          <w:szCs w:val="18"/>
          <w:lang w:val="en-US"/>
        </w:rPr>
        <w:t xml:space="preserve">gency using the agreed Monitoring and Reporting Table given in Appendix </w:t>
      </w:r>
      <w:r w:rsidR="00F97F9E">
        <w:rPr>
          <w:rFonts w:asciiTheme="minorHAnsi" w:hAnsiTheme="minorHAnsi" w:cstheme="minorHAnsi"/>
          <w:szCs w:val="18"/>
          <w:lang w:val="en-US"/>
        </w:rPr>
        <w:t>2</w:t>
      </w:r>
      <w:r w:rsidR="006121FA">
        <w:rPr>
          <w:rFonts w:asciiTheme="minorHAnsi" w:hAnsiTheme="minorHAnsi" w:cstheme="minorHAnsi"/>
          <w:szCs w:val="18"/>
          <w:lang w:val="en-US"/>
        </w:rPr>
        <w:t xml:space="preserve"> or agreed to equivalent</w:t>
      </w:r>
      <w:r w:rsidR="00F12B0A" w:rsidRPr="00B9600F">
        <w:rPr>
          <w:rFonts w:asciiTheme="minorHAnsi" w:hAnsiTheme="minorHAnsi" w:cstheme="minorHAnsi"/>
          <w:szCs w:val="18"/>
          <w:lang w:val="en-US"/>
        </w:rPr>
        <w:t xml:space="preserve">. </w:t>
      </w:r>
    </w:p>
    <w:p w14:paraId="130D709F" w14:textId="391A9043" w:rsidR="00B9600F" w:rsidRPr="00B9600F" w:rsidRDefault="00B9600F" w:rsidP="00B9600F">
      <w:pPr>
        <w:spacing w:before="0" w:line="276" w:lineRule="auto"/>
        <w:rPr>
          <w:rFonts w:asciiTheme="minorHAnsi" w:hAnsiTheme="minorHAnsi" w:cstheme="minorHAnsi"/>
          <w:b/>
          <w:szCs w:val="18"/>
          <w:lang w:val="en-US"/>
        </w:rPr>
      </w:pPr>
      <w:r>
        <w:rPr>
          <w:rFonts w:asciiTheme="minorHAnsi" w:hAnsiTheme="minorHAnsi" w:cstheme="minorHAnsi"/>
          <w:b/>
          <w:szCs w:val="18"/>
          <w:lang w:val="en-US"/>
        </w:rPr>
        <w:t>Annual Reporting</w:t>
      </w:r>
    </w:p>
    <w:p w14:paraId="2B7DB8B7" w14:textId="3D5F87FE" w:rsidR="00EC269D" w:rsidRDefault="003221E1" w:rsidP="00EC269D">
      <w:pPr>
        <w:numPr>
          <w:ilvl w:val="0"/>
          <w:numId w:val="15"/>
        </w:numPr>
        <w:spacing w:before="0" w:line="276" w:lineRule="auto"/>
        <w:rPr>
          <w:rFonts w:asciiTheme="minorHAnsi" w:hAnsiTheme="minorHAnsi" w:cstheme="minorHAnsi"/>
          <w:szCs w:val="18"/>
          <w:lang w:val="en-US"/>
        </w:rPr>
      </w:pPr>
      <w:r>
        <w:rPr>
          <w:rFonts w:asciiTheme="minorHAnsi" w:hAnsiTheme="minorHAnsi" w:cstheme="minorHAnsi"/>
          <w:szCs w:val="18"/>
          <w:lang w:val="en-US"/>
        </w:rPr>
        <w:t xml:space="preserve">The </w:t>
      </w:r>
      <w:r w:rsidR="00DB1D75">
        <w:rPr>
          <w:rFonts w:asciiTheme="minorHAnsi" w:hAnsiTheme="minorHAnsi" w:cstheme="minorHAnsi"/>
          <w:szCs w:val="18"/>
          <w:lang w:val="en-US"/>
        </w:rPr>
        <w:t>d</w:t>
      </w:r>
      <w:r>
        <w:rPr>
          <w:rFonts w:asciiTheme="minorHAnsi" w:hAnsiTheme="minorHAnsi" w:cstheme="minorHAnsi"/>
          <w:szCs w:val="18"/>
          <w:lang w:val="en-US"/>
        </w:rPr>
        <w:t xml:space="preserve">elivery </w:t>
      </w:r>
      <w:r w:rsidR="00DB1D75">
        <w:rPr>
          <w:rFonts w:asciiTheme="minorHAnsi" w:hAnsiTheme="minorHAnsi" w:cstheme="minorHAnsi"/>
          <w:szCs w:val="18"/>
          <w:lang w:val="en-US"/>
        </w:rPr>
        <w:t>a</w:t>
      </w:r>
      <w:r>
        <w:rPr>
          <w:rFonts w:asciiTheme="minorHAnsi" w:hAnsiTheme="minorHAnsi" w:cstheme="minorHAnsi"/>
          <w:szCs w:val="18"/>
          <w:lang w:val="en-US"/>
        </w:rPr>
        <w:t>gency must report on their Local Jobs First projects in their annual reports, and</w:t>
      </w:r>
      <w:r w:rsidR="00201623">
        <w:rPr>
          <w:rFonts w:asciiTheme="minorHAnsi" w:hAnsiTheme="minorHAnsi" w:cstheme="minorHAnsi"/>
          <w:szCs w:val="18"/>
          <w:lang w:val="en-US"/>
        </w:rPr>
        <w:t xml:space="preserve"> </w:t>
      </w:r>
      <w:r w:rsidR="00DE7CD3">
        <w:rPr>
          <w:rFonts w:asciiTheme="minorHAnsi" w:hAnsiTheme="minorHAnsi" w:cstheme="minorHAnsi"/>
          <w:szCs w:val="18"/>
          <w:lang w:val="en-US"/>
        </w:rPr>
        <w:t>DJPR</w:t>
      </w:r>
      <w:r>
        <w:rPr>
          <w:rFonts w:asciiTheme="minorHAnsi" w:hAnsiTheme="minorHAnsi" w:cstheme="minorHAnsi"/>
          <w:szCs w:val="18"/>
          <w:lang w:val="en-US"/>
        </w:rPr>
        <w:t xml:space="preserve"> also publish project outcomes in the Local Jobs First Annual Report. </w:t>
      </w:r>
      <w:r w:rsidR="00201623">
        <w:rPr>
          <w:rFonts w:asciiTheme="minorHAnsi" w:hAnsiTheme="minorHAnsi" w:cstheme="minorHAnsi"/>
          <w:szCs w:val="18"/>
          <w:lang w:val="en-US"/>
        </w:rPr>
        <w:t xml:space="preserve">This will require contractors to report annually on </w:t>
      </w:r>
      <w:r w:rsidR="00E97410">
        <w:rPr>
          <w:rFonts w:asciiTheme="minorHAnsi" w:hAnsiTheme="minorHAnsi" w:cstheme="minorHAnsi"/>
          <w:szCs w:val="18"/>
          <w:lang w:val="en-US"/>
        </w:rPr>
        <w:t>project outcomes.</w:t>
      </w:r>
    </w:p>
    <w:p w14:paraId="6FC13430" w14:textId="5495BC34" w:rsidR="00B32573" w:rsidRPr="00557392" w:rsidRDefault="009805E3" w:rsidP="005E2EE1">
      <w:pPr>
        <w:pStyle w:val="Heading1"/>
        <w:ind w:left="426" w:hanging="578"/>
      </w:pPr>
      <w:bookmarkStart w:id="48" w:name="_Toc528163217"/>
      <w:bookmarkStart w:id="49" w:name="_Toc40369053"/>
      <w:r w:rsidRPr="00C91A54">
        <w:lastRenderedPageBreak/>
        <w:t>Compliance</w:t>
      </w:r>
      <w:bookmarkEnd w:id="48"/>
      <w:bookmarkEnd w:id="49"/>
      <w:r w:rsidRPr="00557392">
        <w:t xml:space="preserve"> </w:t>
      </w:r>
    </w:p>
    <w:p w14:paraId="6AFB26C3" w14:textId="1475E17D" w:rsidR="009805E3" w:rsidRPr="002224C9" w:rsidRDefault="009805E3" w:rsidP="00DE7CD3">
      <w:pPr>
        <w:numPr>
          <w:ilvl w:val="0"/>
          <w:numId w:val="13"/>
        </w:numPr>
        <w:spacing w:before="0"/>
        <w:jc w:val="both"/>
        <w:rPr>
          <w:rFonts w:cs="Arial"/>
          <w:szCs w:val="18"/>
        </w:rPr>
      </w:pPr>
      <w:r w:rsidRPr="002224C9">
        <w:rPr>
          <w:rFonts w:cs="Arial"/>
          <w:szCs w:val="18"/>
        </w:rPr>
        <w:t xml:space="preserve">Where </w:t>
      </w:r>
      <w:r>
        <w:rPr>
          <w:rFonts w:cs="Arial"/>
          <w:szCs w:val="18"/>
        </w:rPr>
        <w:t xml:space="preserve">a contractor reports that </w:t>
      </w:r>
      <w:r w:rsidR="00652667">
        <w:rPr>
          <w:rFonts w:cs="Arial"/>
          <w:szCs w:val="18"/>
        </w:rPr>
        <w:t>LJF</w:t>
      </w:r>
      <w:r>
        <w:rPr>
          <w:rFonts w:cs="Arial"/>
          <w:szCs w:val="18"/>
        </w:rPr>
        <w:t xml:space="preserve"> </w:t>
      </w:r>
      <w:r w:rsidRPr="002224C9">
        <w:rPr>
          <w:rFonts w:cs="Arial"/>
          <w:szCs w:val="18"/>
        </w:rPr>
        <w:t xml:space="preserve">outcomes do not meet the levels committed to in the contract, </w:t>
      </w:r>
      <w:r w:rsidR="00047FE9">
        <w:rPr>
          <w:rFonts w:cs="Arial"/>
          <w:szCs w:val="18"/>
        </w:rPr>
        <w:t xml:space="preserve">contractors </w:t>
      </w:r>
      <w:r>
        <w:rPr>
          <w:rFonts w:cs="Arial"/>
          <w:szCs w:val="18"/>
        </w:rPr>
        <w:t>must notify the agency</w:t>
      </w:r>
      <w:r w:rsidRPr="002224C9">
        <w:rPr>
          <w:rFonts w:cs="Arial"/>
          <w:szCs w:val="18"/>
        </w:rPr>
        <w:t xml:space="preserve"> whether there has been a valid reason for this (e.g. an unavoidable change of supplier or product that resulted in a drop of local content or employment).</w:t>
      </w:r>
    </w:p>
    <w:p w14:paraId="400AFF1A" w14:textId="13D47EDA" w:rsidR="009805E3" w:rsidRPr="002224C9" w:rsidRDefault="009805E3" w:rsidP="00DE7CD3">
      <w:pPr>
        <w:numPr>
          <w:ilvl w:val="0"/>
          <w:numId w:val="13"/>
        </w:numPr>
        <w:spacing w:before="0"/>
        <w:jc w:val="both"/>
        <w:rPr>
          <w:rFonts w:cs="Arial"/>
          <w:szCs w:val="18"/>
        </w:rPr>
      </w:pPr>
      <w:r>
        <w:rPr>
          <w:rFonts w:cs="Arial"/>
          <w:szCs w:val="18"/>
        </w:rPr>
        <w:t>In circumstances w</w:t>
      </w:r>
      <w:r w:rsidRPr="002224C9">
        <w:rPr>
          <w:rFonts w:cs="Arial"/>
          <w:szCs w:val="18"/>
        </w:rPr>
        <w:t>here no valid reason can be identified, the agency may determine that this represents a breach of contract that may trigger that agency’s respective resolution process.</w:t>
      </w:r>
    </w:p>
    <w:p w14:paraId="16A32B37" w14:textId="021E290E" w:rsidR="009805E3" w:rsidRDefault="009805E3" w:rsidP="00DE7CD3">
      <w:pPr>
        <w:numPr>
          <w:ilvl w:val="0"/>
          <w:numId w:val="13"/>
        </w:numPr>
        <w:spacing w:before="0"/>
        <w:jc w:val="both"/>
        <w:rPr>
          <w:rFonts w:cs="Arial"/>
          <w:szCs w:val="18"/>
        </w:rPr>
      </w:pPr>
      <w:bookmarkStart w:id="50" w:name="_Hlk524336718"/>
      <w:r w:rsidRPr="002224C9">
        <w:rPr>
          <w:rFonts w:cs="Arial"/>
          <w:szCs w:val="18"/>
        </w:rPr>
        <w:t xml:space="preserve">The </w:t>
      </w:r>
      <w:r w:rsidRPr="001856B3">
        <w:rPr>
          <w:rFonts w:cs="Arial"/>
          <w:i/>
          <w:szCs w:val="18"/>
        </w:rPr>
        <w:t>Local Jobs First Act 2003</w:t>
      </w:r>
      <w:r w:rsidRPr="002224C9">
        <w:rPr>
          <w:rFonts w:cs="Arial"/>
          <w:szCs w:val="18"/>
        </w:rPr>
        <w:t xml:space="preserve"> provides a transparent compliance framework, involving a series of steps that can be followed to confirm that contracted local content and job commitments are on track and being achieved and ac</w:t>
      </w:r>
      <w:r>
        <w:rPr>
          <w:rFonts w:cs="Arial"/>
          <w:szCs w:val="18"/>
        </w:rPr>
        <w:t>tions to take if they are not.</w:t>
      </w:r>
    </w:p>
    <w:p w14:paraId="24D83AF3" w14:textId="77777777" w:rsidR="00412DDB" w:rsidRPr="00412DDB" w:rsidRDefault="00412DDB" w:rsidP="00412DDB">
      <w:pPr>
        <w:pStyle w:val="ListParagraph"/>
        <w:numPr>
          <w:ilvl w:val="0"/>
          <w:numId w:val="13"/>
        </w:numPr>
        <w:rPr>
          <w:rFonts w:ascii="Arial" w:hAnsi="Arial" w:cs="Arial"/>
          <w:sz w:val="18"/>
          <w:szCs w:val="18"/>
          <w:lang w:eastAsia="en-US"/>
        </w:rPr>
      </w:pPr>
      <w:r w:rsidRPr="00412DDB">
        <w:rPr>
          <w:rFonts w:ascii="Arial" w:hAnsi="Arial" w:cs="Arial"/>
          <w:sz w:val="18"/>
          <w:szCs w:val="18"/>
          <w:lang w:eastAsia="en-US"/>
        </w:rPr>
        <w:t>An audit program of supplier and agency compliance with LJF requirements and commitments will be undertaken annually to investigate and report on LJF application.</w:t>
      </w:r>
    </w:p>
    <w:p w14:paraId="5A19B9A7" w14:textId="77777777" w:rsidR="00412DDB" w:rsidRDefault="00412DDB" w:rsidP="00412DDB">
      <w:pPr>
        <w:spacing w:before="0"/>
        <w:ind w:left="360"/>
        <w:jc w:val="both"/>
        <w:rPr>
          <w:rFonts w:cs="Arial"/>
          <w:szCs w:val="18"/>
        </w:rPr>
      </w:pPr>
    </w:p>
    <w:p w14:paraId="60096D19" w14:textId="77777777" w:rsidR="00CB3D7C" w:rsidRDefault="00CB3D7C" w:rsidP="00EC269D">
      <w:pPr>
        <w:pStyle w:val="ListParagraph"/>
        <w:pBdr>
          <w:top w:val="single" w:sz="4" w:space="0" w:color="auto"/>
          <w:left w:val="single" w:sz="4" w:space="4" w:color="auto"/>
          <w:bottom w:val="single" w:sz="4" w:space="1" w:color="auto"/>
          <w:right w:val="single" w:sz="4" w:space="4" w:color="auto"/>
        </w:pBdr>
        <w:ind w:left="360"/>
        <w:jc w:val="center"/>
        <w:rPr>
          <w:rFonts w:asciiTheme="minorHAnsi" w:hAnsiTheme="minorHAnsi" w:cstheme="minorHAnsi"/>
          <w:sz w:val="18"/>
          <w:szCs w:val="18"/>
        </w:rPr>
      </w:pPr>
    </w:p>
    <w:p w14:paraId="3A286CB8" w14:textId="3CAF2177" w:rsidR="00550F9E" w:rsidRPr="0061408A" w:rsidRDefault="00550F9E" w:rsidP="00EC269D">
      <w:pPr>
        <w:pStyle w:val="ListParagraph"/>
        <w:pBdr>
          <w:top w:val="single" w:sz="4" w:space="0" w:color="auto"/>
          <w:left w:val="single" w:sz="4" w:space="4" w:color="auto"/>
          <w:bottom w:val="single" w:sz="4" w:space="1" w:color="auto"/>
          <w:right w:val="single" w:sz="4" w:space="4" w:color="auto"/>
        </w:pBdr>
        <w:ind w:left="360"/>
        <w:jc w:val="center"/>
        <w:rPr>
          <w:rFonts w:asciiTheme="minorHAnsi" w:hAnsiTheme="minorHAnsi" w:cstheme="minorHAnsi"/>
          <w:sz w:val="18"/>
          <w:szCs w:val="18"/>
        </w:rPr>
      </w:pPr>
      <w:r w:rsidRPr="0061408A">
        <w:rPr>
          <w:rFonts w:asciiTheme="minorHAnsi" w:hAnsiTheme="minorHAnsi" w:cstheme="minorHAnsi"/>
          <w:sz w:val="18"/>
          <w:szCs w:val="18"/>
        </w:rPr>
        <w:t xml:space="preserve">Contractors are responsible for ongoing monitoring of the </w:t>
      </w:r>
      <w:r w:rsidR="006F2450">
        <w:rPr>
          <w:rFonts w:asciiTheme="minorHAnsi" w:hAnsiTheme="minorHAnsi" w:cstheme="minorHAnsi"/>
          <w:sz w:val="18"/>
          <w:szCs w:val="18"/>
        </w:rPr>
        <w:t>application</w:t>
      </w:r>
      <w:r w:rsidRPr="0061408A">
        <w:rPr>
          <w:rFonts w:asciiTheme="minorHAnsi" w:hAnsiTheme="minorHAnsi" w:cstheme="minorHAnsi"/>
          <w:sz w:val="18"/>
          <w:szCs w:val="18"/>
        </w:rPr>
        <w:t xml:space="preserve"> of L</w:t>
      </w:r>
      <w:r w:rsidR="000347EC">
        <w:rPr>
          <w:rFonts w:asciiTheme="minorHAnsi" w:hAnsiTheme="minorHAnsi" w:cstheme="minorHAnsi"/>
          <w:sz w:val="18"/>
          <w:szCs w:val="18"/>
        </w:rPr>
        <w:t xml:space="preserve">ocal </w:t>
      </w:r>
      <w:r w:rsidRPr="0061408A">
        <w:rPr>
          <w:rFonts w:asciiTheme="minorHAnsi" w:hAnsiTheme="minorHAnsi" w:cstheme="minorHAnsi"/>
          <w:sz w:val="18"/>
          <w:szCs w:val="18"/>
        </w:rPr>
        <w:t>I</w:t>
      </w:r>
      <w:r w:rsidR="000347EC">
        <w:rPr>
          <w:rFonts w:asciiTheme="minorHAnsi" w:hAnsiTheme="minorHAnsi" w:cstheme="minorHAnsi"/>
          <w:sz w:val="18"/>
          <w:szCs w:val="18"/>
        </w:rPr>
        <w:t xml:space="preserve">ndustry </w:t>
      </w:r>
      <w:r w:rsidRPr="0061408A">
        <w:rPr>
          <w:rFonts w:asciiTheme="minorHAnsi" w:hAnsiTheme="minorHAnsi" w:cstheme="minorHAnsi"/>
          <w:sz w:val="18"/>
          <w:szCs w:val="18"/>
        </w:rPr>
        <w:t>D</w:t>
      </w:r>
      <w:r w:rsidR="000347EC">
        <w:rPr>
          <w:rFonts w:asciiTheme="minorHAnsi" w:hAnsiTheme="minorHAnsi" w:cstheme="minorHAnsi"/>
          <w:sz w:val="18"/>
          <w:szCs w:val="18"/>
        </w:rPr>
        <w:t xml:space="preserve">evelopment </w:t>
      </w:r>
      <w:r w:rsidRPr="0061408A">
        <w:rPr>
          <w:rFonts w:asciiTheme="minorHAnsi" w:hAnsiTheme="minorHAnsi" w:cstheme="minorHAnsi"/>
          <w:sz w:val="18"/>
          <w:szCs w:val="18"/>
        </w:rPr>
        <w:t>P</w:t>
      </w:r>
      <w:r w:rsidR="000347EC">
        <w:rPr>
          <w:rFonts w:asciiTheme="minorHAnsi" w:hAnsiTheme="minorHAnsi" w:cstheme="minorHAnsi"/>
          <w:sz w:val="18"/>
          <w:szCs w:val="18"/>
        </w:rPr>
        <w:t>lan</w:t>
      </w:r>
      <w:r w:rsidRPr="0061408A">
        <w:rPr>
          <w:rFonts w:asciiTheme="minorHAnsi" w:hAnsiTheme="minorHAnsi" w:cstheme="minorHAnsi"/>
          <w:sz w:val="18"/>
          <w:szCs w:val="18"/>
        </w:rPr>
        <w:t xml:space="preserve"> commitments by t</w:t>
      </w:r>
      <w:r w:rsidRPr="008974A5">
        <w:rPr>
          <w:rFonts w:asciiTheme="minorHAnsi" w:hAnsiTheme="minorHAnsi" w:cstheme="minorHAnsi"/>
          <w:sz w:val="18"/>
          <w:szCs w:val="18"/>
        </w:rPr>
        <w:t>hemselves and their supply chain. Evidence must be retained appropriately to demonstrate compliance with L</w:t>
      </w:r>
      <w:r w:rsidR="000347EC">
        <w:rPr>
          <w:rFonts w:asciiTheme="minorHAnsi" w:hAnsiTheme="minorHAnsi" w:cstheme="minorHAnsi"/>
          <w:sz w:val="18"/>
          <w:szCs w:val="18"/>
        </w:rPr>
        <w:t xml:space="preserve">ocal </w:t>
      </w:r>
      <w:r w:rsidRPr="008974A5">
        <w:rPr>
          <w:rFonts w:asciiTheme="minorHAnsi" w:hAnsiTheme="minorHAnsi" w:cstheme="minorHAnsi"/>
          <w:sz w:val="18"/>
          <w:szCs w:val="18"/>
        </w:rPr>
        <w:t>J</w:t>
      </w:r>
      <w:r w:rsidR="000347EC">
        <w:rPr>
          <w:rFonts w:asciiTheme="minorHAnsi" w:hAnsiTheme="minorHAnsi" w:cstheme="minorHAnsi"/>
          <w:sz w:val="18"/>
          <w:szCs w:val="18"/>
        </w:rPr>
        <w:t xml:space="preserve">obs </w:t>
      </w:r>
      <w:r w:rsidRPr="008974A5">
        <w:rPr>
          <w:rFonts w:asciiTheme="minorHAnsi" w:hAnsiTheme="minorHAnsi" w:cstheme="minorHAnsi"/>
          <w:sz w:val="18"/>
          <w:szCs w:val="18"/>
        </w:rPr>
        <w:t>F</w:t>
      </w:r>
      <w:r w:rsidR="000347EC">
        <w:rPr>
          <w:rFonts w:asciiTheme="minorHAnsi" w:hAnsiTheme="minorHAnsi" w:cstheme="minorHAnsi"/>
          <w:sz w:val="18"/>
          <w:szCs w:val="18"/>
        </w:rPr>
        <w:t>irst</w:t>
      </w:r>
      <w:r w:rsidRPr="008974A5">
        <w:rPr>
          <w:rFonts w:asciiTheme="minorHAnsi" w:hAnsiTheme="minorHAnsi" w:cstheme="minorHAnsi"/>
          <w:sz w:val="18"/>
          <w:szCs w:val="18"/>
        </w:rPr>
        <w:t xml:space="preserve">. The </w:t>
      </w:r>
      <w:r w:rsidR="00204263">
        <w:rPr>
          <w:rFonts w:asciiTheme="minorHAnsi" w:hAnsiTheme="minorHAnsi" w:cstheme="minorHAnsi"/>
          <w:sz w:val="18"/>
          <w:szCs w:val="18"/>
        </w:rPr>
        <w:t>delivery</w:t>
      </w:r>
      <w:r w:rsidR="00222CCC">
        <w:rPr>
          <w:rFonts w:asciiTheme="minorHAnsi" w:hAnsiTheme="minorHAnsi" w:cstheme="minorHAnsi"/>
          <w:sz w:val="18"/>
          <w:szCs w:val="18"/>
        </w:rPr>
        <w:t xml:space="preserve"> agency</w:t>
      </w:r>
      <w:r w:rsidRPr="008974A5">
        <w:rPr>
          <w:rFonts w:asciiTheme="minorHAnsi" w:hAnsiTheme="minorHAnsi" w:cstheme="minorHAnsi"/>
          <w:sz w:val="18"/>
          <w:szCs w:val="18"/>
        </w:rPr>
        <w:t>,</w:t>
      </w:r>
      <w:r w:rsidR="00FD52F5">
        <w:rPr>
          <w:rFonts w:asciiTheme="minorHAnsi" w:hAnsiTheme="minorHAnsi" w:cstheme="minorHAnsi"/>
          <w:sz w:val="18"/>
          <w:szCs w:val="18"/>
        </w:rPr>
        <w:t xml:space="preserve"> DJPR</w:t>
      </w:r>
      <w:r w:rsidRPr="008974A5">
        <w:rPr>
          <w:rFonts w:asciiTheme="minorHAnsi" w:hAnsiTheme="minorHAnsi" w:cstheme="minorHAnsi"/>
          <w:sz w:val="18"/>
          <w:szCs w:val="18"/>
        </w:rPr>
        <w:t xml:space="preserve"> and </w:t>
      </w:r>
      <w:r w:rsidR="000347EC">
        <w:rPr>
          <w:rFonts w:asciiTheme="minorHAnsi" w:hAnsiTheme="minorHAnsi" w:cstheme="minorHAnsi"/>
          <w:sz w:val="18"/>
          <w:szCs w:val="18"/>
        </w:rPr>
        <w:t xml:space="preserve">the </w:t>
      </w:r>
      <w:r w:rsidRPr="008974A5">
        <w:rPr>
          <w:rFonts w:asciiTheme="minorHAnsi" w:hAnsiTheme="minorHAnsi" w:cstheme="minorHAnsi"/>
          <w:sz w:val="18"/>
          <w:szCs w:val="18"/>
        </w:rPr>
        <w:t>L</w:t>
      </w:r>
      <w:r w:rsidR="000347EC">
        <w:rPr>
          <w:rFonts w:asciiTheme="minorHAnsi" w:hAnsiTheme="minorHAnsi" w:cstheme="minorHAnsi"/>
          <w:sz w:val="18"/>
          <w:szCs w:val="18"/>
        </w:rPr>
        <w:t xml:space="preserve">ocal </w:t>
      </w:r>
      <w:r w:rsidRPr="0061408A">
        <w:rPr>
          <w:rFonts w:asciiTheme="minorHAnsi" w:hAnsiTheme="minorHAnsi" w:cstheme="minorHAnsi"/>
          <w:sz w:val="18"/>
          <w:szCs w:val="18"/>
        </w:rPr>
        <w:t>J</w:t>
      </w:r>
      <w:r w:rsidR="000347EC">
        <w:rPr>
          <w:rFonts w:asciiTheme="minorHAnsi" w:hAnsiTheme="minorHAnsi" w:cstheme="minorHAnsi"/>
          <w:sz w:val="18"/>
          <w:szCs w:val="18"/>
        </w:rPr>
        <w:t xml:space="preserve">obs </w:t>
      </w:r>
      <w:r w:rsidRPr="0061408A">
        <w:rPr>
          <w:rFonts w:asciiTheme="minorHAnsi" w:hAnsiTheme="minorHAnsi" w:cstheme="minorHAnsi"/>
          <w:sz w:val="18"/>
          <w:szCs w:val="18"/>
        </w:rPr>
        <w:t>F</w:t>
      </w:r>
      <w:r w:rsidR="000347EC">
        <w:rPr>
          <w:rFonts w:asciiTheme="minorHAnsi" w:hAnsiTheme="minorHAnsi" w:cstheme="minorHAnsi"/>
          <w:sz w:val="18"/>
          <w:szCs w:val="18"/>
        </w:rPr>
        <w:t>irst</w:t>
      </w:r>
      <w:r w:rsidRPr="0061408A">
        <w:rPr>
          <w:rFonts w:asciiTheme="minorHAnsi" w:hAnsiTheme="minorHAnsi" w:cstheme="minorHAnsi"/>
          <w:sz w:val="18"/>
          <w:szCs w:val="18"/>
        </w:rPr>
        <w:t xml:space="preserve"> Commissioner may request information during and after a project to evaluate L</w:t>
      </w:r>
      <w:r w:rsidR="000347EC">
        <w:rPr>
          <w:rFonts w:asciiTheme="minorHAnsi" w:hAnsiTheme="minorHAnsi" w:cstheme="minorHAnsi"/>
          <w:sz w:val="18"/>
          <w:szCs w:val="18"/>
        </w:rPr>
        <w:t xml:space="preserve">ocal </w:t>
      </w:r>
      <w:r w:rsidRPr="0061408A">
        <w:rPr>
          <w:rFonts w:asciiTheme="minorHAnsi" w:hAnsiTheme="minorHAnsi" w:cstheme="minorHAnsi"/>
          <w:sz w:val="18"/>
          <w:szCs w:val="18"/>
        </w:rPr>
        <w:t>J</w:t>
      </w:r>
      <w:r w:rsidR="000347EC">
        <w:rPr>
          <w:rFonts w:asciiTheme="minorHAnsi" w:hAnsiTheme="minorHAnsi" w:cstheme="minorHAnsi"/>
          <w:sz w:val="18"/>
          <w:szCs w:val="18"/>
        </w:rPr>
        <w:t xml:space="preserve">obs </w:t>
      </w:r>
      <w:r w:rsidRPr="0061408A">
        <w:rPr>
          <w:rFonts w:asciiTheme="minorHAnsi" w:hAnsiTheme="minorHAnsi" w:cstheme="minorHAnsi"/>
          <w:sz w:val="18"/>
          <w:szCs w:val="18"/>
        </w:rPr>
        <w:t>F</w:t>
      </w:r>
      <w:r w:rsidR="000347EC">
        <w:rPr>
          <w:rFonts w:asciiTheme="minorHAnsi" w:hAnsiTheme="minorHAnsi" w:cstheme="minorHAnsi"/>
          <w:sz w:val="18"/>
          <w:szCs w:val="18"/>
        </w:rPr>
        <w:t>irst</w:t>
      </w:r>
      <w:r w:rsidRPr="0061408A">
        <w:rPr>
          <w:rFonts w:asciiTheme="minorHAnsi" w:hAnsiTheme="minorHAnsi" w:cstheme="minorHAnsi"/>
          <w:sz w:val="18"/>
          <w:szCs w:val="18"/>
        </w:rPr>
        <w:t xml:space="preserve"> compliance.</w:t>
      </w:r>
    </w:p>
    <w:p w14:paraId="1AB78D98" w14:textId="5B4AEC5D" w:rsidR="00CB3D7C" w:rsidRPr="0045176B" w:rsidRDefault="00550F9E" w:rsidP="00EC269D">
      <w:pPr>
        <w:pStyle w:val="ListParagraph"/>
        <w:pBdr>
          <w:top w:val="single" w:sz="4" w:space="0" w:color="auto"/>
          <w:left w:val="single" w:sz="4" w:space="4" w:color="auto"/>
          <w:bottom w:val="single" w:sz="4" w:space="1" w:color="auto"/>
          <w:right w:val="single" w:sz="4" w:space="4" w:color="auto"/>
        </w:pBdr>
        <w:ind w:left="360"/>
        <w:jc w:val="center"/>
        <w:rPr>
          <w:rFonts w:asciiTheme="minorHAnsi" w:hAnsiTheme="minorHAnsi" w:cstheme="minorHAnsi"/>
          <w:sz w:val="18"/>
          <w:szCs w:val="18"/>
        </w:rPr>
      </w:pPr>
      <w:r w:rsidRPr="0061408A">
        <w:rPr>
          <w:rFonts w:asciiTheme="minorHAnsi" w:hAnsiTheme="minorHAnsi" w:cstheme="minorHAnsi"/>
          <w:sz w:val="18"/>
          <w:szCs w:val="18"/>
        </w:rPr>
        <w:t xml:space="preserve">Post contract verification </w:t>
      </w:r>
      <w:r w:rsidR="00E81939">
        <w:rPr>
          <w:rFonts w:asciiTheme="minorHAnsi" w:hAnsiTheme="minorHAnsi" w:cstheme="minorHAnsi"/>
          <w:sz w:val="18"/>
          <w:szCs w:val="18"/>
        </w:rPr>
        <w:t>starts</w:t>
      </w:r>
      <w:r w:rsidR="00E81939" w:rsidRPr="0061408A">
        <w:rPr>
          <w:rFonts w:asciiTheme="minorHAnsi" w:hAnsiTheme="minorHAnsi" w:cstheme="minorHAnsi"/>
          <w:sz w:val="18"/>
          <w:szCs w:val="18"/>
        </w:rPr>
        <w:t xml:space="preserve"> </w:t>
      </w:r>
      <w:r w:rsidRPr="0061408A">
        <w:rPr>
          <w:rFonts w:asciiTheme="minorHAnsi" w:hAnsiTheme="minorHAnsi" w:cstheme="minorHAnsi"/>
          <w:sz w:val="18"/>
          <w:szCs w:val="18"/>
        </w:rPr>
        <w:t>on practical completion of the project when works have been completed. The purpose of post contract verification is to confirm that L</w:t>
      </w:r>
      <w:r w:rsidR="000347EC">
        <w:rPr>
          <w:rFonts w:asciiTheme="minorHAnsi" w:hAnsiTheme="minorHAnsi" w:cstheme="minorHAnsi"/>
          <w:sz w:val="18"/>
          <w:szCs w:val="18"/>
        </w:rPr>
        <w:t xml:space="preserve">ocal </w:t>
      </w:r>
      <w:r w:rsidRPr="0061408A">
        <w:rPr>
          <w:rFonts w:asciiTheme="minorHAnsi" w:hAnsiTheme="minorHAnsi" w:cstheme="minorHAnsi"/>
          <w:sz w:val="18"/>
          <w:szCs w:val="18"/>
        </w:rPr>
        <w:t>J</w:t>
      </w:r>
      <w:r w:rsidR="000347EC">
        <w:rPr>
          <w:rFonts w:asciiTheme="minorHAnsi" w:hAnsiTheme="minorHAnsi" w:cstheme="minorHAnsi"/>
          <w:sz w:val="18"/>
          <w:szCs w:val="18"/>
        </w:rPr>
        <w:t xml:space="preserve">obs </w:t>
      </w:r>
      <w:r w:rsidRPr="0061408A">
        <w:rPr>
          <w:rFonts w:asciiTheme="minorHAnsi" w:hAnsiTheme="minorHAnsi" w:cstheme="minorHAnsi"/>
          <w:sz w:val="18"/>
          <w:szCs w:val="18"/>
        </w:rPr>
        <w:t>F</w:t>
      </w:r>
      <w:r w:rsidR="000347EC">
        <w:rPr>
          <w:rFonts w:asciiTheme="minorHAnsi" w:hAnsiTheme="minorHAnsi" w:cstheme="minorHAnsi"/>
          <w:sz w:val="18"/>
          <w:szCs w:val="18"/>
        </w:rPr>
        <w:t>irst</w:t>
      </w:r>
      <w:r w:rsidRPr="0061408A">
        <w:rPr>
          <w:rFonts w:asciiTheme="minorHAnsi" w:hAnsiTheme="minorHAnsi" w:cstheme="minorHAnsi"/>
          <w:sz w:val="18"/>
          <w:szCs w:val="18"/>
        </w:rPr>
        <w:t xml:space="preserve"> outcomes have been achieved throughout the project.</w:t>
      </w:r>
    </w:p>
    <w:p w14:paraId="4A29B9FE" w14:textId="4DBD4E95" w:rsidR="002A74A0" w:rsidRDefault="002A74A0" w:rsidP="002A74A0">
      <w:bookmarkStart w:id="51" w:name="_Toc523396470"/>
      <w:bookmarkEnd w:id="50"/>
    </w:p>
    <w:p w14:paraId="727C8C35" w14:textId="2F1BC48B" w:rsidR="00A17E5B" w:rsidRDefault="00A17E5B" w:rsidP="002A74A0"/>
    <w:p w14:paraId="574FC290" w14:textId="120D014F" w:rsidR="00A17E5B" w:rsidRDefault="00A17E5B" w:rsidP="002A74A0"/>
    <w:p w14:paraId="17F7FC75" w14:textId="495FE111" w:rsidR="00A17E5B" w:rsidRDefault="00A17E5B" w:rsidP="002A74A0"/>
    <w:p w14:paraId="7E4A123A" w14:textId="62869D13" w:rsidR="00A17E5B" w:rsidRDefault="00A17E5B" w:rsidP="002A74A0"/>
    <w:p w14:paraId="6144C209" w14:textId="29D5A758" w:rsidR="00A17E5B" w:rsidRDefault="00A17E5B" w:rsidP="002A74A0"/>
    <w:p w14:paraId="0481B1D1" w14:textId="78A7F39B" w:rsidR="00A17E5B" w:rsidRDefault="00A17E5B" w:rsidP="002A74A0"/>
    <w:p w14:paraId="5E396DCE" w14:textId="1A0DB5D5" w:rsidR="00A17E5B" w:rsidRDefault="00A17E5B" w:rsidP="002A74A0"/>
    <w:p w14:paraId="1B057D9B" w14:textId="7304935F" w:rsidR="00A17E5B" w:rsidRDefault="00A17E5B" w:rsidP="002A74A0"/>
    <w:p w14:paraId="1196AAFC" w14:textId="21C4C9D8" w:rsidR="00A17E5B" w:rsidRDefault="00A17E5B" w:rsidP="002A74A0"/>
    <w:p w14:paraId="158032E5" w14:textId="63419A1B" w:rsidR="00A17E5B" w:rsidRDefault="00A17E5B" w:rsidP="002A74A0"/>
    <w:p w14:paraId="66C1F4A5" w14:textId="4A9F6050" w:rsidR="00A17E5B" w:rsidRDefault="00A17E5B" w:rsidP="002A74A0"/>
    <w:p w14:paraId="5F3EBB19" w14:textId="77777777" w:rsidR="00A17E5B" w:rsidRPr="002A74A0" w:rsidRDefault="00A17E5B" w:rsidP="002A74A0"/>
    <w:p w14:paraId="500FABE9" w14:textId="4E5203BC" w:rsidR="00557392" w:rsidRDefault="008711F3" w:rsidP="009433A2">
      <w:pPr>
        <w:pStyle w:val="Heading1"/>
        <w:numPr>
          <w:ilvl w:val="0"/>
          <w:numId w:val="0"/>
        </w:numPr>
      </w:pPr>
      <w:bookmarkStart w:id="52" w:name="_Toc40369054"/>
      <w:r>
        <w:lastRenderedPageBreak/>
        <w:t>Appendices</w:t>
      </w:r>
      <w:bookmarkEnd w:id="52"/>
      <w:r>
        <w:t xml:space="preserve"> </w:t>
      </w:r>
      <w:bookmarkEnd w:id="51"/>
    </w:p>
    <w:p w14:paraId="0CE87BC8" w14:textId="68634948" w:rsidR="00F97F9E" w:rsidRPr="00F97F9E" w:rsidRDefault="007C793F" w:rsidP="007C793F">
      <w:pPr>
        <w:pStyle w:val="Heading2"/>
        <w:numPr>
          <w:ilvl w:val="0"/>
          <w:numId w:val="0"/>
        </w:numPr>
        <w:ind w:left="576" w:hanging="576"/>
      </w:pPr>
      <w:bookmarkStart w:id="53" w:name="_Toc40369055"/>
      <w:r>
        <w:t>Appendix 1: Glossary</w:t>
      </w:r>
      <w:bookmarkEnd w:id="53"/>
    </w:p>
    <w:p w14:paraId="1E035337" w14:textId="64F89C8D" w:rsidR="000A1ABE" w:rsidRPr="000A1ABE" w:rsidRDefault="0055443C" w:rsidP="000A1ABE">
      <w:pPr>
        <w:spacing w:before="0"/>
        <w:rPr>
          <w:rFonts w:ascii="Calibri" w:hAnsi="Calibri" w:cs="Calibri"/>
          <w:color w:val="auto"/>
          <w:sz w:val="20"/>
          <w:lang w:eastAsia="en-AU"/>
        </w:rPr>
      </w:pPr>
      <w:r>
        <w:rPr>
          <w:rFonts w:ascii="Calibri" w:hAnsi="Calibri" w:cs="Calibri"/>
          <w:b/>
          <w:bCs/>
          <w:color w:val="auto"/>
          <w:sz w:val="20"/>
          <w:lang w:eastAsia="en-AU"/>
        </w:rPr>
        <w:t>Acknowledgement Letter</w:t>
      </w:r>
      <w:r w:rsidR="000A1ABE" w:rsidRPr="000A1ABE">
        <w:rPr>
          <w:rFonts w:ascii="Calibri" w:hAnsi="Calibri" w:cs="Calibri"/>
          <w:b/>
          <w:bCs/>
          <w:color w:val="auto"/>
          <w:sz w:val="20"/>
          <w:lang w:eastAsia="en-AU"/>
        </w:rPr>
        <w:t>–</w:t>
      </w:r>
      <w:r w:rsidR="000A1ABE" w:rsidRPr="000A1ABE">
        <w:rPr>
          <w:rFonts w:ascii="Calibri" w:hAnsi="Calibri" w:cs="Calibri"/>
          <w:color w:val="auto"/>
          <w:sz w:val="20"/>
          <w:lang w:eastAsia="en-AU"/>
        </w:rPr>
        <w:t xml:space="preserve"> the letter received by bidders after</w:t>
      </w:r>
      <w:r w:rsidR="00835EBC">
        <w:rPr>
          <w:rFonts w:ascii="Calibri" w:hAnsi="Calibri" w:cs="Calibri"/>
          <w:color w:val="auto"/>
          <w:sz w:val="20"/>
          <w:lang w:eastAsia="en-AU"/>
        </w:rPr>
        <w:t xml:space="preserve"> </w:t>
      </w:r>
      <w:r w:rsidR="00835EBC" w:rsidRPr="00A0363C">
        <w:rPr>
          <w:rFonts w:ascii="Calibri" w:hAnsi="Calibri" w:cs="Calibri"/>
          <w:color w:val="auto"/>
          <w:sz w:val="20"/>
          <w:lang w:eastAsia="en-AU"/>
        </w:rPr>
        <w:t>the</w:t>
      </w:r>
      <w:r w:rsidR="000A1ABE" w:rsidRPr="000A1ABE">
        <w:rPr>
          <w:rFonts w:ascii="Calibri" w:hAnsi="Calibri" w:cs="Calibri"/>
          <w:color w:val="auto"/>
          <w:sz w:val="20"/>
          <w:lang w:eastAsia="en-AU"/>
        </w:rPr>
        <w:t xml:space="preserve"> ICN has assessed the LIDP . This is achieved when the bidder’s LIDP is submitted before the procuring Agency’s due date, and all sections have been adequately completed.</w:t>
      </w:r>
    </w:p>
    <w:p w14:paraId="009C2533" w14:textId="77777777" w:rsidR="000A1ABE" w:rsidRPr="000A1ABE" w:rsidRDefault="000A1ABE" w:rsidP="000A1ABE">
      <w:pPr>
        <w:rPr>
          <w:rFonts w:ascii="Calibri" w:hAnsi="Calibri" w:cs="Calibri"/>
          <w:color w:val="auto"/>
          <w:sz w:val="20"/>
          <w:lang w:eastAsia="en-AU"/>
        </w:rPr>
      </w:pPr>
      <w:r w:rsidRPr="000A1ABE">
        <w:rPr>
          <w:rFonts w:ascii="Calibri" w:hAnsi="Calibri" w:cs="Calibri"/>
          <w:b/>
          <w:bCs/>
          <w:color w:val="auto"/>
          <w:sz w:val="20"/>
          <w:lang w:eastAsia="en-AU"/>
        </w:rPr>
        <w:t xml:space="preserve">Adjusted Contract Price - </w:t>
      </w:r>
      <w:r w:rsidRPr="000A1ABE">
        <w:rPr>
          <w:rFonts w:ascii="Calibri" w:hAnsi="Calibri" w:cs="Calibri"/>
          <w:color w:val="auto"/>
          <w:sz w:val="20"/>
          <w:lang w:eastAsia="en-AU"/>
        </w:rPr>
        <w:t xml:space="preserve">A calculation that informs the MPSG Deemed Hours Formula. Adjusted Contract Price is calculated by taking the sum of the specific contract, minus 10 per cent GST, the profit margin the company expects to make, and the specialist equipment involved. </w:t>
      </w:r>
    </w:p>
    <w:p w14:paraId="014BBC32"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Apprentice - </w:t>
      </w:r>
      <w:r w:rsidRPr="000A1ABE">
        <w:rPr>
          <w:rFonts w:ascii="Calibri" w:hAnsi="Calibri" w:cs="Calibri"/>
          <w:color w:val="auto"/>
          <w:sz w:val="20"/>
          <w:lang w:eastAsia="en-AU"/>
        </w:rPr>
        <w:t>Apprenticeships are undertaken under a National Training Contract between an employer and an apprentice that combines structured training with paid employment. Apprenticeships are generally at Certificate III level and above and extend across a range of trades. Apprenticeships typically have a duration of three to four years and are competency based. Only work done by an apprentice registered with the Victorian Registration and Qualification Authority (VRQA) may be counted as contributing towards outcomes committed in a Local Industry Development Plan.</w:t>
      </w:r>
    </w:p>
    <w:p w14:paraId="517F7326"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Australia and New Zealand Government Procurement Agreement (ANZGPA) –</w:t>
      </w:r>
      <w:r w:rsidRPr="000A1ABE">
        <w:rPr>
          <w:rFonts w:ascii="Calibri" w:hAnsi="Calibri" w:cs="Calibri"/>
          <w:color w:val="auto"/>
          <w:sz w:val="20"/>
          <w:lang w:eastAsia="en-AU"/>
        </w:rPr>
        <w:t>The Local Jobs First Policy recognises the Australia New Zealand Government Procurement Agreement (ANZGPA) entered into by Australian State and Federal Governments and New Zealand in 1991. The objective of ANZGPA is to maximise opportunities for competitive ANZ suppliers to supply into government procurement. It aims to reduce the costs of doing business for both government and industry. It applies to all Australian and New Zealand local industry participation policies.</w:t>
      </w:r>
    </w:p>
    <w:p w14:paraId="21716BDB" w14:textId="77777777" w:rsidR="000A1ABE" w:rsidRPr="000A1ABE" w:rsidRDefault="000A1ABE" w:rsidP="000A1ABE">
      <w:pPr>
        <w:rPr>
          <w:rFonts w:ascii="Calibri" w:hAnsi="Calibri" w:cs="Calibri"/>
          <w:color w:val="auto"/>
          <w:sz w:val="20"/>
          <w:lang w:eastAsia="en-AU"/>
        </w:rPr>
      </w:pPr>
      <w:r w:rsidRPr="000A1ABE">
        <w:rPr>
          <w:rFonts w:ascii="Calibri" w:hAnsi="Calibri" w:cs="Calibri"/>
          <w:b/>
          <w:bCs/>
          <w:color w:val="auto"/>
          <w:sz w:val="20"/>
          <w:lang w:eastAsia="en-AU"/>
        </w:rPr>
        <w:t xml:space="preserve">Benchmark - </w:t>
      </w:r>
      <w:r w:rsidRPr="000A1ABE">
        <w:rPr>
          <w:rFonts w:ascii="Calibri" w:hAnsi="Calibri" w:cs="Calibri"/>
          <w:color w:val="auto"/>
          <w:sz w:val="20"/>
          <w:lang w:eastAsia="en-AU"/>
        </w:rPr>
        <w:t xml:space="preserve">The methodology by which a bidder evaluates a proposal from a subcontractor. Benchmarks can be based on “whole-of-life” parameters and appropriate quality and performance indicators and should include an evaluation of local content commitments. </w:t>
      </w:r>
    </w:p>
    <w:p w14:paraId="17438322"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Cadet – </w:t>
      </w:r>
      <w:r w:rsidRPr="000A1ABE">
        <w:rPr>
          <w:rFonts w:ascii="Calibri" w:hAnsi="Calibri" w:cs="Calibri"/>
          <w:color w:val="auto"/>
          <w:sz w:val="20"/>
          <w:lang w:eastAsia="en-AU"/>
        </w:rPr>
        <w:t>Cadetships combine formal tertiary training with practical work experience. There are many types of cadetships offered across different industries. Cadets are people enrolled in Australian tertiary education and who receive learning opportunities as part of their engagement on a Local Jobs First project (e.g. cadets in architecture, quantity surveying, and engineering). Cadetships can vary in length but are generally 18 months to 2 years. A cadetship does not fall under a National Training Contract.</w:t>
      </w:r>
    </w:p>
    <w:p w14:paraId="140A6946"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Contestable goods and services – </w:t>
      </w:r>
      <w:r w:rsidRPr="000A1ABE">
        <w:rPr>
          <w:rFonts w:ascii="Calibri" w:hAnsi="Calibri" w:cs="Calibri"/>
          <w:color w:val="auto"/>
          <w:sz w:val="20"/>
          <w:lang w:eastAsia="en-AU"/>
        </w:rPr>
        <w:t xml:space="preserve">Goods and services in a procurement process are contestable when there are competitive international and local suppliers that can supply the good or service. Competitive means the suppliers can offer comparable goods or services that meet the specifications given by the agency. Contestable items can be goods or services at any stage of a project. </w:t>
      </w:r>
    </w:p>
    <w:p w14:paraId="6E756590"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Contract Manager – </w:t>
      </w:r>
      <w:r w:rsidRPr="000A1ABE">
        <w:rPr>
          <w:rFonts w:ascii="Calibri" w:hAnsi="Calibri" w:cs="Calibri"/>
          <w:color w:val="auto"/>
          <w:sz w:val="20"/>
          <w:lang w:eastAsia="en-AU"/>
        </w:rPr>
        <w:t>The contract manager refers to the person within the relevant Agency responsible for managing the Local Jobs First process for a contract.</w:t>
      </w:r>
    </w:p>
    <w:p w14:paraId="28C63BED"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Deemed hours formula – </w:t>
      </w:r>
      <w:r w:rsidRPr="000A1ABE">
        <w:rPr>
          <w:rFonts w:ascii="Calibri" w:hAnsi="Calibri" w:cs="Calibri"/>
          <w:color w:val="auto"/>
          <w:sz w:val="20"/>
          <w:lang w:eastAsia="en-AU"/>
        </w:rPr>
        <w:t>Refers to the method prescribed by the MPSG for determining a project’s total estimated labour hours, based on contract value. It is the basis from which the minimum MPSG requirement is determined for each applicable project.</w:t>
      </w:r>
    </w:p>
    <w:p w14:paraId="57F5BB41" w14:textId="77777777" w:rsidR="000A1ABE" w:rsidRPr="000A1ABE" w:rsidRDefault="000A1ABE" w:rsidP="000A1ABE">
      <w:pPr>
        <w:spacing w:before="0" w:after="0"/>
        <w:rPr>
          <w:rFonts w:ascii="Calibri" w:hAnsi="Calibri" w:cs="Calibri"/>
          <w:color w:val="auto"/>
          <w:sz w:val="20"/>
          <w:lang w:eastAsia="en-AU"/>
        </w:rPr>
      </w:pPr>
      <w:r w:rsidRPr="000A1ABE">
        <w:rPr>
          <w:rFonts w:ascii="Calibri" w:hAnsi="Calibri" w:cs="Calibri"/>
          <w:b/>
          <w:bCs/>
          <w:color w:val="auto"/>
          <w:sz w:val="20"/>
          <w:lang w:eastAsia="en-AU"/>
        </w:rPr>
        <w:t xml:space="preserve">Deemed labour ratio - </w:t>
      </w:r>
      <w:r w:rsidRPr="000A1ABE">
        <w:rPr>
          <w:rFonts w:ascii="Calibri" w:hAnsi="Calibri" w:cs="Calibri"/>
          <w:color w:val="auto"/>
          <w:sz w:val="20"/>
          <w:lang w:eastAsia="en-AU"/>
        </w:rPr>
        <w:t>The percentage of the total contract sum that will spent on labour. Separate labour ratios and hourly rates have been developed for building construction projects, civil and infrastructure projects, and for mixed building and infrastructure construction projects based on industry data.</w:t>
      </w:r>
    </w:p>
    <w:p w14:paraId="091D8362" w14:textId="77777777" w:rsidR="000A1ABE" w:rsidRPr="000A1ABE" w:rsidRDefault="000A1ABE" w:rsidP="000A1ABE">
      <w:pPr>
        <w:spacing w:before="0" w:after="0"/>
        <w:rPr>
          <w:rFonts w:ascii="Calibri" w:hAnsi="Calibri" w:cs="Calibri"/>
          <w:color w:val="auto"/>
          <w:sz w:val="20"/>
          <w:lang w:eastAsia="en-AU"/>
        </w:rPr>
      </w:pPr>
      <w:r w:rsidRPr="000A1ABE">
        <w:rPr>
          <w:rFonts w:ascii="Calibri" w:hAnsi="Calibri" w:cs="Calibri"/>
          <w:b/>
          <w:bCs/>
          <w:color w:val="auto"/>
          <w:sz w:val="20"/>
          <w:lang w:eastAsia="en-AU"/>
        </w:rPr>
        <w:t> </w:t>
      </w:r>
    </w:p>
    <w:p w14:paraId="4C46071D" w14:textId="77777777" w:rsidR="000A1ABE" w:rsidRPr="000A1ABE" w:rsidRDefault="000A1ABE" w:rsidP="000A1ABE">
      <w:pPr>
        <w:spacing w:before="0" w:after="0"/>
        <w:rPr>
          <w:rFonts w:ascii="Calibri" w:hAnsi="Calibri" w:cs="Calibri"/>
          <w:color w:val="auto"/>
          <w:sz w:val="20"/>
          <w:lang w:eastAsia="en-AU"/>
        </w:rPr>
      </w:pPr>
      <w:r w:rsidRPr="000A1ABE">
        <w:rPr>
          <w:rFonts w:ascii="Calibri" w:hAnsi="Calibri" w:cs="Calibri"/>
          <w:b/>
          <w:bCs/>
          <w:color w:val="auto"/>
          <w:sz w:val="20"/>
          <w:lang w:eastAsia="en-AU"/>
        </w:rPr>
        <w:lastRenderedPageBreak/>
        <w:t xml:space="preserve">Department of Jobs, Precincts and Regions – </w:t>
      </w:r>
      <w:r w:rsidRPr="000A1ABE">
        <w:rPr>
          <w:rFonts w:ascii="Calibri" w:hAnsi="Calibri" w:cs="Calibri"/>
          <w:color w:val="auto"/>
          <w:sz w:val="20"/>
          <w:lang w:eastAsia="en-AU"/>
        </w:rPr>
        <w:t xml:space="preserve">The Victorian Government agency responsible for administering the </w:t>
      </w:r>
      <w:r w:rsidRPr="000A1ABE">
        <w:rPr>
          <w:rFonts w:ascii="Calibri" w:hAnsi="Calibri" w:cs="Calibri"/>
          <w:i/>
          <w:iCs/>
          <w:color w:val="auto"/>
          <w:sz w:val="20"/>
          <w:lang w:eastAsia="en-AU"/>
        </w:rPr>
        <w:t>Local Jobs First Act 2003</w:t>
      </w:r>
      <w:r w:rsidRPr="000A1ABE">
        <w:rPr>
          <w:rFonts w:ascii="Calibri" w:hAnsi="Calibri" w:cs="Calibri"/>
          <w:color w:val="auto"/>
          <w:sz w:val="20"/>
          <w:lang w:eastAsia="en-AU"/>
        </w:rPr>
        <w:t xml:space="preserve"> and Local Jobs First Policy. </w:t>
      </w:r>
    </w:p>
    <w:p w14:paraId="358BCC70" w14:textId="77777777" w:rsidR="000A1ABE" w:rsidRPr="000A1ABE" w:rsidRDefault="000A1ABE" w:rsidP="000A1ABE">
      <w:pPr>
        <w:spacing w:before="0" w:after="0"/>
        <w:rPr>
          <w:rFonts w:cs="Arial"/>
          <w:color w:val="000000"/>
          <w:sz w:val="20"/>
          <w:lang w:eastAsia="en-AU"/>
        </w:rPr>
      </w:pPr>
      <w:r w:rsidRPr="000A1ABE">
        <w:rPr>
          <w:rFonts w:cs="Arial"/>
          <w:color w:val="000000"/>
          <w:sz w:val="20"/>
          <w:lang w:eastAsia="en-AU"/>
        </w:rPr>
        <w:t> </w:t>
      </w:r>
    </w:p>
    <w:p w14:paraId="4F2EA38D"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Employment – </w:t>
      </w:r>
      <w:r w:rsidRPr="000A1ABE">
        <w:rPr>
          <w:rFonts w:ascii="Calibri" w:hAnsi="Calibri" w:cs="Calibri"/>
          <w:color w:val="auto"/>
          <w:sz w:val="20"/>
          <w:lang w:eastAsia="en-AU"/>
        </w:rPr>
        <w:t>Refers to the number of actual new or retained (i.e. existing) annualised employee equivalent opportunities (jobs) to be created in Australia and New Zealand as a result of the contract.</w:t>
      </w:r>
    </w:p>
    <w:p w14:paraId="4B454146"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color w:val="auto"/>
          <w:sz w:val="20"/>
          <w:u w:val="single"/>
          <w:lang w:eastAsia="en-AU"/>
        </w:rPr>
        <w:t>Note</w:t>
      </w:r>
      <w:r w:rsidRPr="000A1ABE">
        <w:rPr>
          <w:rFonts w:ascii="Calibri" w:hAnsi="Calibri" w:cs="Calibri"/>
          <w:color w:val="auto"/>
          <w:sz w:val="20"/>
          <w:lang w:eastAsia="en-AU"/>
        </w:rPr>
        <w:t xml:space="preserve">: AEE replaces Full Time Equivalence (FTE), and is calculated by dividing the total number of ordinary working hours that an employee worked and was paid over the reporting period (including paid leave) by the total number of full-time working hours paid per annum (this is generally 38 hours per week for 52 weeks = 1976). </w:t>
      </w:r>
    </w:p>
    <w:p w14:paraId="3AE5E73B"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Expression of Interest - </w:t>
      </w:r>
      <w:r w:rsidRPr="000A1ABE">
        <w:rPr>
          <w:rFonts w:ascii="Calibri" w:hAnsi="Calibri" w:cs="Calibri"/>
          <w:color w:val="auto"/>
          <w:sz w:val="20"/>
          <w:lang w:eastAsia="en-AU"/>
        </w:rPr>
        <w:t>used to identify suppliers interested in, and capable of, delivering the required goods or services. Potential suppliers are asked to provide information on their capability and capacity to do the work. It is usually the first stage of a multi-stage procurement process.</w:t>
      </w:r>
    </w:p>
    <w:p w14:paraId="20E4A33E" w14:textId="77777777" w:rsidR="000A1ABE" w:rsidRPr="000A1ABE" w:rsidRDefault="000A1ABE" w:rsidP="000A1ABE">
      <w:pPr>
        <w:spacing w:before="0"/>
        <w:rPr>
          <w:rFonts w:ascii="Calibri" w:hAnsi="Calibri" w:cs="Calibri"/>
          <w:color w:val="auto"/>
          <w:sz w:val="22"/>
          <w:szCs w:val="22"/>
          <w:lang w:eastAsia="en-AU"/>
        </w:rPr>
      </w:pPr>
      <w:r w:rsidRPr="000A1ABE">
        <w:rPr>
          <w:rFonts w:ascii="Calibri" w:hAnsi="Calibri" w:cs="Calibri"/>
          <w:b/>
          <w:bCs/>
          <w:color w:val="auto"/>
          <w:sz w:val="22"/>
          <w:szCs w:val="22"/>
          <w:lang w:eastAsia="en-AU"/>
        </w:rPr>
        <w:t>Invitation to Supply</w:t>
      </w:r>
      <w:r w:rsidRPr="000A1ABE">
        <w:rPr>
          <w:rFonts w:ascii="Calibri" w:hAnsi="Calibri" w:cs="Calibri"/>
          <w:color w:val="auto"/>
          <w:sz w:val="22"/>
          <w:szCs w:val="22"/>
          <w:lang w:eastAsia="en-AU"/>
        </w:rPr>
        <w:t xml:space="preserve"> - </w:t>
      </w:r>
      <w:r w:rsidRPr="00CB7203">
        <w:rPr>
          <w:rFonts w:ascii="Calibri" w:hAnsi="Calibri" w:cs="Calibri"/>
          <w:color w:val="auto"/>
          <w:sz w:val="20"/>
          <w:lang w:eastAsia="en-AU"/>
        </w:rPr>
        <w:t>a process of inviting offers to supply goods and/or services. This process covers both the request for quotation and request for tender process.</w:t>
      </w:r>
    </w:p>
    <w:p w14:paraId="7E574F12"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Jobs Created - </w:t>
      </w:r>
      <w:r w:rsidRPr="000A1ABE">
        <w:rPr>
          <w:rFonts w:ascii="Calibri" w:hAnsi="Calibri" w:cs="Calibri"/>
          <w:color w:val="auto"/>
          <w:sz w:val="20"/>
          <w:lang w:eastAsia="en-AU"/>
        </w:rPr>
        <w:t>a job (one Annual Employee Equivalent (AEE)) that has been specifically employed by a supplier or subcontractors, because of the work generated by a specific project.</w:t>
      </w:r>
    </w:p>
    <w:p w14:paraId="768165AA"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Jobs Retained – </w:t>
      </w:r>
      <w:r w:rsidRPr="000A1ABE">
        <w:rPr>
          <w:rFonts w:ascii="Calibri" w:hAnsi="Calibri" w:cs="Calibri"/>
          <w:color w:val="auto"/>
          <w:sz w:val="20"/>
          <w:lang w:eastAsia="en-AU"/>
        </w:rPr>
        <w:t>a job (one Annual Employee Equivalent (AEE)) that has been working for a supplier or subcontractor before signing a project contract, working in tasks/works related to the project.</w:t>
      </w:r>
    </w:p>
    <w:p w14:paraId="08D811CD" w14:textId="7B3D15A6" w:rsidR="0003037F" w:rsidRDefault="0003037F" w:rsidP="0003037F">
      <w:pPr>
        <w:jc w:val="both"/>
        <w:rPr>
          <w:rFonts w:ascii="Calibri" w:hAnsi="Calibri" w:cs="Calibri"/>
          <w:b/>
          <w:bCs/>
          <w:color w:val="auto"/>
          <w:sz w:val="20"/>
          <w:lang w:eastAsia="en-AU"/>
        </w:rPr>
      </w:pPr>
      <w:r>
        <w:rPr>
          <w:rFonts w:ascii="Calibri" w:hAnsi="Calibri" w:cs="Calibri"/>
          <w:b/>
          <w:bCs/>
          <w:color w:val="auto"/>
          <w:sz w:val="20"/>
          <w:lang w:eastAsia="en-AU"/>
        </w:rPr>
        <w:t xml:space="preserve">Limited Contestability – </w:t>
      </w:r>
      <w:r w:rsidRPr="006E60AF">
        <w:rPr>
          <w:rFonts w:ascii="Calibri" w:hAnsi="Calibri" w:cs="Calibri"/>
          <w:color w:val="auto"/>
          <w:sz w:val="20"/>
          <w:lang w:eastAsia="en-AU"/>
        </w:rPr>
        <w:t>A project or aspect of a Local Jobs First project that has been deemed to be of nil or limited contestability. This means that the Industry Capability Network Victoria (ICN) has judged that goods produced, services supplied and construction activities to be used in this contract of nil or limited contestability meaning the local content is equal to or greater than 97 percent.</w:t>
      </w:r>
    </w:p>
    <w:p w14:paraId="5D261BF9" w14:textId="1BB1A372"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Local – </w:t>
      </w:r>
      <w:r w:rsidRPr="000A1ABE">
        <w:rPr>
          <w:rFonts w:ascii="Calibri" w:hAnsi="Calibri" w:cs="Calibri"/>
          <w:color w:val="auto"/>
          <w:sz w:val="20"/>
          <w:lang w:eastAsia="en-AU"/>
        </w:rPr>
        <w:t xml:space="preserve">The term local means all suppliers producing Victorian, Australian or New Zealand goods or services or when they have added value to imported items, such providing a local employment outcome to an imported product. </w:t>
      </w:r>
    </w:p>
    <w:p w14:paraId="1A0C0AFB"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Local Content – </w:t>
      </w:r>
      <w:r w:rsidRPr="000A1ABE">
        <w:rPr>
          <w:rFonts w:ascii="Calibri" w:hAnsi="Calibri" w:cs="Calibri"/>
          <w:color w:val="auto"/>
          <w:sz w:val="20"/>
          <w:lang w:eastAsia="en-AU"/>
        </w:rPr>
        <w:t xml:space="preserve">The term local content covers all suppliers producing Australian or New Zealand (ANZ) goods or services or when they have added value to imported items. Local content means goods that are produced by local industry, or services that are supplied by local industry or construction activities carried out by local industry. Local assembly of imported materials, transport of goods, and local labour are all examples of local content or local added value. </w:t>
      </w:r>
    </w:p>
    <w:p w14:paraId="5B0E0BC2"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Local Industry – </w:t>
      </w:r>
      <w:r w:rsidRPr="000A1ABE">
        <w:rPr>
          <w:rFonts w:ascii="Calibri" w:hAnsi="Calibri" w:cs="Calibri"/>
          <w:color w:val="auto"/>
          <w:sz w:val="20"/>
          <w:lang w:eastAsia="en-AU"/>
        </w:rPr>
        <w:t>Local industry means industry and other businesses based in Australia or New Zealand.</w:t>
      </w:r>
    </w:p>
    <w:p w14:paraId="44E603BE" w14:textId="2F355F4F"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Local Industry Development Plan (LIDP) – </w:t>
      </w:r>
      <w:r w:rsidRPr="000A1ABE">
        <w:rPr>
          <w:rFonts w:ascii="Calibri" w:hAnsi="Calibri" w:cs="Calibri"/>
          <w:color w:val="auto"/>
          <w:sz w:val="20"/>
          <w:lang w:eastAsia="en-AU"/>
        </w:rPr>
        <w:t xml:space="preserve">A Local Industry Development Plan is a document prepared by the supplier as part of the Expression of Interest, Request for Tender and/or tender submission for a Local Jobs First project. The LIDP details the supplier’s commitment to address the LJF requirements and details the expected local content and job outcomes. An LIDP must have an ICN </w:t>
      </w:r>
      <w:r w:rsidR="0055443C">
        <w:rPr>
          <w:rFonts w:ascii="Calibri" w:hAnsi="Calibri" w:cs="Calibri"/>
          <w:color w:val="auto"/>
          <w:sz w:val="20"/>
          <w:lang w:eastAsia="en-AU"/>
        </w:rPr>
        <w:t>Acknowledgement Letter</w:t>
      </w:r>
      <w:r w:rsidRPr="000A1ABE">
        <w:rPr>
          <w:rFonts w:ascii="Calibri" w:hAnsi="Calibri" w:cs="Calibri"/>
          <w:color w:val="auto"/>
          <w:sz w:val="20"/>
          <w:lang w:eastAsia="en-AU"/>
        </w:rPr>
        <w:t xml:space="preserve"> from the ICN to be compliant.</w:t>
      </w:r>
    </w:p>
    <w:p w14:paraId="472A69F0"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Local Jobs First Commissioner –</w:t>
      </w:r>
      <w:r w:rsidRPr="000A1ABE">
        <w:rPr>
          <w:rFonts w:ascii="Calibri" w:hAnsi="Calibri" w:cs="Calibri"/>
          <w:color w:val="auto"/>
          <w:sz w:val="20"/>
          <w:lang w:eastAsia="en-AU"/>
        </w:rPr>
        <w:t xml:space="preserve"> An independent statutory officer with advocacy, engagement and compliance powers in relation to Local Jobs First. Further details can be found at </w:t>
      </w:r>
      <w:hyperlink r:id="rId27" w:history="1">
        <w:r w:rsidRPr="000A1ABE">
          <w:rPr>
            <w:rFonts w:ascii="Calibri" w:hAnsi="Calibri" w:cs="Calibri"/>
            <w:color w:val="0000FF"/>
            <w:sz w:val="20"/>
            <w:u w:val="single"/>
            <w:lang w:eastAsia="en-AU"/>
          </w:rPr>
          <w:t>https://www.localjobsfirst.vic.gov.au/local-jobs-first-commissioner</w:t>
        </w:r>
      </w:hyperlink>
    </w:p>
    <w:p w14:paraId="412EF4D4"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Local Jobs First Policy – </w:t>
      </w:r>
      <w:r w:rsidRPr="000A1ABE">
        <w:rPr>
          <w:rFonts w:ascii="Calibri" w:hAnsi="Calibri" w:cs="Calibri"/>
          <w:color w:val="auto"/>
          <w:sz w:val="20"/>
          <w:lang w:eastAsia="en-AU"/>
        </w:rPr>
        <w:t>The Local Jobs First Policy is comprised of the Victorian Industry Participation Policy and the Major Projects Skills Guarantee.</w:t>
      </w:r>
    </w:p>
    <w:p w14:paraId="41733E49" w14:textId="77777777" w:rsidR="000A1ABE" w:rsidRPr="000A1ABE" w:rsidRDefault="000A1ABE" w:rsidP="000A1ABE">
      <w:pPr>
        <w:rPr>
          <w:rFonts w:ascii="Calibri" w:hAnsi="Calibri" w:cs="Calibri"/>
          <w:color w:val="auto"/>
          <w:sz w:val="20"/>
          <w:lang w:eastAsia="en-AU"/>
        </w:rPr>
      </w:pPr>
      <w:r w:rsidRPr="000A1ABE">
        <w:rPr>
          <w:rFonts w:ascii="Calibri" w:hAnsi="Calibri" w:cs="Calibri"/>
          <w:b/>
          <w:bCs/>
          <w:color w:val="auto"/>
          <w:sz w:val="20"/>
          <w:lang w:eastAsia="en-AU"/>
        </w:rPr>
        <w:t xml:space="preserve">Local Value Added Content - </w:t>
      </w:r>
      <w:r w:rsidRPr="000A1ABE">
        <w:rPr>
          <w:rFonts w:ascii="Calibri" w:hAnsi="Calibri" w:cs="Calibri"/>
          <w:color w:val="auto"/>
          <w:sz w:val="20"/>
          <w:lang w:eastAsia="en-AU"/>
        </w:rPr>
        <w:t>Refers to products or services that are added locally onto an imported product.</w:t>
      </w:r>
    </w:p>
    <w:p w14:paraId="7D29451E"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lastRenderedPageBreak/>
        <w:t xml:space="preserve">Major Projects Skills Guarantee – </w:t>
      </w:r>
      <w:r w:rsidRPr="000A1ABE">
        <w:rPr>
          <w:rFonts w:ascii="Calibri" w:hAnsi="Calibri" w:cs="Calibri"/>
          <w:color w:val="auto"/>
          <w:sz w:val="20"/>
          <w:lang w:eastAsia="en-AU"/>
        </w:rPr>
        <w:t>The Major Projects Skills Guarantee is a policy that provides job opportunities for apprentices, trainees and cadets on high value construction and infrastructure projects.</w:t>
      </w:r>
    </w:p>
    <w:p w14:paraId="334D7E7E"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Non-contestable items - </w:t>
      </w:r>
      <w:r w:rsidRPr="000A1ABE">
        <w:rPr>
          <w:rFonts w:ascii="Calibri" w:hAnsi="Calibri" w:cs="Calibri"/>
          <w:color w:val="auto"/>
          <w:sz w:val="20"/>
          <w:lang w:eastAsia="en-AU"/>
        </w:rPr>
        <w:t>Items that are considered as only being available through the international marketplace or local suppliers only. That is, it is considered that there is no current competition between international and local suppliers to provide the good or service.</w:t>
      </w:r>
    </w:p>
    <w:p w14:paraId="2BE0AEFC" w14:textId="77777777" w:rsidR="000A1ABE" w:rsidRPr="000A1ABE" w:rsidRDefault="000A1ABE" w:rsidP="000A1ABE">
      <w:pPr>
        <w:rPr>
          <w:rFonts w:ascii="Calibri" w:hAnsi="Calibri" w:cs="Calibri"/>
          <w:color w:val="auto"/>
          <w:sz w:val="20"/>
          <w:lang w:eastAsia="en-AU"/>
        </w:rPr>
      </w:pPr>
      <w:r w:rsidRPr="000A1ABE">
        <w:rPr>
          <w:rFonts w:ascii="Calibri" w:hAnsi="Calibri" w:cs="Calibri"/>
          <w:b/>
          <w:bCs/>
          <w:color w:val="auto"/>
          <w:sz w:val="20"/>
          <w:lang w:eastAsia="en-AU"/>
        </w:rPr>
        <w:t xml:space="preserve">Practical Completion - </w:t>
      </w:r>
      <w:r w:rsidRPr="000A1ABE">
        <w:rPr>
          <w:rFonts w:ascii="Calibri" w:hAnsi="Calibri" w:cs="Calibri"/>
          <w:color w:val="auto"/>
          <w:sz w:val="20"/>
          <w:lang w:eastAsia="en-AU"/>
        </w:rPr>
        <w:t xml:space="preserve">The end of the project aside from minor administrative tasks. </w:t>
      </w:r>
    </w:p>
    <w:p w14:paraId="65A5BC75"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SME – </w:t>
      </w:r>
      <w:r w:rsidRPr="000A1ABE">
        <w:rPr>
          <w:rFonts w:ascii="Calibri" w:hAnsi="Calibri" w:cs="Calibri"/>
          <w:color w:val="auto"/>
          <w:sz w:val="20"/>
          <w:lang w:eastAsia="en-AU"/>
        </w:rPr>
        <w:t>Small-to-Medium Enterprises</w:t>
      </w:r>
    </w:p>
    <w:p w14:paraId="223BB636"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Specialist Equipment - </w:t>
      </w:r>
      <w:r w:rsidRPr="000A1ABE">
        <w:rPr>
          <w:rFonts w:ascii="Calibri" w:hAnsi="Calibri" w:cs="Calibri"/>
          <w:color w:val="auto"/>
          <w:sz w:val="20"/>
          <w:lang w:eastAsia="en-AU"/>
        </w:rPr>
        <w:t xml:space="preserve">Refers to significant items or systems of equipment of significant cost that will be purchased by the supplier to meet the scope of works on a specific Local Jobs First project. </w:t>
      </w:r>
    </w:p>
    <w:p w14:paraId="67CA0A0F"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Standard employee – </w:t>
      </w:r>
      <w:r w:rsidRPr="000A1ABE">
        <w:rPr>
          <w:rFonts w:ascii="Calibri" w:hAnsi="Calibri" w:cs="Calibri"/>
          <w:color w:val="auto"/>
          <w:sz w:val="20"/>
          <w:lang w:eastAsia="en-AU"/>
        </w:rPr>
        <w:t>All employees not classified as apprentices, cadets or trainees.</w:t>
      </w:r>
    </w:p>
    <w:p w14:paraId="4CF0D67D" w14:textId="77777777" w:rsidR="000A1ABE" w:rsidRPr="000A1ABE" w:rsidRDefault="000A1ABE" w:rsidP="000A1ABE">
      <w:pPr>
        <w:rPr>
          <w:rFonts w:ascii="Calibri" w:hAnsi="Calibri" w:cs="Calibri"/>
          <w:color w:val="auto"/>
          <w:sz w:val="20"/>
          <w:lang w:eastAsia="en-AU"/>
        </w:rPr>
      </w:pPr>
      <w:r w:rsidRPr="000A1ABE">
        <w:rPr>
          <w:rFonts w:ascii="Calibri" w:hAnsi="Calibri" w:cs="Calibri"/>
          <w:b/>
          <w:bCs/>
          <w:color w:val="auto"/>
          <w:sz w:val="20"/>
          <w:lang w:eastAsia="en-AU"/>
        </w:rPr>
        <w:t xml:space="preserve">Total Contract Sum – </w:t>
      </w:r>
      <w:r w:rsidRPr="000A1ABE">
        <w:rPr>
          <w:rFonts w:ascii="Calibri" w:hAnsi="Calibri" w:cs="Calibri"/>
          <w:color w:val="auto"/>
          <w:sz w:val="20"/>
          <w:lang w:eastAsia="en-AU"/>
        </w:rPr>
        <w:t xml:space="preserve">The sum of the contract to a specific supplier. May form just one part of the total project value. </w:t>
      </w:r>
    </w:p>
    <w:p w14:paraId="4E61489C"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Trainee - </w:t>
      </w:r>
      <w:r w:rsidRPr="000A1ABE">
        <w:rPr>
          <w:rFonts w:ascii="Calibri" w:hAnsi="Calibri" w:cs="Calibri"/>
          <w:color w:val="auto"/>
          <w:sz w:val="20"/>
          <w:lang w:eastAsia="en-AU"/>
        </w:rPr>
        <w:t>Traineeships are undertaken under a National Training Contract between an employer and a trainee that combines training with paid employment. Traineeships are undertaken at Certificate II level and above including Diploma and Advance Diploma. Traineeships can be in areas including business services, information technology or community services. Traineeships typically have a duration of one to two years and are competency based. Only work contributed by a trainee registered with the Victorian Registration and Qualification Authority (VRQA) may be counted against the minimum 10 per cent MPSG requirement.</w:t>
      </w:r>
    </w:p>
    <w:p w14:paraId="052B624A"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Request for Tender - </w:t>
      </w:r>
      <w:r w:rsidRPr="000A1ABE">
        <w:rPr>
          <w:rFonts w:ascii="Calibri" w:hAnsi="Calibri" w:cs="Calibri"/>
          <w:color w:val="auto"/>
          <w:sz w:val="20"/>
          <w:lang w:eastAsia="en-AU"/>
        </w:rPr>
        <w:t>an invitation to supply or a request for offer against a set of clearly defined and specified requirements. Invitees are advised of all requirements involved including the conditions of participation and proposed contract conditions.</w:t>
      </w:r>
    </w:p>
    <w:p w14:paraId="6C666DA6" w14:textId="2D5D65C4"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Rural and Regional Victoria –  </w:t>
      </w:r>
      <w:r w:rsidRPr="000A1ABE">
        <w:rPr>
          <w:rFonts w:ascii="Calibri" w:hAnsi="Calibri" w:cs="Calibri"/>
          <w:color w:val="auto"/>
          <w:sz w:val="20"/>
          <w:lang w:val="en-US" w:eastAsia="en-AU"/>
        </w:rPr>
        <w:t xml:space="preserve">Rural and Regional Victoria is defined as the 48 local government areas, including six alpine resort areas, set out in Schedule 2 of the </w:t>
      </w:r>
      <w:hyperlink r:id="rId28" w:history="1">
        <w:r w:rsidRPr="000A1ABE">
          <w:rPr>
            <w:rFonts w:ascii="Calibri" w:hAnsi="Calibri" w:cs="Calibri"/>
            <w:i/>
            <w:iCs/>
            <w:color w:val="0000FF"/>
            <w:sz w:val="20"/>
            <w:u w:val="single"/>
            <w:lang w:val="en-US" w:eastAsia="en-AU"/>
          </w:rPr>
          <w:t>Regional Development Victoria Act 2002</w:t>
        </w:r>
      </w:hyperlink>
      <w:r w:rsidRPr="000A1ABE">
        <w:rPr>
          <w:rFonts w:ascii="Calibri" w:hAnsi="Calibri" w:cs="Calibri"/>
          <w:color w:val="auto"/>
          <w:sz w:val="20"/>
          <w:lang w:val="en-US" w:eastAsia="en-AU"/>
        </w:rPr>
        <w:t xml:space="preserve">. The 10 regional city local government areas are </w:t>
      </w:r>
      <w:hyperlink r:id="rId29" w:history="1">
        <w:r w:rsidRPr="000A1ABE">
          <w:rPr>
            <w:rFonts w:ascii="Calibri" w:hAnsi="Calibri" w:cs="Calibri"/>
            <w:color w:val="0000FF"/>
            <w:sz w:val="20"/>
            <w:u w:val="single"/>
            <w:lang w:val="en-US" w:eastAsia="en-AU"/>
          </w:rPr>
          <w:t>Ballarat</w:t>
        </w:r>
      </w:hyperlink>
      <w:r w:rsidRPr="000A1ABE">
        <w:rPr>
          <w:rFonts w:ascii="Calibri" w:hAnsi="Calibri" w:cs="Calibri"/>
          <w:color w:val="auto"/>
          <w:sz w:val="20"/>
          <w:lang w:val="en-US" w:eastAsia="en-AU"/>
        </w:rPr>
        <w:t xml:space="preserve">, </w:t>
      </w:r>
      <w:hyperlink r:id="rId30" w:history="1">
        <w:r w:rsidRPr="000A1ABE">
          <w:rPr>
            <w:rFonts w:ascii="Calibri" w:hAnsi="Calibri" w:cs="Calibri"/>
            <w:color w:val="0000FF"/>
            <w:sz w:val="20"/>
            <w:u w:val="single"/>
            <w:lang w:val="en-US" w:eastAsia="en-AU"/>
          </w:rPr>
          <w:t>Greater Bendigo</w:t>
        </w:r>
      </w:hyperlink>
      <w:r w:rsidRPr="000A1ABE">
        <w:rPr>
          <w:rFonts w:ascii="Calibri" w:hAnsi="Calibri" w:cs="Calibri"/>
          <w:color w:val="auto"/>
          <w:sz w:val="20"/>
          <w:lang w:val="en-US" w:eastAsia="en-AU"/>
        </w:rPr>
        <w:t xml:space="preserve">, </w:t>
      </w:r>
      <w:hyperlink r:id="rId31" w:history="1">
        <w:r w:rsidRPr="000A1ABE">
          <w:rPr>
            <w:rFonts w:ascii="Calibri" w:hAnsi="Calibri" w:cs="Calibri"/>
            <w:color w:val="0000FF"/>
            <w:sz w:val="20"/>
            <w:u w:val="single"/>
            <w:lang w:val="en-US" w:eastAsia="en-AU"/>
          </w:rPr>
          <w:t>Greater Geelong</w:t>
        </w:r>
      </w:hyperlink>
      <w:r w:rsidRPr="000A1ABE">
        <w:rPr>
          <w:rFonts w:ascii="Calibri" w:hAnsi="Calibri" w:cs="Calibri"/>
          <w:color w:val="auto"/>
          <w:sz w:val="20"/>
          <w:lang w:val="en-US" w:eastAsia="en-AU"/>
        </w:rPr>
        <w:t xml:space="preserve">, </w:t>
      </w:r>
      <w:hyperlink r:id="rId32" w:history="1">
        <w:r w:rsidRPr="000A1ABE">
          <w:rPr>
            <w:rFonts w:ascii="Calibri" w:hAnsi="Calibri" w:cs="Calibri"/>
            <w:color w:val="0000FF"/>
            <w:sz w:val="20"/>
            <w:u w:val="single"/>
            <w:lang w:val="en-US" w:eastAsia="en-AU"/>
          </w:rPr>
          <w:t xml:space="preserve">Greater </w:t>
        </w:r>
        <w:r w:rsidR="006E35D7" w:rsidRPr="000A1ABE">
          <w:rPr>
            <w:rFonts w:ascii="Calibri" w:hAnsi="Calibri" w:cs="Calibri"/>
            <w:color w:val="0000FF"/>
            <w:sz w:val="20"/>
            <w:u w:val="single"/>
            <w:lang w:val="en-US" w:eastAsia="en-AU"/>
          </w:rPr>
          <w:t>Shepp</w:t>
        </w:r>
        <w:r w:rsidR="004B6AB9">
          <w:rPr>
            <w:rFonts w:ascii="Calibri" w:hAnsi="Calibri" w:cs="Calibri"/>
            <w:color w:val="0000FF"/>
            <w:sz w:val="20"/>
            <w:u w:val="single"/>
            <w:lang w:val="en-US" w:eastAsia="en-AU"/>
          </w:rPr>
          <w:t>a</w:t>
        </w:r>
        <w:r w:rsidR="006E35D7" w:rsidRPr="000A1ABE">
          <w:rPr>
            <w:rFonts w:ascii="Calibri" w:hAnsi="Calibri" w:cs="Calibri"/>
            <w:color w:val="0000FF"/>
            <w:sz w:val="20"/>
            <w:u w:val="single"/>
            <w:lang w:val="en-US" w:eastAsia="en-AU"/>
          </w:rPr>
          <w:t>rton</w:t>
        </w:r>
      </w:hyperlink>
      <w:r w:rsidRPr="000A1ABE">
        <w:rPr>
          <w:rFonts w:ascii="Calibri" w:hAnsi="Calibri" w:cs="Calibri"/>
          <w:color w:val="auto"/>
          <w:sz w:val="20"/>
          <w:lang w:val="en-US" w:eastAsia="en-AU"/>
        </w:rPr>
        <w:t xml:space="preserve">, </w:t>
      </w:r>
      <w:hyperlink r:id="rId33" w:history="1">
        <w:r w:rsidRPr="000A1ABE">
          <w:rPr>
            <w:rFonts w:ascii="Calibri" w:hAnsi="Calibri" w:cs="Calibri"/>
            <w:color w:val="0000FF"/>
            <w:sz w:val="20"/>
            <w:u w:val="single"/>
            <w:lang w:val="en-US" w:eastAsia="en-AU"/>
          </w:rPr>
          <w:t>Horsham</w:t>
        </w:r>
      </w:hyperlink>
      <w:r w:rsidRPr="000A1ABE">
        <w:rPr>
          <w:rFonts w:ascii="Calibri" w:hAnsi="Calibri" w:cs="Calibri"/>
          <w:color w:val="auto"/>
          <w:sz w:val="20"/>
          <w:lang w:val="en-US" w:eastAsia="en-AU"/>
        </w:rPr>
        <w:t xml:space="preserve">, </w:t>
      </w:r>
      <w:hyperlink r:id="rId34" w:history="1">
        <w:r w:rsidRPr="000A1ABE">
          <w:rPr>
            <w:rFonts w:ascii="Calibri" w:hAnsi="Calibri" w:cs="Calibri"/>
            <w:color w:val="0000FF"/>
            <w:sz w:val="20"/>
            <w:u w:val="single"/>
            <w:lang w:val="en-US" w:eastAsia="en-AU"/>
          </w:rPr>
          <w:t>Latrobe</w:t>
        </w:r>
      </w:hyperlink>
      <w:r w:rsidRPr="000A1ABE">
        <w:rPr>
          <w:rFonts w:ascii="Calibri" w:hAnsi="Calibri" w:cs="Calibri"/>
          <w:color w:val="auto"/>
          <w:sz w:val="20"/>
          <w:lang w:val="en-US" w:eastAsia="en-AU"/>
        </w:rPr>
        <w:t xml:space="preserve">, </w:t>
      </w:r>
      <w:hyperlink r:id="rId35" w:history="1">
        <w:r w:rsidRPr="000A1ABE">
          <w:rPr>
            <w:rFonts w:ascii="Calibri" w:hAnsi="Calibri" w:cs="Calibri"/>
            <w:color w:val="0000FF"/>
            <w:sz w:val="20"/>
            <w:u w:val="single"/>
            <w:lang w:val="en-US" w:eastAsia="en-AU"/>
          </w:rPr>
          <w:t>Mildura</w:t>
        </w:r>
      </w:hyperlink>
      <w:r w:rsidRPr="000A1ABE">
        <w:rPr>
          <w:rFonts w:ascii="Calibri" w:hAnsi="Calibri" w:cs="Calibri"/>
          <w:color w:val="auto"/>
          <w:sz w:val="20"/>
          <w:lang w:val="en-US" w:eastAsia="en-AU"/>
        </w:rPr>
        <w:t xml:space="preserve">, </w:t>
      </w:r>
      <w:hyperlink r:id="rId36" w:history="1">
        <w:r w:rsidRPr="000A1ABE">
          <w:rPr>
            <w:rFonts w:ascii="Calibri" w:hAnsi="Calibri" w:cs="Calibri"/>
            <w:color w:val="0000FF"/>
            <w:sz w:val="20"/>
            <w:u w:val="single"/>
            <w:lang w:val="en-US" w:eastAsia="en-AU"/>
          </w:rPr>
          <w:t>Wangaratta</w:t>
        </w:r>
      </w:hyperlink>
      <w:r w:rsidRPr="000A1ABE">
        <w:rPr>
          <w:rFonts w:ascii="Calibri" w:hAnsi="Calibri" w:cs="Calibri"/>
          <w:color w:val="auto"/>
          <w:sz w:val="20"/>
          <w:lang w:val="en-US" w:eastAsia="en-AU"/>
        </w:rPr>
        <w:t xml:space="preserve">, </w:t>
      </w:r>
      <w:hyperlink r:id="rId37" w:history="1">
        <w:r w:rsidRPr="000A1ABE">
          <w:rPr>
            <w:rFonts w:ascii="Calibri" w:hAnsi="Calibri" w:cs="Calibri"/>
            <w:color w:val="0000FF"/>
            <w:sz w:val="20"/>
            <w:u w:val="single"/>
            <w:lang w:val="en-US" w:eastAsia="en-AU"/>
          </w:rPr>
          <w:t>Warrnambool</w:t>
        </w:r>
      </w:hyperlink>
      <w:r w:rsidRPr="000A1ABE">
        <w:rPr>
          <w:rFonts w:ascii="Calibri" w:hAnsi="Calibri" w:cs="Calibri"/>
          <w:color w:val="auto"/>
          <w:sz w:val="20"/>
          <w:lang w:val="en-US" w:eastAsia="en-AU"/>
        </w:rPr>
        <w:t xml:space="preserve"> and </w:t>
      </w:r>
      <w:hyperlink r:id="rId38" w:history="1">
        <w:r w:rsidRPr="000A1ABE">
          <w:rPr>
            <w:rFonts w:ascii="Calibri" w:hAnsi="Calibri" w:cs="Calibri"/>
            <w:color w:val="0000FF"/>
            <w:sz w:val="20"/>
            <w:u w:val="single"/>
            <w:lang w:val="en-US" w:eastAsia="en-AU"/>
          </w:rPr>
          <w:t>Wodonga</w:t>
        </w:r>
      </w:hyperlink>
      <w:r w:rsidRPr="000A1ABE">
        <w:rPr>
          <w:rFonts w:ascii="Calibri" w:hAnsi="Calibri" w:cs="Calibri"/>
          <w:color w:val="auto"/>
          <w:sz w:val="20"/>
          <w:lang w:val="en-US" w:eastAsia="en-AU"/>
        </w:rPr>
        <w:t>. The remaining 38 local government areas, including six alpine resort areas, are referred to as the rural local government areas.</w:t>
      </w:r>
    </w:p>
    <w:p w14:paraId="30895F0F"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Value for money – </w:t>
      </w:r>
      <w:r w:rsidRPr="000A1ABE">
        <w:rPr>
          <w:rFonts w:ascii="Calibri" w:hAnsi="Calibri" w:cs="Calibri"/>
          <w:color w:val="auto"/>
          <w:sz w:val="20"/>
          <w:lang w:eastAsia="en-AU"/>
        </w:rPr>
        <w:t>Value for money is a balanced judgement of a range of financial and non-financial factors. It considers the mix of quality, cost and resources; fitness for purpose; total cost of ownership and risk.</w:t>
      </w:r>
    </w:p>
    <w:p w14:paraId="21108FB4" w14:textId="77777777" w:rsidR="000A1ABE" w:rsidRPr="000A1ABE" w:rsidRDefault="000A1ABE" w:rsidP="000A1ABE">
      <w:pPr>
        <w:spacing w:before="0"/>
        <w:rPr>
          <w:rFonts w:ascii="Calibri" w:hAnsi="Calibri" w:cs="Calibri"/>
          <w:color w:val="auto"/>
          <w:sz w:val="20"/>
          <w:lang w:eastAsia="en-AU"/>
        </w:rPr>
      </w:pPr>
      <w:r w:rsidRPr="000A1ABE">
        <w:rPr>
          <w:rFonts w:ascii="Calibri" w:hAnsi="Calibri" w:cs="Calibri"/>
          <w:b/>
          <w:bCs/>
          <w:color w:val="auto"/>
          <w:sz w:val="20"/>
          <w:lang w:eastAsia="en-AU"/>
        </w:rPr>
        <w:t xml:space="preserve">Work Package – </w:t>
      </w:r>
      <w:r w:rsidRPr="000A1ABE">
        <w:rPr>
          <w:rFonts w:ascii="Calibri" w:hAnsi="Calibri" w:cs="Calibri"/>
          <w:color w:val="auto"/>
          <w:sz w:val="20"/>
          <w:lang w:eastAsia="en-AU"/>
        </w:rPr>
        <w:t>Work package is used to define and group different parts of a project in a way that helps organise and define the overall project.</w:t>
      </w:r>
    </w:p>
    <w:p w14:paraId="6AFF42B1" w14:textId="77777777" w:rsidR="007C4A38" w:rsidRPr="007C4A38" w:rsidRDefault="007C4A38" w:rsidP="007C4A38"/>
    <w:p w14:paraId="17807E52" w14:textId="77777777" w:rsidR="000B3DE1" w:rsidRDefault="000B3DE1" w:rsidP="009433A2">
      <w:pPr>
        <w:jc w:val="both"/>
      </w:pPr>
    </w:p>
    <w:p w14:paraId="1215FCAB" w14:textId="013BF8C8" w:rsidR="00557392" w:rsidRDefault="00557392" w:rsidP="00164687"/>
    <w:p w14:paraId="74C3CBEC" w14:textId="16731094" w:rsidR="007C793F" w:rsidRDefault="007C793F" w:rsidP="00164687"/>
    <w:p w14:paraId="574FB5BC" w14:textId="27FBE170" w:rsidR="007C793F" w:rsidRDefault="007C793F" w:rsidP="00164687"/>
    <w:p w14:paraId="05044DFF" w14:textId="1130EDFB" w:rsidR="007C793F" w:rsidRDefault="007C793F" w:rsidP="00164687"/>
    <w:p w14:paraId="38B44C41" w14:textId="77777777" w:rsidR="006000AC" w:rsidRDefault="006000AC" w:rsidP="00164687">
      <w:pPr>
        <w:sectPr w:rsidR="006000AC" w:rsidSect="004B3FC2">
          <w:headerReference w:type="default" r:id="rId39"/>
          <w:footerReference w:type="default" r:id="rId40"/>
          <w:pgSz w:w="11906" w:h="16838"/>
          <w:pgMar w:top="1440" w:right="1440" w:bottom="1440" w:left="1440" w:header="708" w:footer="137" w:gutter="0"/>
          <w:pgNumType w:start="1"/>
          <w:cols w:space="708"/>
          <w:titlePg/>
          <w:docGrid w:linePitch="360"/>
        </w:sectPr>
      </w:pPr>
    </w:p>
    <w:p w14:paraId="032BF44A" w14:textId="3C78489C" w:rsidR="006C6B66" w:rsidRDefault="006000AC" w:rsidP="006000AC">
      <w:pPr>
        <w:pStyle w:val="Heading2"/>
        <w:numPr>
          <w:ilvl w:val="0"/>
          <w:numId w:val="0"/>
        </w:numPr>
      </w:pPr>
      <w:bookmarkStart w:id="54" w:name="_Toc40369056"/>
      <w:r>
        <w:lastRenderedPageBreak/>
        <w:t>A</w:t>
      </w:r>
      <w:r w:rsidR="007C793F">
        <w:t xml:space="preserve">ppendix 2: Monitoring and </w:t>
      </w:r>
      <w:r w:rsidR="00FE12CC">
        <w:t>R</w:t>
      </w:r>
      <w:r w:rsidR="007C793F">
        <w:t>eporting Table</w:t>
      </w:r>
      <w:bookmarkEnd w:id="54"/>
      <w:r w:rsidR="00AB2CD7">
        <w:t xml:space="preserve"> </w:t>
      </w:r>
    </w:p>
    <w:p w14:paraId="6B096849" w14:textId="48475CD3" w:rsidR="007C793F" w:rsidRPr="006C6B66" w:rsidRDefault="007C793F" w:rsidP="006C6B66">
      <w:pPr>
        <w:pStyle w:val="bodycopy"/>
        <w:rPr>
          <w:i/>
        </w:rPr>
      </w:pPr>
      <w:r w:rsidRPr="006C6B66">
        <w:rPr>
          <w:i/>
        </w:rPr>
        <w:t xml:space="preserve"> </w:t>
      </w:r>
      <w:r w:rsidR="00AB2CD7" w:rsidRPr="006C6B66">
        <w:rPr>
          <w:i/>
        </w:rPr>
        <w:t>Note: Example only. This table will reflect a project-by-project basis.</w:t>
      </w:r>
    </w:p>
    <w:p w14:paraId="78DB8FEC" w14:textId="77777777" w:rsidR="006000AC" w:rsidRPr="004E28FD" w:rsidRDefault="006000AC" w:rsidP="006C6B66">
      <w:pPr>
        <w:spacing w:before="0" w:after="0"/>
        <w:rPr>
          <w:rFonts w:eastAsia="Arial Unicode MS" w:cstheme="minorHAnsi"/>
          <w:kern w:val="20"/>
          <w:sz w:val="16"/>
          <w:szCs w:val="18"/>
        </w:rPr>
      </w:pPr>
      <w:r w:rsidRPr="004E28FD">
        <w:rPr>
          <w:rFonts w:eastAsia="Arial Unicode MS" w:cstheme="minorHAnsi"/>
          <w:kern w:val="20"/>
          <w:sz w:val="16"/>
          <w:szCs w:val="18"/>
        </w:rPr>
        <w:t xml:space="preserve">Please send this completed table to the agency responsible for the project within 30 days of the project being completed.  </w:t>
      </w:r>
    </w:p>
    <w:p w14:paraId="1A2D51D7" w14:textId="77777777" w:rsidR="006000AC" w:rsidRPr="004E28FD" w:rsidRDefault="006000AC" w:rsidP="006C6B66">
      <w:pPr>
        <w:spacing w:before="0" w:after="0"/>
        <w:rPr>
          <w:rFonts w:eastAsia="Arial Unicode MS" w:cstheme="minorHAnsi"/>
          <w:kern w:val="20"/>
          <w:sz w:val="16"/>
          <w:szCs w:val="18"/>
        </w:rPr>
      </w:pPr>
      <w:r w:rsidRPr="004E28FD">
        <w:rPr>
          <w:rFonts w:eastAsia="Arial Unicode MS" w:cstheme="minorHAnsi"/>
          <w:kern w:val="20"/>
          <w:sz w:val="16"/>
          <w:szCs w:val="18"/>
        </w:rPr>
        <w:t xml:space="preserve">Complete this table, at the end of the contract, to show that the LIDP outcomes have been achieved throughout the project. Additional comments may need to begiven to explain any differences between the expected outcomes from the agreed LIDP and the outcomes reported in the monitoring table. </w:t>
      </w:r>
    </w:p>
    <w:p w14:paraId="57A95762" w14:textId="77777777" w:rsidR="006000AC" w:rsidRPr="004E28FD" w:rsidRDefault="006000AC" w:rsidP="006C6B66">
      <w:pPr>
        <w:spacing w:before="0" w:after="0"/>
        <w:rPr>
          <w:rFonts w:eastAsia="Arial Unicode MS" w:cstheme="minorHAnsi"/>
          <w:kern w:val="20"/>
          <w:sz w:val="16"/>
          <w:szCs w:val="18"/>
        </w:rPr>
      </w:pPr>
      <w:r w:rsidRPr="004E28FD">
        <w:rPr>
          <w:rFonts w:eastAsia="Arial Unicode MS" w:cstheme="minorHAnsi"/>
          <w:kern w:val="20"/>
          <w:sz w:val="16"/>
          <w:szCs w:val="18"/>
        </w:rPr>
        <w:t>To view, double click on the table below. Alternatively, right click on the table, select worksheet object and open. This will open an Excel spreadsheet with prepopulated formulas. Please note there are two tabs to complete.</w:t>
      </w:r>
    </w:p>
    <w:tbl>
      <w:tblPr>
        <w:tblStyle w:val="TableGrid1"/>
        <w:tblW w:w="14440" w:type="dxa"/>
        <w:tblLayout w:type="fixed"/>
        <w:tblLook w:val="04A0" w:firstRow="1" w:lastRow="0" w:firstColumn="1" w:lastColumn="0" w:noHBand="0" w:noVBand="1"/>
      </w:tblPr>
      <w:tblGrid>
        <w:gridCol w:w="1033"/>
        <w:gridCol w:w="896"/>
        <w:gridCol w:w="1049"/>
        <w:gridCol w:w="698"/>
        <w:gridCol w:w="615"/>
        <w:gridCol w:w="624"/>
        <w:gridCol w:w="724"/>
        <w:gridCol w:w="637"/>
        <w:gridCol w:w="555"/>
        <w:gridCol w:w="39"/>
        <w:gridCol w:w="1358"/>
        <w:gridCol w:w="1012"/>
        <w:gridCol w:w="1138"/>
        <w:gridCol w:w="1014"/>
        <w:gridCol w:w="1012"/>
        <w:gridCol w:w="1012"/>
        <w:gridCol w:w="1012"/>
        <w:gridCol w:w="12"/>
      </w:tblGrid>
      <w:tr w:rsidR="006000AC" w:rsidRPr="009E077A" w14:paraId="6372BC53" w14:textId="77777777" w:rsidTr="006000AC">
        <w:trPr>
          <w:trHeight w:val="220"/>
        </w:trPr>
        <w:tc>
          <w:tcPr>
            <w:tcW w:w="1034" w:type="dxa"/>
            <w:noWrap/>
            <w:hideMark/>
          </w:tcPr>
          <w:p w14:paraId="168A1FDF" w14:textId="77777777" w:rsidR="006000AC" w:rsidRPr="009E077A" w:rsidRDefault="006000AC" w:rsidP="006F16A0">
            <w:pPr>
              <w:rPr>
                <w:rFonts w:eastAsiaTheme="minorHAnsi"/>
                <w:sz w:val="16"/>
                <w:szCs w:val="16"/>
              </w:rPr>
            </w:pPr>
          </w:p>
        </w:tc>
        <w:tc>
          <w:tcPr>
            <w:tcW w:w="897" w:type="dxa"/>
            <w:noWrap/>
            <w:hideMark/>
          </w:tcPr>
          <w:p w14:paraId="4BF57C9C" w14:textId="77777777" w:rsidR="006000AC" w:rsidRPr="009E077A" w:rsidRDefault="006000AC" w:rsidP="006F16A0">
            <w:pPr>
              <w:rPr>
                <w:rFonts w:eastAsiaTheme="minorHAnsi"/>
                <w:sz w:val="16"/>
                <w:szCs w:val="16"/>
              </w:rPr>
            </w:pPr>
          </w:p>
        </w:tc>
        <w:tc>
          <w:tcPr>
            <w:tcW w:w="1049" w:type="dxa"/>
            <w:noWrap/>
            <w:hideMark/>
          </w:tcPr>
          <w:p w14:paraId="23BA5B45" w14:textId="77777777" w:rsidR="006000AC" w:rsidRPr="009E077A" w:rsidRDefault="006000AC" w:rsidP="006F16A0">
            <w:pPr>
              <w:rPr>
                <w:rFonts w:eastAsiaTheme="minorHAnsi"/>
                <w:sz w:val="16"/>
                <w:szCs w:val="16"/>
              </w:rPr>
            </w:pPr>
          </w:p>
        </w:tc>
        <w:tc>
          <w:tcPr>
            <w:tcW w:w="3853" w:type="dxa"/>
            <w:gridSpan w:val="6"/>
            <w:hideMark/>
          </w:tcPr>
          <w:p w14:paraId="3F4C1D70" w14:textId="77777777" w:rsidR="006000AC" w:rsidRPr="009E077A" w:rsidRDefault="006000AC" w:rsidP="006F16A0">
            <w:pPr>
              <w:rPr>
                <w:rFonts w:eastAsiaTheme="minorHAnsi"/>
                <w:sz w:val="16"/>
                <w:szCs w:val="16"/>
              </w:rPr>
            </w:pPr>
            <w:r w:rsidRPr="009E077A">
              <w:rPr>
                <w:rFonts w:eastAsiaTheme="minorHAnsi"/>
                <w:sz w:val="16"/>
                <w:szCs w:val="16"/>
              </w:rPr>
              <w:t>LIDP Commitments</w:t>
            </w:r>
          </w:p>
        </w:tc>
        <w:tc>
          <w:tcPr>
            <w:tcW w:w="7607" w:type="dxa"/>
            <w:gridSpan w:val="9"/>
          </w:tcPr>
          <w:p w14:paraId="66123471" w14:textId="77777777" w:rsidR="006000AC" w:rsidRPr="009E077A" w:rsidRDefault="006000AC" w:rsidP="006F16A0">
            <w:pPr>
              <w:rPr>
                <w:rFonts w:eastAsiaTheme="minorHAnsi"/>
                <w:sz w:val="16"/>
                <w:szCs w:val="16"/>
              </w:rPr>
            </w:pPr>
            <w:r w:rsidRPr="009E077A">
              <w:rPr>
                <w:rFonts w:eastAsiaTheme="minorHAnsi"/>
                <w:sz w:val="16"/>
                <w:szCs w:val="16"/>
              </w:rPr>
              <w:t xml:space="preserve">Secured </w:t>
            </w:r>
            <w:r>
              <w:rPr>
                <w:rFonts w:eastAsiaTheme="minorHAnsi"/>
                <w:sz w:val="16"/>
                <w:szCs w:val="16"/>
              </w:rPr>
              <w:t>Local Jobs First</w:t>
            </w:r>
            <w:r w:rsidRPr="009E077A">
              <w:rPr>
                <w:rFonts w:eastAsiaTheme="minorHAnsi"/>
                <w:sz w:val="16"/>
                <w:szCs w:val="16"/>
              </w:rPr>
              <w:t xml:space="preserve"> Outcomes</w:t>
            </w:r>
          </w:p>
        </w:tc>
      </w:tr>
      <w:tr w:rsidR="006000AC" w:rsidRPr="009E077A" w14:paraId="3259DB46" w14:textId="77777777" w:rsidTr="006000AC">
        <w:trPr>
          <w:gridAfter w:val="1"/>
          <w:wAfter w:w="10" w:type="dxa"/>
          <w:trHeight w:val="392"/>
        </w:trPr>
        <w:tc>
          <w:tcPr>
            <w:tcW w:w="1034" w:type="dxa"/>
            <w:vMerge w:val="restart"/>
            <w:hideMark/>
          </w:tcPr>
          <w:p w14:paraId="43AF9DDC" w14:textId="77777777" w:rsidR="006000AC" w:rsidRPr="009E077A" w:rsidRDefault="006000AC" w:rsidP="006F16A0">
            <w:pPr>
              <w:rPr>
                <w:rFonts w:eastAsiaTheme="minorHAnsi"/>
                <w:sz w:val="16"/>
                <w:szCs w:val="16"/>
              </w:rPr>
            </w:pPr>
            <w:r w:rsidRPr="009E077A">
              <w:rPr>
                <w:rFonts w:eastAsiaTheme="minorHAnsi"/>
                <w:sz w:val="16"/>
                <w:szCs w:val="16"/>
              </w:rPr>
              <w:t>Workpackage</w:t>
            </w:r>
          </w:p>
        </w:tc>
        <w:tc>
          <w:tcPr>
            <w:tcW w:w="897" w:type="dxa"/>
            <w:vMerge w:val="restart"/>
            <w:hideMark/>
          </w:tcPr>
          <w:p w14:paraId="4347D55E" w14:textId="77777777" w:rsidR="006000AC" w:rsidRPr="009E077A" w:rsidRDefault="006000AC" w:rsidP="006F16A0">
            <w:pPr>
              <w:rPr>
                <w:rFonts w:eastAsiaTheme="minorHAnsi"/>
                <w:sz w:val="16"/>
                <w:szCs w:val="16"/>
              </w:rPr>
            </w:pPr>
            <w:r w:rsidRPr="009E077A">
              <w:rPr>
                <w:rFonts w:eastAsiaTheme="minorHAnsi"/>
                <w:sz w:val="16"/>
                <w:szCs w:val="16"/>
              </w:rPr>
              <w:t>Item Description</w:t>
            </w:r>
          </w:p>
        </w:tc>
        <w:tc>
          <w:tcPr>
            <w:tcW w:w="1049" w:type="dxa"/>
            <w:vMerge w:val="restart"/>
            <w:hideMark/>
          </w:tcPr>
          <w:p w14:paraId="35D145D3" w14:textId="77777777" w:rsidR="006000AC" w:rsidRPr="009E077A" w:rsidRDefault="006000AC" w:rsidP="006F16A0">
            <w:pPr>
              <w:rPr>
                <w:rFonts w:eastAsiaTheme="minorHAnsi"/>
                <w:sz w:val="16"/>
                <w:szCs w:val="16"/>
              </w:rPr>
            </w:pPr>
            <w:r w:rsidRPr="009E077A">
              <w:rPr>
                <w:rFonts w:eastAsiaTheme="minorHAnsi"/>
                <w:sz w:val="16"/>
                <w:szCs w:val="16"/>
              </w:rPr>
              <w:t>Manufacturer</w:t>
            </w:r>
          </w:p>
        </w:tc>
        <w:tc>
          <w:tcPr>
            <w:tcW w:w="698" w:type="dxa"/>
            <w:vMerge w:val="restart"/>
            <w:hideMark/>
          </w:tcPr>
          <w:p w14:paraId="38707EDA" w14:textId="77777777" w:rsidR="006000AC" w:rsidRPr="009E077A" w:rsidRDefault="006000AC" w:rsidP="006F16A0">
            <w:pPr>
              <w:rPr>
                <w:rFonts w:eastAsiaTheme="minorHAnsi"/>
                <w:sz w:val="16"/>
                <w:szCs w:val="16"/>
              </w:rPr>
            </w:pPr>
            <w:r w:rsidRPr="009E077A">
              <w:rPr>
                <w:rFonts w:eastAsiaTheme="minorHAnsi"/>
                <w:sz w:val="16"/>
                <w:szCs w:val="16"/>
              </w:rPr>
              <w:t>Supplier</w:t>
            </w:r>
          </w:p>
        </w:tc>
        <w:tc>
          <w:tcPr>
            <w:tcW w:w="1239" w:type="dxa"/>
            <w:gridSpan w:val="2"/>
            <w:hideMark/>
          </w:tcPr>
          <w:p w14:paraId="4EBF4ACF" w14:textId="77777777" w:rsidR="006000AC" w:rsidRPr="009E077A" w:rsidRDefault="006000AC" w:rsidP="006F16A0">
            <w:pPr>
              <w:rPr>
                <w:rFonts w:eastAsiaTheme="minorHAnsi"/>
                <w:sz w:val="16"/>
                <w:szCs w:val="16"/>
              </w:rPr>
            </w:pPr>
            <w:r w:rsidRPr="009E077A">
              <w:rPr>
                <w:rFonts w:eastAsiaTheme="minorHAnsi"/>
                <w:sz w:val="16"/>
                <w:szCs w:val="16"/>
              </w:rPr>
              <w:t>ANZ value-add activity (%)</w:t>
            </w:r>
          </w:p>
        </w:tc>
        <w:tc>
          <w:tcPr>
            <w:tcW w:w="724" w:type="dxa"/>
            <w:vMerge w:val="restart"/>
            <w:hideMark/>
          </w:tcPr>
          <w:p w14:paraId="1BA5CA55" w14:textId="77777777" w:rsidR="006000AC" w:rsidRPr="009E077A" w:rsidRDefault="006000AC" w:rsidP="006F16A0">
            <w:pPr>
              <w:rPr>
                <w:rFonts w:eastAsiaTheme="minorHAnsi"/>
                <w:sz w:val="16"/>
                <w:szCs w:val="16"/>
              </w:rPr>
            </w:pPr>
            <w:r w:rsidRPr="009E077A">
              <w:rPr>
                <w:rFonts w:eastAsiaTheme="minorHAnsi"/>
                <w:sz w:val="16"/>
                <w:szCs w:val="16"/>
              </w:rPr>
              <w:t xml:space="preserve">Contract content (%) </w:t>
            </w:r>
            <w:r w:rsidRPr="009E077A">
              <w:rPr>
                <w:rFonts w:eastAsiaTheme="minorHAnsi"/>
                <w:sz w:val="16"/>
                <w:szCs w:val="16"/>
                <w:vertAlign w:val="superscript"/>
              </w:rPr>
              <w:t>(B)</w:t>
            </w:r>
          </w:p>
        </w:tc>
        <w:tc>
          <w:tcPr>
            <w:tcW w:w="637" w:type="dxa"/>
            <w:vMerge w:val="restart"/>
            <w:hideMark/>
          </w:tcPr>
          <w:p w14:paraId="424FDE45" w14:textId="77777777" w:rsidR="006000AC" w:rsidRPr="009E077A" w:rsidRDefault="006000AC" w:rsidP="006F16A0">
            <w:pPr>
              <w:rPr>
                <w:rFonts w:eastAsiaTheme="minorHAnsi"/>
                <w:sz w:val="16"/>
                <w:szCs w:val="16"/>
              </w:rPr>
            </w:pPr>
            <w:r w:rsidRPr="009E077A">
              <w:rPr>
                <w:rFonts w:eastAsiaTheme="minorHAnsi"/>
                <w:sz w:val="16"/>
                <w:szCs w:val="16"/>
              </w:rPr>
              <w:t xml:space="preserve">ANZ value-added activity (%) </w:t>
            </w:r>
            <w:r w:rsidRPr="009E077A">
              <w:rPr>
                <w:rFonts w:eastAsiaTheme="minorHAnsi"/>
                <w:sz w:val="16"/>
                <w:szCs w:val="16"/>
                <w:vertAlign w:val="superscript"/>
              </w:rPr>
              <w:t>(C = A*B)</w:t>
            </w:r>
          </w:p>
        </w:tc>
        <w:tc>
          <w:tcPr>
            <w:tcW w:w="594" w:type="dxa"/>
            <w:gridSpan w:val="2"/>
            <w:vMerge w:val="restart"/>
            <w:hideMark/>
          </w:tcPr>
          <w:p w14:paraId="0D0ECA2C" w14:textId="77777777" w:rsidR="006000AC" w:rsidRPr="009E077A" w:rsidRDefault="006000AC" w:rsidP="006F16A0">
            <w:pPr>
              <w:rPr>
                <w:rFonts w:eastAsiaTheme="minorHAnsi"/>
                <w:sz w:val="16"/>
                <w:szCs w:val="16"/>
              </w:rPr>
            </w:pPr>
            <w:r w:rsidRPr="009E077A">
              <w:rPr>
                <w:rFonts w:eastAsiaTheme="minorHAnsi"/>
                <w:sz w:val="16"/>
                <w:szCs w:val="16"/>
              </w:rPr>
              <w:t xml:space="preserve">Total number of Suppliers in project  supply chain </w:t>
            </w:r>
            <w:r w:rsidRPr="009E077A">
              <w:rPr>
                <w:rFonts w:eastAsiaTheme="minorHAnsi"/>
                <w:sz w:val="16"/>
                <w:szCs w:val="16"/>
                <w:vertAlign w:val="superscript"/>
              </w:rPr>
              <w:t>(</w:t>
            </w:r>
          </w:p>
        </w:tc>
        <w:tc>
          <w:tcPr>
            <w:tcW w:w="1358" w:type="dxa"/>
            <w:vMerge w:val="restart"/>
          </w:tcPr>
          <w:p w14:paraId="0B6EA9F1" w14:textId="77777777" w:rsidR="006000AC" w:rsidRPr="009E077A" w:rsidRDefault="006000AC" w:rsidP="006F16A0">
            <w:pPr>
              <w:rPr>
                <w:rFonts w:eastAsiaTheme="minorHAnsi"/>
                <w:sz w:val="16"/>
                <w:szCs w:val="16"/>
              </w:rPr>
            </w:pPr>
            <w:r w:rsidRPr="009E077A">
              <w:rPr>
                <w:rFonts w:eastAsiaTheme="minorHAnsi"/>
                <w:sz w:val="16"/>
                <w:szCs w:val="16"/>
              </w:rPr>
              <w:t>Manufacturer</w:t>
            </w:r>
          </w:p>
        </w:tc>
        <w:tc>
          <w:tcPr>
            <w:tcW w:w="1012" w:type="dxa"/>
            <w:vMerge w:val="restart"/>
          </w:tcPr>
          <w:p w14:paraId="2F7A3F9E" w14:textId="77777777" w:rsidR="006000AC" w:rsidRPr="009E077A" w:rsidRDefault="006000AC" w:rsidP="006F16A0">
            <w:pPr>
              <w:rPr>
                <w:rFonts w:eastAsiaTheme="minorHAnsi"/>
                <w:sz w:val="16"/>
                <w:szCs w:val="16"/>
              </w:rPr>
            </w:pPr>
            <w:r w:rsidRPr="009E077A">
              <w:rPr>
                <w:rFonts w:eastAsiaTheme="minorHAnsi"/>
                <w:sz w:val="16"/>
                <w:szCs w:val="16"/>
              </w:rPr>
              <w:t>Supplier</w:t>
            </w:r>
          </w:p>
        </w:tc>
        <w:tc>
          <w:tcPr>
            <w:tcW w:w="2152" w:type="dxa"/>
            <w:gridSpan w:val="2"/>
            <w:hideMark/>
          </w:tcPr>
          <w:p w14:paraId="7FE76BA8" w14:textId="77777777" w:rsidR="006000AC" w:rsidRPr="009E077A" w:rsidRDefault="006000AC" w:rsidP="006F16A0">
            <w:pPr>
              <w:rPr>
                <w:rFonts w:eastAsiaTheme="minorHAnsi"/>
                <w:sz w:val="16"/>
                <w:szCs w:val="16"/>
              </w:rPr>
            </w:pPr>
            <w:r w:rsidRPr="009E077A">
              <w:rPr>
                <w:rFonts w:eastAsiaTheme="minorHAnsi"/>
                <w:sz w:val="16"/>
                <w:szCs w:val="16"/>
              </w:rPr>
              <w:t>ANZ value-add activity (%)</w:t>
            </w:r>
          </w:p>
        </w:tc>
        <w:tc>
          <w:tcPr>
            <w:tcW w:w="1012" w:type="dxa"/>
            <w:vMerge w:val="restart"/>
            <w:hideMark/>
          </w:tcPr>
          <w:p w14:paraId="6C1A155F" w14:textId="77777777" w:rsidR="006000AC" w:rsidRPr="009E077A" w:rsidRDefault="006000AC" w:rsidP="006F16A0">
            <w:pPr>
              <w:rPr>
                <w:rFonts w:eastAsiaTheme="minorHAnsi"/>
                <w:sz w:val="16"/>
                <w:szCs w:val="16"/>
              </w:rPr>
            </w:pPr>
            <w:r w:rsidRPr="009E077A">
              <w:rPr>
                <w:rFonts w:eastAsiaTheme="minorHAnsi"/>
                <w:sz w:val="16"/>
                <w:szCs w:val="16"/>
              </w:rPr>
              <w:t xml:space="preserve">Contract Content (%) </w:t>
            </w:r>
            <w:r w:rsidRPr="009E077A">
              <w:rPr>
                <w:rFonts w:eastAsiaTheme="minorHAnsi"/>
                <w:sz w:val="16"/>
                <w:szCs w:val="16"/>
                <w:vertAlign w:val="superscript"/>
              </w:rPr>
              <w:t>(B)</w:t>
            </w:r>
          </w:p>
        </w:tc>
        <w:tc>
          <w:tcPr>
            <w:tcW w:w="1012" w:type="dxa"/>
            <w:vMerge w:val="restart"/>
            <w:hideMark/>
          </w:tcPr>
          <w:p w14:paraId="3FB2DBC4" w14:textId="77777777" w:rsidR="006000AC" w:rsidRPr="009E077A" w:rsidRDefault="006000AC" w:rsidP="006F16A0">
            <w:pPr>
              <w:rPr>
                <w:rFonts w:eastAsiaTheme="minorHAnsi"/>
                <w:sz w:val="16"/>
                <w:szCs w:val="16"/>
              </w:rPr>
            </w:pPr>
            <w:r w:rsidRPr="009E077A">
              <w:rPr>
                <w:rFonts w:eastAsiaTheme="minorHAnsi"/>
                <w:sz w:val="16"/>
                <w:szCs w:val="16"/>
              </w:rPr>
              <w:t xml:space="preserve">ANZ value-added activity (%) </w:t>
            </w:r>
            <w:r w:rsidRPr="009E077A">
              <w:rPr>
                <w:rFonts w:eastAsiaTheme="minorHAnsi"/>
                <w:sz w:val="16"/>
                <w:szCs w:val="16"/>
                <w:vertAlign w:val="superscript"/>
              </w:rPr>
              <w:t>(C = A*B)</w:t>
            </w:r>
          </w:p>
        </w:tc>
        <w:tc>
          <w:tcPr>
            <w:tcW w:w="1012" w:type="dxa"/>
            <w:vMerge w:val="restart"/>
            <w:hideMark/>
          </w:tcPr>
          <w:p w14:paraId="4BA5CA97" w14:textId="77777777" w:rsidR="006000AC" w:rsidRPr="009E077A" w:rsidRDefault="006000AC" w:rsidP="006F16A0">
            <w:pPr>
              <w:rPr>
                <w:rFonts w:eastAsiaTheme="minorHAnsi"/>
                <w:sz w:val="16"/>
                <w:szCs w:val="16"/>
              </w:rPr>
            </w:pPr>
            <w:r w:rsidRPr="009E077A">
              <w:rPr>
                <w:rFonts w:eastAsiaTheme="minorHAnsi"/>
                <w:sz w:val="16"/>
                <w:szCs w:val="16"/>
              </w:rPr>
              <w:t xml:space="preserve">Total number of Suppliers in project  supply chain </w:t>
            </w:r>
            <w:r w:rsidRPr="009E077A">
              <w:rPr>
                <w:rFonts w:eastAsiaTheme="minorHAnsi"/>
                <w:sz w:val="16"/>
                <w:szCs w:val="16"/>
                <w:vertAlign w:val="superscript"/>
              </w:rPr>
              <w:t>(E)</w:t>
            </w:r>
          </w:p>
        </w:tc>
      </w:tr>
      <w:tr w:rsidR="006000AC" w:rsidRPr="009E077A" w14:paraId="33C02DDB" w14:textId="77777777" w:rsidTr="006000AC">
        <w:trPr>
          <w:gridAfter w:val="1"/>
          <w:wAfter w:w="12" w:type="dxa"/>
          <w:trHeight w:val="493"/>
        </w:trPr>
        <w:tc>
          <w:tcPr>
            <w:tcW w:w="1034" w:type="dxa"/>
            <w:vMerge/>
            <w:hideMark/>
          </w:tcPr>
          <w:p w14:paraId="3C3DCCCB" w14:textId="77777777" w:rsidR="006000AC" w:rsidRPr="009E077A" w:rsidRDefault="006000AC" w:rsidP="006F16A0">
            <w:pPr>
              <w:rPr>
                <w:rFonts w:eastAsiaTheme="minorHAnsi"/>
                <w:sz w:val="16"/>
                <w:szCs w:val="16"/>
              </w:rPr>
            </w:pPr>
          </w:p>
        </w:tc>
        <w:tc>
          <w:tcPr>
            <w:tcW w:w="897" w:type="dxa"/>
            <w:vMerge/>
            <w:hideMark/>
          </w:tcPr>
          <w:p w14:paraId="29E662B6" w14:textId="77777777" w:rsidR="006000AC" w:rsidRPr="009E077A" w:rsidRDefault="006000AC" w:rsidP="006F16A0">
            <w:pPr>
              <w:rPr>
                <w:rFonts w:eastAsiaTheme="minorHAnsi"/>
                <w:sz w:val="16"/>
                <w:szCs w:val="16"/>
              </w:rPr>
            </w:pPr>
          </w:p>
        </w:tc>
        <w:tc>
          <w:tcPr>
            <w:tcW w:w="1049" w:type="dxa"/>
            <w:vMerge/>
            <w:hideMark/>
          </w:tcPr>
          <w:p w14:paraId="0665A73A" w14:textId="77777777" w:rsidR="006000AC" w:rsidRPr="009E077A" w:rsidRDefault="006000AC" w:rsidP="006F16A0">
            <w:pPr>
              <w:rPr>
                <w:rFonts w:eastAsiaTheme="minorHAnsi"/>
                <w:sz w:val="16"/>
                <w:szCs w:val="16"/>
              </w:rPr>
            </w:pPr>
          </w:p>
        </w:tc>
        <w:tc>
          <w:tcPr>
            <w:tcW w:w="698" w:type="dxa"/>
            <w:vMerge/>
            <w:hideMark/>
          </w:tcPr>
          <w:p w14:paraId="04CD1E03" w14:textId="77777777" w:rsidR="006000AC" w:rsidRPr="009E077A" w:rsidRDefault="006000AC" w:rsidP="006F16A0">
            <w:pPr>
              <w:rPr>
                <w:rFonts w:eastAsiaTheme="minorHAnsi"/>
                <w:sz w:val="16"/>
                <w:szCs w:val="16"/>
              </w:rPr>
            </w:pPr>
          </w:p>
        </w:tc>
        <w:tc>
          <w:tcPr>
            <w:tcW w:w="615" w:type="dxa"/>
            <w:hideMark/>
          </w:tcPr>
          <w:p w14:paraId="4C050692" w14:textId="77777777" w:rsidR="006000AC" w:rsidRPr="009E077A" w:rsidRDefault="006000AC" w:rsidP="006F16A0">
            <w:pPr>
              <w:rPr>
                <w:rFonts w:eastAsiaTheme="minorHAnsi"/>
                <w:sz w:val="16"/>
                <w:szCs w:val="16"/>
              </w:rPr>
            </w:pPr>
            <w:r w:rsidRPr="009E077A">
              <w:rPr>
                <w:rFonts w:eastAsiaTheme="minorHAnsi"/>
                <w:sz w:val="16"/>
                <w:szCs w:val="16"/>
              </w:rPr>
              <w:t>Import</w:t>
            </w:r>
          </w:p>
        </w:tc>
        <w:tc>
          <w:tcPr>
            <w:tcW w:w="623" w:type="dxa"/>
            <w:hideMark/>
          </w:tcPr>
          <w:p w14:paraId="77D9F2B1" w14:textId="77777777" w:rsidR="006000AC" w:rsidRPr="009E077A" w:rsidRDefault="006000AC" w:rsidP="006F16A0">
            <w:pPr>
              <w:rPr>
                <w:rFonts w:eastAsiaTheme="minorHAnsi"/>
                <w:sz w:val="16"/>
                <w:szCs w:val="16"/>
              </w:rPr>
            </w:pPr>
            <w:r w:rsidRPr="009E077A">
              <w:rPr>
                <w:rFonts w:eastAsiaTheme="minorHAnsi"/>
                <w:sz w:val="16"/>
                <w:szCs w:val="16"/>
              </w:rPr>
              <w:t>Local</w:t>
            </w:r>
            <w:r w:rsidRPr="009E077A">
              <w:rPr>
                <w:rFonts w:eastAsiaTheme="minorHAnsi"/>
                <w:sz w:val="16"/>
                <w:szCs w:val="16"/>
                <w:vertAlign w:val="superscript"/>
              </w:rPr>
              <w:t>(A)</w:t>
            </w:r>
          </w:p>
        </w:tc>
        <w:tc>
          <w:tcPr>
            <w:tcW w:w="724" w:type="dxa"/>
            <w:vMerge/>
            <w:hideMark/>
          </w:tcPr>
          <w:p w14:paraId="7F406077" w14:textId="77777777" w:rsidR="006000AC" w:rsidRPr="009E077A" w:rsidRDefault="006000AC" w:rsidP="006F16A0">
            <w:pPr>
              <w:rPr>
                <w:rFonts w:eastAsiaTheme="minorHAnsi"/>
                <w:sz w:val="16"/>
                <w:szCs w:val="16"/>
              </w:rPr>
            </w:pPr>
          </w:p>
        </w:tc>
        <w:tc>
          <w:tcPr>
            <w:tcW w:w="637" w:type="dxa"/>
            <w:vMerge/>
            <w:hideMark/>
          </w:tcPr>
          <w:p w14:paraId="63C1B249" w14:textId="77777777" w:rsidR="006000AC" w:rsidRPr="009E077A" w:rsidRDefault="006000AC" w:rsidP="006F16A0">
            <w:pPr>
              <w:rPr>
                <w:rFonts w:eastAsiaTheme="minorHAnsi"/>
                <w:sz w:val="16"/>
                <w:szCs w:val="16"/>
              </w:rPr>
            </w:pPr>
          </w:p>
        </w:tc>
        <w:tc>
          <w:tcPr>
            <w:tcW w:w="594" w:type="dxa"/>
            <w:gridSpan w:val="2"/>
            <w:vMerge/>
            <w:hideMark/>
          </w:tcPr>
          <w:p w14:paraId="18E17A81" w14:textId="77777777" w:rsidR="006000AC" w:rsidRPr="009E077A" w:rsidRDefault="006000AC" w:rsidP="006F16A0">
            <w:pPr>
              <w:rPr>
                <w:rFonts w:eastAsiaTheme="minorHAnsi"/>
                <w:sz w:val="16"/>
                <w:szCs w:val="16"/>
              </w:rPr>
            </w:pPr>
          </w:p>
        </w:tc>
        <w:tc>
          <w:tcPr>
            <w:tcW w:w="1358" w:type="dxa"/>
            <w:vMerge/>
          </w:tcPr>
          <w:p w14:paraId="1D25747E" w14:textId="77777777" w:rsidR="006000AC" w:rsidRPr="009E077A" w:rsidRDefault="006000AC" w:rsidP="006F16A0">
            <w:pPr>
              <w:rPr>
                <w:rFonts w:eastAsiaTheme="minorHAnsi"/>
                <w:sz w:val="16"/>
                <w:szCs w:val="16"/>
              </w:rPr>
            </w:pPr>
          </w:p>
        </w:tc>
        <w:tc>
          <w:tcPr>
            <w:tcW w:w="1012" w:type="dxa"/>
            <w:vMerge/>
          </w:tcPr>
          <w:p w14:paraId="40F2C025" w14:textId="77777777" w:rsidR="006000AC" w:rsidRPr="009E077A" w:rsidRDefault="006000AC" w:rsidP="006F16A0">
            <w:pPr>
              <w:rPr>
                <w:rFonts w:eastAsiaTheme="minorHAnsi"/>
                <w:sz w:val="16"/>
                <w:szCs w:val="16"/>
              </w:rPr>
            </w:pPr>
          </w:p>
        </w:tc>
        <w:tc>
          <w:tcPr>
            <w:tcW w:w="1138" w:type="dxa"/>
            <w:hideMark/>
          </w:tcPr>
          <w:p w14:paraId="3BC21206" w14:textId="77777777" w:rsidR="006000AC" w:rsidRPr="009E077A" w:rsidRDefault="006000AC" w:rsidP="006F16A0">
            <w:pPr>
              <w:rPr>
                <w:rFonts w:eastAsiaTheme="minorHAnsi"/>
                <w:sz w:val="16"/>
                <w:szCs w:val="16"/>
              </w:rPr>
            </w:pPr>
            <w:r w:rsidRPr="009E077A">
              <w:rPr>
                <w:rFonts w:eastAsiaTheme="minorHAnsi"/>
                <w:sz w:val="16"/>
                <w:szCs w:val="16"/>
              </w:rPr>
              <w:t>Import</w:t>
            </w:r>
          </w:p>
        </w:tc>
        <w:tc>
          <w:tcPr>
            <w:tcW w:w="1013" w:type="dxa"/>
            <w:hideMark/>
          </w:tcPr>
          <w:p w14:paraId="1F3A4E11" w14:textId="77777777" w:rsidR="006000AC" w:rsidRPr="009E077A" w:rsidRDefault="006000AC" w:rsidP="006F16A0">
            <w:pPr>
              <w:rPr>
                <w:rFonts w:eastAsiaTheme="minorHAnsi"/>
                <w:sz w:val="16"/>
                <w:szCs w:val="16"/>
              </w:rPr>
            </w:pPr>
            <w:r w:rsidRPr="009E077A">
              <w:rPr>
                <w:rFonts w:eastAsiaTheme="minorHAnsi"/>
                <w:sz w:val="16"/>
                <w:szCs w:val="16"/>
              </w:rPr>
              <w:t xml:space="preserve">Local </w:t>
            </w:r>
            <w:r w:rsidRPr="009E077A">
              <w:rPr>
                <w:rFonts w:eastAsiaTheme="minorHAnsi"/>
                <w:sz w:val="16"/>
                <w:szCs w:val="16"/>
                <w:vertAlign w:val="superscript"/>
              </w:rPr>
              <w:t>(A)</w:t>
            </w:r>
          </w:p>
        </w:tc>
        <w:tc>
          <w:tcPr>
            <w:tcW w:w="1012" w:type="dxa"/>
            <w:vMerge/>
            <w:hideMark/>
          </w:tcPr>
          <w:p w14:paraId="1AD1AC82" w14:textId="77777777" w:rsidR="006000AC" w:rsidRPr="009E077A" w:rsidRDefault="006000AC" w:rsidP="006F16A0">
            <w:pPr>
              <w:rPr>
                <w:rFonts w:eastAsiaTheme="minorHAnsi"/>
                <w:sz w:val="16"/>
                <w:szCs w:val="16"/>
              </w:rPr>
            </w:pPr>
          </w:p>
        </w:tc>
        <w:tc>
          <w:tcPr>
            <w:tcW w:w="1012" w:type="dxa"/>
            <w:vMerge/>
            <w:hideMark/>
          </w:tcPr>
          <w:p w14:paraId="78D3B1E4" w14:textId="77777777" w:rsidR="006000AC" w:rsidRPr="009E077A" w:rsidRDefault="006000AC" w:rsidP="006F16A0">
            <w:pPr>
              <w:rPr>
                <w:rFonts w:eastAsiaTheme="minorHAnsi"/>
                <w:sz w:val="16"/>
                <w:szCs w:val="16"/>
              </w:rPr>
            </w:pPr>
          </w:p>
        </w:tc>
        <w:tc>
          <w:tcPr>
            <w:tcW w:w="1012" w:type="dxa"/>
            <w:vMerge/>
            <w:hideMark/>
          </w:tcPr>
          <w:p w14:paraId="6C5C80A5" w14:textId="77777777" w:rsidR="006000AC" w:rsidRPr="009E077A" w:rsidRDefault="006000AC" w:rsidP="006F16A0">
            <w:pPr>
              <w:rPr>
                <w:rFonts w:eastAsiaTheme="minorHAnsi"/>
                <w:sz w:val="16"/>
                <w:szCs w:val="16"/>
              </w:rPr>
            </w:pPr>
          </w:p>
        </w:tc>
      </w:tr>
      <w:tr w:rsidR="006000AC" w:rsidRPr="009E077A" w14:paraId="15F60503" w14:textId="77777777" w:rsidTr="006000AC">
        <w:trPr>
          <w:gridAfter w:val="1"/>
          <w:wAfter w:w="12" w:type="dxa"/>
          <w:trHeight w:val="211"/>
        </w:trPr>
        <w:tc>
          <w:tcPr>
            <w:tcW w:w="1034" w:type="dxa"/>
            <w:hideMark/>
          </w:tcPr>
          <w:p w14:paraId="6EAC0465"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897" w:type="dxa"/>
            <w:hideMark/>
          </w:tcPr>
          <w:p w14:paraId="58318EBA"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49" w:type="dxa"/>
            <w:hideMark/>
          </w:tcPr>
          <w:p w14:paraId="003D4F1D"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98" w:type="dxa"/>
            <w:hideMark/>
          </w:tcPr>
          <w:p w14:paraId="4B10C155"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15" w:type="dxa"/>
            <w:hideMark/>
          </w:tcPr>
          <w:p w14:paraId="5CD5C3C1"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23" w:type="dxa"/>
            <w:hideMark/>
          </w:tcPr>
          <w:p w14:paraId="0FC39E3B"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724" w:type="dxa"/>
            <w:hideMark/>
          </w:tcPr>
          <w:p w14:paraId="5E99EC1D"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37" w:type="dxa"/>
            <w:noWrap/>
            <w:hideMark/>
          </w:tcPr>
          <w:p w14:paraId="5203F498"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594" w:type="dxa"/>
            <w:gridSpan w:val="2"/>
            <w:noWrap/>
            <w:hideMark/>
          </w:tcPr>
          <w:p w14:paraId="7CCB3FCF"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1358" w:type="dxa"/>
          </w:tcPr>
          <w:p w14:paraId="1C5BEB2D" w14:textId="77777777" w:rsidR="006000AC" w:rsidRPr="009E077A" w:rsidRDefault="006000AC" w:rsidP="006F16A0">
            <w:pPr>
              <w:rPr>
                <w:rFonts w:eastAsiaTheme="minorHAnsi"/>
                <w:b/>
                <w:bCs/>
                <w:sz w:val="16"/>
                <w:szCs w:val="16"/>
              </w:rPr>
            </w:pPr>
          </w:p>
        </w:tc>
        <w:tc>
          <w:tcPr>
            <w:tcW w:w="1012" w:type="dxa"/>
          </w:tcPr>
          <w:p w14:paraId="0D59E44F" w14:textId="77777777" w:rsidR="006000AC" w:rsidRPr="009E077A" w:rsidRDefault="006000AC" w:rsidP="006F16A0">
            <w:pPr>
              <w:rPr>
                <w:rFonts w:eastAsiaTheme="minorHAnsi"/>
                <w:b/>
                <w:bCs/>
                <w:sz w:val="16"/>
                <w:szCs w:val="16"/>
              </w:rPr>
            </w:pPr>
          </w:p>
        </w:tc>
        <w:tc>
          <w:tcPr>
            <w:tcW w:w="1138" w:type="dxa"/>
            <w:hideMark/>
          </w:tcPr>
          <w:p w14:paraId="4C985EB3"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13" w:type="dxa"/>
            <w:hideMark/>
          </w:tcPr>
          <w:p w14:paraId="0C75D51E"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12" w:type="dxa"/>
            <w:hideMark/>
          </w:tcPr>
          <w:p w14:paraId="1F7D9C71"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12" w:type="dxa"/>
            <w:noWrap/>
            <w:hideMark/>
          </w:tcPr>
          <w:p w14:paraId="30E76BE6"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1012" w:type="dxa"/>
            <w:hideMark/>
          </w:tcPr>
          <w:p w14:paraId="39233005"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r>
      <w:tr w:rsidR="006000AC" w:rsidRPr="009E077A" w14:paraId="265A4BE6" w14:textId="77777777" w:rsidTr="006000AC">
        <w:trPr>
          <w:gridAfter w:val="1"/>
          <w:wAfter w:w="12" w:type="dxa"/>
          <w:trHeight w:val="211"/>
        </w:trPr>
        <w:tc>
          <w:tcPr>
            <w:tcW w:w="1034" w:type="dxa"/>
            <w:hideMark/>
          </w:tcPr>
          <w:p w14:paraId="1A2B0BB9"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897" w:type="dxa"/>
            <w:hideMark/>
          </w:tcPr>
          <w:p w14:paraId="006D8490"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49" w:type="dxa"/>
            <w:hideMark/>
          </w:tcPr>
          <w:p w14:paraId="04833F50"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98" w:type="dxa"/>
            <w:hideMark/>
          </w:tcPr>
          <w:p w14:paraId="3A209FFA"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15" w:type="dxa"/>
            <w:hideMark/>
          </w:tcPr>
          <w:p w14:paraId="10A61CD6"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23" w:type="dxa"/>
            <w:hideMark/>
          </w:tcPr>
          <w:p w14:paraId="4FACFE41"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724" w:type="dxa"/>
            <w:hideMark/>
          </w:tcPr>
          <w:p w14:paraId="3AA2EC83"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37" w:type="dxa"/>
            <w:noWrap/>
            <w:hideMark/>
          </w:tcPr>
          <w:p w14:paraId="175842D2"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594" w:type="dxa"/>
            <w:gridSpan w:val="2"/>
            <w:noWrap/>
            <w:hideMark/>
          </w:tcPr>
          <w:p w14:paraId="300834FA"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1358" w:type="dxa"/>
          </w:tcPr>
          <w:p w14:paraId="45E5279F" w14:textId="77777777" w:rsidR="006000AC" w:rsidRPr="009E077A" w:rsidRDefault="006000AC" w:rsidP="006F16A0">
            <w:pPr>
              <w:rPr>
                <w:rFonts w:eastAsiaTheme="minorHAnsi"/>
                <w:b/>
                <w:bCs/>
                <w:sz w:val="16"/>
                <w:szCs w:val="16"/>
              </w:rPr>
            </w:pPr>
          </w:p>
        </w:tc>
        <w:tc>
          <w:tcPr>
            <w:tcW w:w="1012" w:type="dxa"/>
          </w:tcPr>
          <w:p w14:paraId="032DDF93" w14:textId="77777777" w:rsidR="006000AC" w:rsidRPr="009E077A" w:rsidRDefault="006000AC" w:rsidP="006F16A0">
            <w:pPr>
              <w:rPr>
                <w:rFonts w:eastAsiaTheme="minorHAnsi"/>
                <w:b/>
                <w:bCs/>
                <w:sz w:val="16"/>
                <w:szCs w:val="16"/>
              </w:rPr>
            </w:pPr>
          </w:p>
        </w:tc>
        <w:tc>
          <w:tcPr>
            <w:tcW w:w="1138" w:type="dxa"/>
            <w:hideMark/>
          </w:tcPr>
          <w:p w14:paraId="11E6B198"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13" w:type="dxa"/>
            <w:hideMark/>
          </w:tcPr>
          <w:p w14:paraId="5A37C79F"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12" w:type="dxa"/>
            <w:hideMark/>
          </w:tcPr>
          <w:p w14:paraId="28F20078"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12" w:type="dxa"/>
            <w:noWrap/>
            <w:hideMark/>
          </w:tcPr>
          <w:p w14:paraId="6708D009"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1012" w:type="dxa"/>
            <w:hideMark/>
          </w:tcPr>
          <w:p w14:paraId="5821DE4E"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r>
      <w:tr w:rsidR="006000AC" w:rsidRPr="009E077A" w14:paraId="57F64165" w14:textId="77777777" w:rsidTr="006000AC">
        <w:trPr>
          <w:gridAfter w:val="1"/>
          <w:wAfter w:w="12" w:type="dxa"/>
          <w:trHeight w:val="211"/>
        </w:trPr>
        <w:tc>
          <w:tcPr>
            <w:tcW w:w="1034" w:type="dxa"/>
            <w:noWrap/>
            <w:hideMark/>
          </w:tcPr>
          <w:p w14:paraId="711E902B"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897" w:type="dxa"/>
            <w:hideMark/>
          </w:tcPr>
          <w:p w14:paraId="3C8DA4C0"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49" w:type="dxa"/>
            <w:hideMark/>
          </w:tcPr>
          <w:p w14:paraId="20F63F94"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98" w:type="dxa"/>
            <w:noWrap/>
            <w:hideMark/>
          </w:tcPr>
          <w:p w14:paraId="21F1E4D6"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615" w:type="dxa"/>
            <w:noWrap/>
            <w:hideMark/>
          </w:tcPr>
          <w:p w14:paraId="57E4B7F0"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623" w:type="dxa"/>
            <w:noWrap/>
            <w:hideMark/>
          </w:tcPr>
          <w:p w14:paraId="7C7155FD"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724" w:type="dxa"/>
            <w:noWrap/>
            <w:hideMark/>
          </w:tcPr>
          <w:p w14:paraId="22FCC904"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637" w:type="dxa"/>
            <w:noWrap/>
            <w:hideMark/>
          </w:tcPr>
          <w:p w14:paraId="56B86CE7"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594" w:type="dxa"/>
            <w:gridSpan w:val="2"/>
            <w:noWrap/>
            <w:hideMark/>
          </w:tcPr>
          <w:p w14:paraId="7C36BA92"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1358" w:type="dxa"/>
          </w:tcPr>
          <w:p w14:paraId="5AA07F61" w14:textId="77777777" w:rsidR="006000AC" w:rsidRPr="009E077A" w:rsidRDefault="006000AC" w:rsidP="006F16A0">
            <w:pPr>
              <w:rPr>
                <w:rFonts w:eastAsiaTheme="minorHAnsi"/>
                <w:sz w:val="16"/>
                <w:szCs w:val="16"/>
              </w:rPr>
            </w:pPr>
          </w:p>
        </w:tc>
        <w:tc>
          <w:tcPr>
            <w:tcW w:w="1012" w:type="dxa"/>
          </w:tcPr>
          <w:p w14:paraId="5A438E51" w14:textId="77777777" w:rsidR="006000AC" w:rsidRPr="009E077A" w:rsidRDefault="006000AC" w:rsidP="006F16A0">
            <w:pPr>
              <w:rPr>
                <w:rFonts w:eastAsiaTheme="minorHAnsi"/>
                <w:sz w:val="16"/>
                <w:szCs w:val="16"/>
              </w:rPr>
            </w:pPr>
          </w:p>
        </w:tc>
        <w:tc>
          <w:tcPr>
            <w:tcW w:w="1138" w:type="dxa"/>
            <w:noWrap/>
            <w:hideMark/>
          </w:tcPr>
          <w:p w14:paraId="6CB7B0B6"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1013" w:type="dxa"/>
            <w:noWrap/>
            <w:hideMark/>
          </w:tcPr>
          <w:p w14:paraId="5E03168C"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1012" w:type="dxa"/>
            <w:noWrap/>
            <w:hideMark/>
          </w:tcPr>
          <w:p w14:paraId="3784F05F"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1012" w:type="dxa"/>
            <w:noWrap/>
            <w:hideMark/>
          </w:tcPr>
          <w:p w14:paraId="02063B7E"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1012" w:type="dxa"/>
            <w:noWrap/>
            <w:hideMark/>
          </w:tcPr>
          <w:p w14:paraId="4424EF1F" w14:textId="77777777" w:rsidR="006000AC" w:rsidRPr="009E077A" w:rsidRDefault="006000AC" w:rsidP="006F16A0">
            <w:pPr>
              <w:rPr>
                <w:rFonts w:eastAsiaTheme="minorHAnsi"/>
                <w:sz w:val="16"/>
                <w:szCs w:val="16"/>
              </w:rPr>
            </w:pPr>
            <w:r w:rsidRPr="009E077A">
              <w:rPr>
                <w:rFonts w:eastAsiaTheme="minorHAnsi"/>
                <w:sz w:val="16"/>
                <w:szCs w:val="16"/>
              </w:rPr>
              <w:t> </w:t>
            </w:r>
          </w:p>
        </w:tc>
      </w:tr>
      <w:tr w:rsidR="006000AC" w:rsidRPr="009E077A" w14:paraId="1A569C25" w14:textId="77777777" w:rsidTr="006000AC">
        <w:trPr>
          <w:gridAfter w:val="1"/>
          <w:wAfter w:w="12" w:type="dxa"/>
          <w:trHeight w:val="211"/>
        </w:trPr>
        <w:tc>
          <w:tcPr>
            <w:tcW w:w="1034" w:type="dxa"/>
            <w:noWrap/>
            <w:hideMark/>
          </w:tcPr>
          <w:p w14:paraId="1D3794F6"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897" w:type="dxa"/>
            <w:hideMark/>
          </w:tcPr>
          <w:p w14:paraId="785A6FF7"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49" w:type="dxa"/>
            <w:hideMark/>
          </w:tcPr>
          <w:p w14:paraId="40864553"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98" w:type="dxa"/>
            <w:noWrap/>
            <w:hideMark/>
          </w:tcPr>
          <w:p w14:paraId="7A1E5EE2"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615" w:type="dxa"/>
            <w:noWrap/>
            <w:hideMark/>
          </w:tcPr>
          <w:p w14:paraId="7A2B0D38"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623" w:type="dxa"/>
            <w:noWrap/>
            <w:hideMark/>
          </w:tcPr>
          <w:p w14:paraId="60A706C4"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724" w:type="dxa"/>
            <w:noWrap/>
            <w:hideMark/>
          </w:tcPr>
          <w:p w14:paraId="02BB7CED"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637" w:type="dxa"/>
            <w:noWrap/>
            <w:hideMark/>
          </w:tcPr>
          <w:p w14:paraId="6DB43CE7"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594" w:type="dxa"/>
            <w:gridSpan w:val="2"/>
            <w:noWrap/>
            <w:hideMark/>
          </w:tcPr>
          <w:p w14:paraId="36915B96"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1358" w:type="dxa"/>
          </w:tcPr>
          <w:p w14:paraId="01736908" w14:textId="77777777" w:rsidR="006000AC" w:rsidRPr="009E077A" w:rsidRDefault="006000AC" w:rsidP="006F16A0">
            <w:pPr>
              <w:rPr>
                <w:rFonts w:eastAsiaTheme="minorHAnsi"/>
                <w:sz w:val="16"/>
                <w:szCs w:val="16"/>
              </w:rPr>
            </w:pPr>
          </w:p>
        </w:tc>
        <w:tc>
          <w:tcPr>
            <w:tcW w:w="1012" w:type="dxa"/>
          </w:tcPr>
          <w:p w14:paraId="4390FBB9" w14:textId="77777777" w:rsidR="006000AC" w:rsidRPr="009E077A" w:rsidRDefault="006000AC" w:rsidP="006F16A0">
            <w:pPr>
              <w:rPr>
                <w:rFonts w:eastAsiaTheme="minorHAnsi"/>
                <w:sz w:val="16"/>
                <w:szCs w:val="16"/>
              </w:rPr>
            </w:pPr>
          </w:p>
        </w:tc>
        <w:tc>
          <w:tcPr>
            <w:tcW w:w="1138" w:type="dxa"/>
            <w:noWrap/>
            <w:hideMark/>
          </w:tcPr>
          <w:p w14:paraId="2C15BB4E"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1013" w:type="dxa"/>
            <w:noWrap/>
            <w:hideMark/>
          </w:tcPr>
          <w:p w14:paraId="58BF6F22"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1012" w:type="dxa"/>
            <w:noWrap/>
            <w:hideMark/>
          </w:tcPr>
          <w:p w14:paraId="43175659" w14:textId="77777777" w:rsidR="006000AC" w:rsidRPr="009E077A" w:rsidRDefault="006000AC" w:rsidP="006F16A0">
            <w:pPr>
              <w:rPr>
                <w:rFonts w:eastAsiaTheme="minorHAnsi"/>
                <w:sz w:val="16"/>
                <w:szCs w:val="16"/>
              </w:rPr>
            </w:pPr>
            <w:r w:rsidRPr="009E077A">
              <w:rPr>
                <w:rFonts w:eastAsiaTheme="minorHAnsi"/>
                <w:sz w:val="16"/>
                <w:szCs w:val="16"/>
              </w:rPr>
              <w:t> </w:t>
            </w:r>
          </w:p>
        </w:tc>
        <w:tc>
          <w:tcPr>
            <w:tcW w:w="1012" w:type="dxa"/>
            <w:noWrap/>
            <w:hideMark/>
          </w:tcPr>
          <w:p w14:paraId="71587CDB" w14:textId="77777777" w:rsidR="006000AC" w:rsidRPr="009E077A" w:rsidRDefault="006000AC" w:rsidP="006F16A0">
            <w:pPr>
              <w:rPr>
                <w:rFonts w:eastAsiaTheme="minorHAnsi"/>
                <w:sz w:val="16"/>
                <w:szCs w:val="16"/>
              </w:rPr>
            </w:pPr>
            <w:r w:rsidRPr="009E077A">
              <w:rPr>
                <w:rFonts w:eastAsiaTheme="minorHAnsi"/>
                <w:sz w:val="16"/>
                <w:szCs w:val="16"/>
              </w:rPr>
              <w:t>0%</w:t>
            </w:r>
          </w:p>
        </w:tc>
        <w:tc>
          <w:tcPr>
            <w:tcW w:w="1012" w:type="dxa"/>
            <w:noWrap/>
            <w:hideMark/>
          </w:tcPr>
          <w:p w14:paraId="6ABAC64E" w14:textId="77777777" w:rsidR="006000AC" w:rsidRPr="009E077A" w:rsidRDefault="006000AC" w:rsidP="006F16A0">
            <w:pPr>
              <w:rPr>
                <w:rFonts w:eastAsiaTheme="minorHAnsi"/>
                <w:sz w:val="16"/>
                <w:szCs w:val="16"/>
              </w:rPr>
            </w:pPr>
            <w:r w:rsidRPr="009E077A">
              <w:rPr>
                <w:rFonts w:eastAsiaTheme="minorHAnsi"/>
                <w:sz w:val="16"/>
                <w:szCs w:val="16"/>
              </w:rPr>
              <w:t> </w:t>
            </w:r>
          </w:p>
        </w:tc>
      </w:tr>
      <w:tr w:rsidR="006000AC" w:rsidRPr="009E077A" w14:paraId="1FA0C3F1" w14:textId="77777777" w:rsidTr="006000AC">
        <w:trPr>
          <w:gridAfter w:val="1"/>
          <w:wAfter w:w="12" w:type="dxa"/>
          <w:trHeight w:val="220"/>
        </w:trPr>
        <w:tc>
          <w:tcPr>
            <w:tcW w:w="1034" w:type="dxa"/>
            <w:noWrap/>
            <w:hideMark/>
          </w:tcPr>
          <w:p w14:paraId="07B0E9F2"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897" w:type="dxa"/>
            <w:noWrap/>
            <w:hideMark/>
          </w:tcPr>
          <w:p w14:paraId="290BACBA"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49" w:type="dxa"/>
            <w:noWrap/>
            <w:hideMark/>
          </w:tcPr>
          <w:p w14:paraId="3FEE1DCF"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98" w:type="dxa"/>
            <w:noWrap/>
            <w:hideMark/>
          </w:tcPr>
          <w:p w14:paraId="2CFA578E"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15" w:type="dxa"/>
            <w:noWrap/>
            <w:hideMark/>
          </w:tcPr>
          <w:p w14:paraId="1AFDB5C2"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623" w:type="dxa"/>
            <w:noWrap/>
            <w:hideMark/>
          </w:tcPr>
          <w:p w14:paraId="12329EC8"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724" w:type="dxa"/>
            <w:noWrap/>
            <w:hideMark/>
          </w:tcPr>
          <w:p w14:paraId="3B022730" w14:textId="77777777" w:rsidR="006000AC" w:rsidRPr="009E077A" w:rsidRDefault="006000AC" w:rsidP="006F16A0">
            <w:pPr>
              <w:rPr>
                <w:rFonts w:eastAsiaTheme="minorHAnsi"/>
                <w:b/>
                <w:bCs/>
                <w:sz w:val="16"/>
                <w:szCs w:val="16"/>
              </w:rPr>
            </w:pPr>
            <w:r w:rsidRPr="009E077A">
              <w:rPr>
                <w:rFonts w:eastAsiaTheme="minorHAnsi"/>
                <w:b/>
                <w:bCs/>
                <w:sz w:val="16"/>
                <w:szCs w:val="16"/>
              </w:rPr>
              <w:t>0%</w:t>
            </w:r>
          </w:p>
        </w:tc>
        <w:tc>
          <w:tcPr>
            <w:tcW w:w="637" w:type="dxa"/>
            <w:noWrap/>
            <w:hideMark/>
          </w:tcPr>
          <w:p w14:paraId="5CA62FAE" w14:textId="77777777" w:rsidR="006000AC" w:rsidRPr="009E077A" w:rsidRDefault="006000AC" w:rsidP="006F16A0">
            <w:pPr>
              <w:rPr>
                <w:rFonts w:eastAsiaTheme="minorHAnsi"/>
                <w:b/>
                <w:bCs/>
                <w:sz w:val="16"/>
                <w:szCs w:val="16"/>
              </w:rPr>
            </w:pPr>
            <w:r w:rsidRPr="009E077A">
              <w:rPr>
                <w:rFonts w:eastAsiaTheme="minorHAnsi"/>
                <w:b/>
                <w:bCs/>
                <w:sz w:val="16"/>
                <w:szCs w:val="16"/>
              </w:rPr>
              <w:t>0%</w:t>
            </w:r>
          </w:p>
        </w:tc>
        <w:tc>
          <w:tcPr>
            <w:tcW w:w="594" w:type="dxa"/>
            <w:gridSpan w:val="2"/>
            <w:noWrap/>
            <w:hideMark/>
          </w:tcPr>
          <w:p w14:paraId="6E801ED8" w14:textId="77777777" w:rsidR="006000AC" w:rsidRPr="009E077A" w:rsidRDefault="006000AC" w:rsidP="006F16A0">
            <w:pPr>
              <w:rPr>
                <w:rFonts w:eastAsiaTheme="minorHAnsi"/>
                <w:b/>
                <w:bCs/>
                <w:sz w:val="16"/>
                <w:szCs w:val="16"/>
              </w:rPr>
            </w:pPr>
            <w:r w:rsidRPr="009E077A">
              <w:rPr>
                <w:rFonts w:eastAsiaTheme="minorHAnsi"/>
                <w:b/>
                <w:bCs/>
                <w:sz w:val="16"/>
                <w:szCs w:val="16"/>
              </w:rPr>
              <w:t>0%</w:t>
            </w:r>
          </w:p>
        </w:tc>
        <w:tc>
          <w:tcPr>
            <w:tcW w:w="1358" w:type="dxa"/>
          </w:tcPr>
          <w:p w14:paraId="442C2F3E" w14:textId="77777777" w:rsidR="006000AC" w:rsidRPr="009E077A" w:rsidRDefault="006000AC" w:rsidP="006F16A0">
            <w:pPr>
              <w:rPr>
                <w:rFonts w:eastAsiaTheme="minorHAnsi"/>
                <w:b/>
                <w:bCs/>
                <w:sz w:val="16"/>
                <w:szCs w:val="16"/>
              </w:rPr>
            </w:pPr>
          </w:p>
        </w:tc>
        <w:tc>
          <w:tcPr>
            <w:tcW w:w="1012" w:type="dxa"/>
          </w:tcPr>
          <w:p w14:paraId="6E1D3137" w14:textId="77777777" w:rsidR="006000AC" w:rsidRPr="009E077A" w:rsidRDefault="006000AC" w:rsidP="006F16A0">
            <w:pPr>
              <w:rPr>
                <w:rFonts w:eastAsiaTheme="minorHAnsi"/>
                <w:b/>
                <w:bCs/>
                <w:sz w:val="16"/>
                <w:szCs w:val="16"/>
              </w:rPr>
            </w:pPr>
          </w:p>
        </w:tc>
        <w:tc>
          <w:tcPr>
            <w:tcW w:w="1138" w:type="dxa"/>
            <w:noWrap/>
            <w:hideMark/>
          </w:tcPr>
          <w:p w14:paraId="70F6070F"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13" w:type="dxa"/>
            <w:noWrap/>
            <w:hideMark/>
          </w:tcPr>
          <w:p w14:paraId="2979C2DC" w14:textId="77777777" w:rsidR="006000AC" w:rsidRPr="009E077A" w:rsidRDefault="006000AC" w:rsidP="006F16A0">
            <w:pPr>
              <w:rPr>
                <w:rFonts w:eastAsiaTheme="minorHAnsi"/>
                <w:b/>
                <w:bCs/>
                <w:sz w:val="16"/>
                <w:szCs w:val="16"/>
              </w:rPr>
            </w:pPr>
            <w:r w:rsidRPr="009E077A">
              <w:rPr>
                <w:rFonts w:eastAsiaTheme="minorHAnsi"/>
                <w:b/>
                <w:bCs/>
                <w:sz w:val="16"/>
                <w:szCs w:val="16"/>
              </w:rPr>
              <w:t> </w:t>
            </w:r>
          </w:p>
        </w:tc>
        <w:tc>
          <w:tcPr>
            <w:tcW w:w="1012" w:type="dxa"/>
            <w:noWrap/>
            <w:hideMark/>
          </w:tcPr>
          <w:p w14:paraId="3F3547DD" w14:textId="77777777" w:rsidR="006000AC" w:rsidRPr="009E077A" w:rsidRDefault="006000AC" w:rsidP="006F16A0">
            <w:pPr>
              <w:rPr>
                <w:rFonts w:eastAsiaTheme="minorHAnsi"/>
                <w:b/>
                <w:bCs/>
                <w:sz w:val="16"/>
                <w:szCs w:val="16"/>
              </w:rPr>
            </w:pPr>
            <w:r w:rsidRPr="009E077A">
              <w:rPr>
                <w:rFonts w:eastAsiaTheme="minorHAnsi"/>
                <w:b/>
                <w:bCs/>
                <w:sz w:val="16"/>
                <w:szCs w:val="16"/>
              </w:rPr>
              <w:t>0%</w:t>
            </w:r>
          </w:p>
        </w:tc>
        <w:tc>
          <w:tcPr>
            <w:tcW w:w="1012" w:type="dxa"/>
            <w:noWrap/>
            <w:hideMark/>
          </w:tcPr>
          <w:p w14:paraId="7A12D03C" w14:textId="77777777" w:rsidR="006000AC" w:rsidRPr="009E077A" w:rsidRDefault="006000AC" w:rsidP="006F16A0">
            <w:pPr>
              <w:rPr>
                <w:rFonts w:eastAsiaTheme="minorHAnsi"/>
                <w:b/>
                <w:bCs/>
                <w:sz w:val="16"/>
                <w:szCs w:val="16"/>
              </w:rPr>
            </w:pPr>
            <w:r w:rsidRPr="009E077A">
              <w:rPr>
                <w:rFonts w:eastAsiaTheme="minorHAnsi"/>
                <w:b/>
                <w:bCs/>
                <w:sz w:val="16"/>
                <w:szCs w:val="16"/>
              </w:rPr>
              <w:t>0%</w:t>
            </w:r>
          </w:p>
        </w:tc>
        <w:tc>
          <w:tcPr>
            <w:tcW w:w="1012" w:type="dxa"/>
            <w:noWrap/>
            <w:hideMark/>
          </w:tcPr>
          <w:p w14:paraId="3ECB7DAA" w14:textId="77777777" w:rsidR="006000AC" w:rsidRPr="009E077A" w:rsidRDefault="006000AC" w:rsidP="006F16A0">
            <w:pPr>
              <w:rPr>
                <w:rFonts w:eastAsiaTheme="minorHAnsi"/>
                <w:b/>
                <w:bCs/>
                <w:sz w:val="16"/>
                <w:szCs w:val="16"/>
              </w:rPr>
            </w:pPr>
            <w:r w:rsidRPr="009E077A">
              <w:rPr>
                <w:rFonts w:eastAsiaTheme="minorHAnsi"/>
                <w:b/>
                <w:bCs/>
                <w:sz w:val="16"/>
                <w:szCs w:val="16"/>
              </w:rPr>
              <w:t>0</w:t>
            </w:r>
          </w:p>
        </w:tc>
      </w:tr>
    </w:tbl>
    <w:tbl>
      <w:tblPr>
        <w:tblpPr w:leftFromText="180" w:rightFromText="180" w:vertAnchor="text" w:horzAnchor="margin" w:tblpXSpec="center" w:tblpY="9"/>
        <w:tblW w:w="14400" w:type="dxa"/>
        <w:tblLook w:val="04A0" w:firstRow="1" w:lastRow="0" w:firstColumn="1" w:lastColumn="0" w:noHBand="0" w:noVBand="1"/>
      </w:tblPr>
      <w:tblGrid>
        <w:gridCol w:w="2400"/>
        <w:gridCol w:w="2249"/>
        <w:gridCol w:w="2551"/>
        <w:gridCol w:w="2249"/>
        <w:gridCol w:w="2551"/>
        <w:gridCol w:w="2400"/>
      </w:tblGrid>
      <w:tr w:rsidR="006000AC" w:rsidRPr="00187FA6" w14:paraId="0B60095A" w14:textId="77777777" w:rsidTr="006000AC">
        <w:trPr>
          <w:trHeight w:val="330"/>
        </w:trPr>
        <w:tc>
          <w:tcPr>
            <w:tcW w:w="2400" w:type="dxa"/>
            <w:vMerge w:val="restart"/>
            <w:tcBorders>
              <w:top w:val="single" w:sz="4" w:space="0" w:color="FF0000"/>
              <w:left w:val="single" w:sz="4" w:space="0" w:color="FF0000"/>
              <w:bottom w:val="single" w:sz="4" w:space="0" w:color="FF0000"/>
              <w:right w:val="nil"/>
            </w:tcBorders>
            <w:shd w:val="clear" w:color="auto" w:fill="auto"/>
            <w:noWrap/>
            <w:vAlign w:val="bottom"/>
            <w:hideMark/>
          </w:tcPr>
          <w:p w14:paraId="1E291A6B" w14:textId="77777777" w:rsidR="006000AC" w:rsidRPr="006000AC" w:rsidRDefault="006000AC" w:rsidP="006000AC">
            <w:pPr>
              <w:spacing w:after="0"/>
              <w:jc w:val="center"/>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Employment type</w:t>
            </w:r>
          </w:p>
        </w:tc>
        <w:tc>
          <w:tcPr>
            <w:tcW w:w="4800" w:type="dxa"/>
            <w:gridSpan w:val="2"/>
            <w:tcBorders>
              <w:top w:val="single" w:sz="12" w:space="0" w:color="FF0000"/>
              <w:left w:val="single" w:sz="12" w:space="0" w:color="FF0000"/>
              <w:bottom w:val="single" w:sz="4" w:space="0" w:color="FF0000"/>
              <w:right w:val="single" w:sz="4" w:space="0" w:color="FF0000"/>
            </w:tcBorders>
            <w:shd w:val="clear" w:color="auto" w:fill="auto"/>
            <w:noWrap/>
            <w:vAlign w:val="bottom"/>
            <w:hideMark/>
          </w:tcPr>
          <w:p w14:paraId="29E73970" w14:textId="77777777" w:rsidR="006000AC" w:rsidRPr="006000AC" w:rsidRDefault="006000AC" w:rsidP="006000AC">
            <w:pPr>
              <w:spacing w:after="0"/>
              <w:jc w:val="center"/>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LIDP commitment</w:t>
            </w:r>
          </w:p>
        </w:tc>
        <w:tc>
          <w:tcPr>
            <w:tcW w:w="4800" w:type="dxa"/>
            <w:gridSpan w:val="2"/>
            <w:tcBorders>
              <w:top w:val="single" w:sz="12" w:space="0" w:color="00B050"/>
              <w:left w:val="single" w:sz="12" w:space="0" w:color="00B050"/>
              <w:bottom w:val="single" w:sz="4" w:space="0" w:color="FF0000"/>
              <w:right w:val="single" w:sz="12" w:space="0" w:color="00B050"/>
            </w:tcBorders>
            <w:shd w:val="clear" w:color="auto" w:fill="auto"/>
            <w:noWrap/>
            <w:vAlign w:val="bottom"/>
            <w:hideMark/>
          </w:tcPr>
          <w:p w14:paraId="26934ADE" w14:textId="77777777" w:rsidR="006000AC" w:rsidRPr="006000AC" w:rsidRDefault="006000AC" w:rsidP="006000AC">
            <w:pPr>
              <w:spacing w:after="0"/>
              <w:jc w:val="center"/>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Achieved / secured</w:t>
            </w:r>
          </w:p>
        </w:tc>
        <w:tc>
          <w:tcPr>
            <w:tcW w:w="2400" w:type="dxa"/>
            <w:vMerge w:val="restart"/>
            <w:tcBorders>
              <w:top w:val="single" w:sz="4" w:space="0" w:color="808080"/>
              <w:left w:val="single" w:sz="12" w:space="0" w:color="00B050"/>
              <w:bottom w:val="single" w:sz="4" w:space="0" w:color="808080"/>
              <w:right w:val="nil"/>
            </w:tcBorders>
            <w:shd w:val="clear" w:color="auto" w:fill="auto"/>
            <w:vAlign w:val="center"/>
            <w:hideMark/>
          </w:tcPr>
          <w:p w14:paraId="7BABDD91" w14:textId="77777777" w:rsidR="006000AC" w:rsidRPr="006000AC" w:rsidRDefault="006000AC" w:rsidP="006000AC">
            <w:pPr>
              <w:spacing w:after="0"/>
              <w:jc w:val="center"/>
              <w:rPr>
                <w:rFonts w:cs="Arial"/>
                <w:b/>
                <w:bCs/>
                <w:color w:val="000000"/>
                <w:sz w:val="16"/>
                <w:szCs w:val="16"/>
                <w:lang w:eastAsia="en-AU"/>
              </w:rPr>
            </w:pPr>
            <w:r w:rsidRPr="006000AC">
              <w:rPr>
                <w:rFonts w:cs="Arial"/>
                <w:b/>
                <w:bCs/>
                <w:color w:val="000000"/>
                <w:sz w:val="16"/>
                <w:szCs w:val="16"/>
                <w:lang w:eastAsia="en-AU"/>
              </w:rPr>
              <w:t>Progress / Comments</w:t>
            </w:r>
          </w:p>
        </w:tc>
      </w:tr>
      <w:tr w:rsidR="006000AC" w:rsidRPr="00187FA6" w14:paraId="583FCBDB" w14:textId="77777777" w:rsidTr="006000AC">
        <w:trPr>
          <w:trHeight w:val="315"/>
        </w:trPr>
        <w:tc>
          <w:tcPr>
            <w:tcW w:w="2400" w:type="dxa"/>
            <w:vMerge/>
            <w:tcBorders>
              <w:top w:val="single" w:sz="4" w:space="0" w:color="FF0000"/>
              <w:left w:val="single" w:sz="4" w:space="0" w:color="FF0000"/>
              <w:bottom w:val="single" w:sz="4" w:space="0" w:color="FF0000"/>
              <w:right w:val="nil"/>
            </w:tcBorders>
            <w:vAlign w:val="center"/>
            <w:hideMark/>
          </w:tcPr>
          <w:p w14:paraId="7E5376F7" w14:textId="77777777" w:rsidR="006000AC" w:rsidRPr="006000AC" w:rsidRDefault="006000AC" w:rsidP="006000AC">
            <w:pPr>
              <w:spacing w:after="0"/>
              <w:rPr>
                <w:rFonts w:ascii="Calibri" w:hAnsi="Calibri" w:cs="Calibri"/>
                <w:b/>
                <w:bCs/>
                <w:color w:val="000000"/>
                <w:sz w:val="16"/>
                <w:szCs w:val="16"/>
                <w:lang w:eastAsia="en-AU"/>
              </w:rPr>
            </w:pP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6307E78D" w14:textId="77777777" w:rsidR="006000AC" w:rsidRPr="006000AC" w:rsidRDefault="006000AC" w:rsidP="006000AC">
            <w:pPr>
              <w:spacing w:after="0"/>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Created</w:t>
            </w:r>
          </w:p>
        </w:tc>
        <w:tc>
          <w:tcPr>
            <w:tcW w:w="2551" w:type="dxa"/>
            <w:tcBorders>
              <w:top w:val="nil"/>
              <w:left w:val="nil"/>
              <w:bottom w:val="single" w:sz="4" w:space="0" w:color="FF0000"/>
              <w:right w:val="nil"/>
            </w:tcBorders>
            <w:shd w:val="clear" w:color="auto" w:fill="auto"/>
            <w:noWrap/>
            <w:vAlign w:val="bottom"/>
            <w:hideMark/>
          </w:tcPr>
          <w:p w14:paraId="414AF5F2" w14:textId="77777777" w:rsidR="006000AC" w:rsidRPr="006000AC" w:rsidRDefault="006000AC" w:rsidP="006000AC">
            <w:pPr>
              <w:spacing w:after="0"/>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Retained</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73CA2A10" w14:textId="77777777" w:rsidR="006000AC" w:rsidRPr="006000AC" w:rsidRDefault="006000AC" w:rsidP="006000AC">
            <w:pPr>
              <w:spacing w:after="0"/>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Created</w:t>
            </w:r>
          </w:p>
        </w:tc>
        <w:tc>
          <w:tcPr>
            <w:tcW w:w="2551" w:type="dxa"/>
            <w:tcBorders>
              <w:top w:val="nil"/>
              <w:left w:val="nil"/>
              <w:bottom w:val="single" w:sz="4" w:space="0" w:color="FF0000"/>
              <w:right w:val="single" w:sz="12" w:space="0" w:color="00B050"/>
            </w:tcBorders>
            <w:shd w:val="clear" w:color="auto" w:fill="auto"/>
            <w:noWrap/>
            <w:vAlign w:val="bottom"/>
            <w:hideMark/>
          </w:tcPr>
          <w:p w14:paraId="2DBCB042" w14:textId="77777777" w:rsidR="006000AC" w:rsidRPr="006000AC" w:rsidRDefault="006000AC" w:rsidP="006000AC">
            <w:pPr>
              <w:spacing w:after="0"/>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Retained</w:t>
            </w:r>
          </w:p>
        </w:tc>
        <w:tc>
          <w:tcPr>
            <w:tcW w:w="2400" w:type="dxa"/>
            <w:vMerge/>
            <w:tcBorders>
              <w:top w:val="single" w:sz="4" w:space="0" w:color="808080"/>
              <w:left w:val="single" w:sz="12" w:space="0" w:color="00B050"/>
              <w:bottom w:val="single" w:sz="4" w:space="0" w:color="808080"/>
              <w:right w:val="nil"/>
            </w:tcBorders>
            <w:vAlign w:val="center"/>
            <w:hideMark/>
          </w:tcPr>
          <w:p w14:paraId="3AC2A4FA" w14:textId="77777777" w:rsidR="006000AC" w:rsidRPr="006000AC" w:rsidRDefault="006000AC" w:rsidP="006000AC">
            <w:pPr>
              <w:spacing w:after="0"/>
              <w:rPr>
                <w:rFonts w:cs="Arial"/>
                <w:b/>
                <w:bCs/>
                <w:color w:val="000000"/>
                <w:sz w:val="16"/>
                <w:szCs w:val="16"/>
                <w:lang w:eastAsia="en-AU"/>
              </w:rPr>
            </w:pPr>
          </w:p>
        </w:tc>
      </w:tr>
      <w:tr w:rsidR="006000AC" w:rsidRPr="00187FA6" w14:paraId="26F980B9" w14:textId="77777777" w:rsidTr="006000AC">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227C83E0"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Apprentices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1DDBF0C2"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19B007CA"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11278489"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34143F6E"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07D239A1"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r w:rsidR="006000AC" w:rsidRPr="00187FA6" w14:paraId="57705520" w14:textId="77777777" w:rsidTr="006000AC">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4CCC0BA1"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Trainees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4AE6F1D6"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18D86A1F"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416BF6C3"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65E665F6"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52E28760"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r w:rsidR="006000AC" w:rsidRPr="00187FA6" w14:paraId="52BD71A7" w14:textId="77777777" w:rsidTr="006000AC">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0B7E9202"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Cadets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11B400FD"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4196AE78"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4CB01326"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19DB85AE"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15A414C4"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r w:rsidR="006000AC" w:rsidRPr="00187FA6" w14:paraId="544327FF" w14:textId="77777777" w:rsidTr="006000AC">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48BDF453"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Standard Employees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3A52FA21"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1C52A5FF"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29B6F198"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6A5F1268"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5C5216D7"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r w:rsidR="006000AC" w:rsidRPr="00187FA6" w14:paraId="4F03FE93" w14:textId="77777777" w:rsidTr="006000AC">
        <w:trPr>
          <w:trHeight w:val="330"/>
        </w:trPr>
        <w:tc>
          <w:tcPr>
            <w:tcW w:w="2400" w:type="dxa"/>
            <w:tcBorders>
              <w:top w:val="nil"/>
              <w:left w:val="single" w:sz="4" w:space="0" w:color="FF0000"/>
              <w:bottom w:val="single" w:sz="4" w:space="0" w:color="FF0000"/>
              <w:right w:val="nil"/>
            </w:tcBorders>
            <w:shd w:val="clear" w:color="000000" w:fill="F2F2F2"/>
            <w:vAlign w:val="center"/>
            <w:hideMark/>
          </w:tcPr>
          <w:p w14:paraId="2F623F13" w14:textId="77777777" w:rsidR="006000AC" w:rsidRPr="006000AC" w:rsidRDefault="006000AC" w:rsidP="006000AC">
            <w:pPr>
              <w:spacing w:after="0"/>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Grand Total</w:t>
            </w:r>
          </w:p>
        </w:tc>
        <w:tc>
          <w:tcPr>
            <w:tcW w:w="2249" w:type="dxa"/>
            <w:tcBorders>
              <w:top w:val="nil"/>
              <w:left w:val="single" w:sz="12" w:space="0" w:color="FF0000"/>
              <w:bottom w:val="single" w:sz="12" w:space="0" w:color="FF0000"/>
              <w:right w:val="single" w:sz="4" w:space="0" w:color="FF0000"/>
            </w:tcBorders>
            <w:shd w:val="clear" w:color="000000" w:fill="F2F2F2"/>
            <w:noWrap/>
            <w:vAlign w:val="center"/>
            <w:hideMark/>
          </w:tcPr>
          <w:p w14:paraId="671A82C8" w14:textId="77777777" w:rsidR="006000AC" w:rsidRPr="006000AC" w:rsidRDefault="006000AC" w:rsidP="006000AC">
            <w:pPr>
              <w:spacing w:after="0"/>
              <w:jc w:val="center"/>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0</w:t>
            </w:r>
          </w:p>
        </w:tc>
        <w:tc>
          <w:tcPr>
            <w:tcW w:w="2551" w:type="dxa"/>
            <w:tcBorders>
              <w:top w:val="nil"/>
              <w:left w:val="nil"/>
              <w:bottom w:val="single" w:sz="12" w:space="0" w:color="FF0000"/>
              <w:right w:val="nil"/>
            </w:tcBorders>
            <w:shd w:val="clear" w:color="000000" w:fill="F2F2F2"/>
            <w:noWrap/>
            <w:vAlign w:val="center"/>
            <w:hideMark/>
          </w:tcPr>
          <w:p w14:paraId="7F182C69" w14:textId="77777777" w:rsidR="006000AC" w:rsidRPr="006000AC" w:rsidRDefault="006000AC" w:rsidP="006000AC">
            <w:pPr>
              <w:spacing w:after="0"/>
              <w:jc w:val="center"/>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0</w:t>
            </w:r>
          </w:p>
        </w:tc>
        <w:tc>
          <w:tcPr>
            <w:tcW w:w="2249" w:type="dxa"/>
            <w:tcBorders>
              <w:top w:val="nil"/>
              <w:left w:val="single" w:sz="12" w:space="0" w:color="00B050"/>
              <w:bottom w:val="single" w:sz="12" w:space="0" w:color="00B050"/>
              <w:right w:val="single" w:sz="4" w:space="0" w:color="FF0000"/>
            </w:tcBorders>
            <w:shd w:val="clear" w:color="000000" w:fill="F2F2F2"/>
            <w:noWrap/>
            <w:vAlign w:val="center"/>
            <w:hideMark/>
          </w:tcPr>
          <w:p w14:paraId="5D6CBEB7" w14:textId="77777777" w:rsidR="006000AC" w:rsidRPr="006000AC" w:rsidRDefault="006000AC" w:rsidP="006000AC">
            <w:pPr>
              <w:spacing w:after="0"/>
              <w:jc w:val="center"/>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0</w:t>
            </w:r>
          </w:p>
        </w:tc>
        <w:tc>
          <w:tcPr>
            <w:tcW w:w="2551" w:type="dxa"/>
            <w:tcBorders>
              <w:top w:val="nil"/>
              <w:left w:val="nil"/>
              <w:bottom w:val="single" w:sz="12" w:space="0" w:color="00B050"/>
              <w:right w:val="single" w:sz="12" w:space="0" w:color="00B050"/>
            </w:tcBorders>
            <w:shd w:val="clear" w:color="000000" w:fill="F2F2F2"/>
            <w:noWrap/>
            <w:vAlign w:val="center"/>
            <w:hideMark/>
          </w:tcPr>
          <w:p w14:paraId="2FDD5503" w14:textId="77777777" w:rsidR="006000AC" w:rsidRPr="006000AC" w:rsidRDefault="006000AC" w:rsidP="006000AC">
            <w:pPr>
              <w:spacing w:after="0"/>
              <w:jc w:val="center"/>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0</w:t>
            </w:r>
          </w:p>
        </w:tc>
        <w:tc>
          <w:tcPr>
            <w:tcW w:w="2400" w:type="dxa"/>
            <w:tcBorders>
              <w:top w:val="nil"/>
              <w:left w:val="nil"/>
              <w:bottom w:val="single" w:sz="4" w:space="0" w:color="808080"/>
              <w:right w:val="nil"/>
            </w:tcBorders>
            <w:shd w:val="clear" w:color="auto" w:fill="auto"/>
            <w:noWrap/>
            <w:vAlign w:val="bottom"/>
            <w:hideMark/>
          </w:tcPr>
          <w:p w14:paraId="59132875" w14:textId="77777777" w:rsidR="006000AC" w:rsidRPr="006000AC" w:rsidRDefault="006000AC" w:rsidP="006000AC">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bl>
    <w:p w14:paraId="756490E7" w14:textId="77777777" w:rsidR="006000AC" w:rsidRDefault="006000AC" w:rsidP="006000AC">
      <w:pPr>
        <w:spacing w:after="120"/>
        <w:rPr>
          <w:rFonts w:eastAsia="Arial Unicode MS" w:cstheme="minorHAnsi"/>
          <w:kern w:val="20"/>
          <w:sz w:val="20"/>
          <w:szCs w:val="18"/>
        </w:rPr>
        <w:sectPr w:rsidR="006000AC" w:rsidSect="0081126B">
          <w:pgSz w:w="16838" w:h="11906" w:orient="landscape"/>
          <w:pgMar w:top="1440" w:right="1440" w:bottom="1440" w:left="1440" w:header="708" w:footer="137" w:gutter="0"/>
          <w:cols w:space="708"/>
          <w:titlePg/>
          <w:docGrid w:linePitch="360"/>
        </w:sectPr>
      </w:pPr>
    </w:p>
    <w:p w14:paraId="120FB767" w14:textId="22A3376E" w:rsidR="00D52D8C" w:rsidRPr="0069575B" w:rsidRDefault="00D52D8C" w:rsidP="0069575B">
      <w:pPr>
        <w:spacing w:before="0" w:line="276" w:lineRule="auto"/>
        <w:rPr>
          <w:rFonts w:cs="Arial"/>
        </w:rPr>
      </w:pPr>
      <w:r>
        <w:rPr>
          <w:noProof/>
          <w:lang w:eastAsia="en-AU"/>
        </w:rPr>
        <w:lastRenderedPageBreak/>
        <w:t>For further information or assistance on the Local Jobs First policy and processes please contact:</w:t>
      </w:r>
    </w:p>
    <w:p w14:paraId="72A5EEB5" w14:textId="0C4907E1" w:rsidR="00D52D8C" w:rsidRDefault="00D52D8C" w:rsidP="00D52D8C">
      <w:pPr>
        <w:rPr>
          <w:noProof/>
          <w:lang w:eastAsia="en-AU"/>
        </w:rPr>
      </w:pPr>
      <w:r>
        <w:rPr>
          <w:noProof/>
          <w:lang w:eastAsia="en-AU"/>
        </w:rPr>
        <w:t xml:space="preserve">Department of </w:t>
      </w:r>
      <w:r w:rsidR="00A17E5B">
        <w:rPr>
          <w:noProof/>
          <w:lang w:eastAsia="en-AU"/>
        </w:rPr>
        <w:t xml:space="preserve">Jobs, Precincts and Regions </w:t>
      </w:r>
    </w:p>
    <w:p w14:paraId="62C37D14" w14:textId="77777777" w:rsidR="00D52D8C" w:rsidRDefault="00D52D8C" w:rsidP="00D52D8C">
      <w:pPr>
        <w:rPr>
          <w:noProof/>
          <w:lang w:eastAsia="en-AU"/>
        </w:rPr>
      </w:pPr>
      <w:r>
        <w:rPr>
          <w:noProof/>
          <w:lang w:eastAsia="en-AU"/>
        </w:rPr>
        <w:t>A: 121 Exhibition St, Melbourne, VIC, 3000</w:t>
      </w:r>
    </w:p>
    <w:p w14:paraId="00A254B1" w14:textId="77777777" w:rsidR="00D52D8C" w:rsidRDefault="00D52D8C" w:rsidP="00D52D8C">
      <w:pPr>
        <w:pBdr>
          <w:bottom w:val="single" w:sz="6" w:space="1" w:color="auto"/>
        </w:pBdr>
        <w:rPr>
          <w:noProof/>
          <w:lang w:eastAsia="en-AU"/>
        </w:rPr>
      </w:pPr>
      <w:r>
        <w:rPr>
          <w:noProof/>
          <w:lang w:eastAsia="en-AU"/>
        </w:rPr>
        <w:t xml:space="preserve">E: </w:t>
      </w:r>
      <w:hyperlink r:id="rId41" w:history="1">
        <w:r w:rsidRPr="000212B7">
          <w:rPr>
            <w:rStyle w:val="Hyperlink"/>
            <w:noProof/>
            <w:lang w:eastAsia="en-AU"/>
          </w:rPr>
          <w:t>localjobsfirst@ecodev.vic.gov.au</w:t>
        </w:r>
      </w:hyperlink>
      <w:r>
        <w:rPr>
          <w:noProof/>
          <w:lang w:eastAsia="en-AU"/>
        </w:rPr>
        <w:t xml:space="preserve"> </w:t>
      </w:r>
    </w:p>
    <w:p w14:paraId="6E97B768" w14:textId="77777777" w:rsidR="00D52D8C" w:rsidRDefault="00D52D8C" w:rsidP="00D52D8C">
      <w:pPr>
        <w:pBdr>
          <w:bottom w:val="single" w:sz="6" w:space="1" w:color="auto"/>
        </w:pBdr>
        <w:rPr>
          <w:noProof/>
          <w:lang w:eastAsia="en-AU"/>
        </w:rPr>
      </w:pPr>
      <w:r>
        <w:rPr>
          <w:noProof/>
          <w:lang w:eastAsia="en-AU"/>
        </w:rPr>
        <w:t xml:space="preserve">Ph: </w:t>
      </w:r>
      <w:r w:rsidRPr="0097590C">
        <w:rPr>
          <w:rFonts w:cs="Arial"/>
        </w:rPr>
        <w:t>13 22 15</w:t>
      </w:r>
    </w:p>
    <w:p w14:paraId="4D63F7F5" w14:textId="77777777" w:rsidR="00D52D8C" w:rsidRDefault="00D52D8C" w:rsidP="00D52D8C">
      <w:pPr>
        <w:pBdr>
          <w:bottom w:val="single" w:sz="6" w:space="1" w:color="auto"/>
        </w:pBdr>
        <w:rPr>
          <w:noProof/>
          <w:lang w:eastAsia="en-AU"/>
        </w:rPr>
      </w:pPr>
    </w:p>
    <w:p w14:paraId="0F2C5C08" w14:textId="77777777" w:rsidR="00D52D8C" w:rsidRDefault="00D52D8C" w:rsidP="00D52D8C">
      <w:pPr>
        <w:spacing w:before="0" w:after="0"/>
      </w:pPr>
    </w:p>
    <w:p w14:paraId="4D2BE9DA" w14:textId="7D58A664" w:rsidR="00D52D8C" w:rsidRDefault="00D52D8C" w:rsidP="00033108">
      <w:pPr>
        <w:spacing w:before="0" w:after="0"/>
      </w:pPr>
      <w:r w:rsidRPr="00E02831">
        <w:t>Authorised by the</w:t>
      </w:r>
      <w:r>
        <w:t xml:space="preserve"> </w:t>
      </w:r>
      <w:r w:rsidR="00033108">
        <w:t>Hon Martin Pakula</w:t>
      </w:r>
      <w:r w:rsidR="00A17E5B">
        <w:t xml:space="preserve"> MP</w:t>
      </w:r>
      <w:r w:rsidR="00033108">
        <w:t>,</w:t>
      </w:r>
      <w:r>
        <w:t xml:space="preserve"> </w:t>
      </w:r>
      <w:r w:rsidR="00924AD0">
        <w:t xml:space="preserve">Minister for Jobs, Innovation and </w:t>
      </w:r>
      <w:r w:rsidR="00033108">
        <w:t>Trade</w:t>
      </w:r>
    </w:p>
    <w:p w14:paraId="7814A54D" w14:textId="114477D8" w:rsidR="00033108" w:rsidRDefault="00033108" w:rsidP="00033108">
      <w:pPr>
        <w:spacing w:before="0" w:after="0"/>
      </w:pPr>
      <w:r>
        <w:t xml:space="preserve">May 2020 </w:t>
      </w:r>
    </w:p>
    <w:p w14:paraId="28B7229E" w14:textId="77777777" w:rsidR="00D52D8C" w:rsidRPr="00E02831" w:rsidRDefault="00D52D8C" w:rsidP="00D52D8C">
      <w:pPr>
        <w:spacing w:before="0" w:after="0"/>
      </w:pPr>
    </w:p>
    <w:p w14:paraId="14B7D9BF" w14:textId="4321E615" w:rsidR="00D52D8C" w:rsidRDefault="00924AD0" w:rsidP="00D52D8C">
      <w:pPr>
        <w:spacing w:before="0" w:after="0"/>
      </w:pPr>
      <w:r>
        <w:t>Department of Jobs, Precincts and Regions</w:t>
      </w:r>
      <w:r w:rsidR="00D52D8C" w:rsidRPr="00E02831">
        <w:br/>
        <w:t>1 Spring</w:t>
      </w:r>
      <w:r w:rsidR="00D52D8C">
        <w:t xml:space="preserve"> Street Melbourne Victoria 3000</w:t>
      </w:r>
    </w:p>
    <w:p w14:paraId="6C293FC3" w14:textId="77777777" w:rsidR="00D52D8C" w:rsidRPr="00E02831" w:rsidRDefault="00D52D8C" w:rsidP="00D52D8C">
      <w:pPr>
        <w:spacing w:before="0" w:after="0"/>
      </w:pPr>
    </w:p>
    <w:p w14:paraId="058011B5" w14:textId="77777777" w:rsidR="00D52D8C" w:rsidRDefault="00D52D8C" w:rsidP="00D52D8C">
      <w:pPr>
        <w:spacing w:before="0" w:after="0"/>
      </w:pPr>
      <w:r w:rsidRPr="00E02831">
        <w:t xml:space="preserve">© Copyright State of Victoria, </w:t>
      </w:r>
      <w:r w:rsidRPr="00E02831">
        <w:br/>
      </w:r>
    </w:p>
    <w:p w14:paraId="1D33F598" w14:textId="0684920B" w:rsidR="00D52D8C" w:rsidRDefault="00924AD0" w:rsidP="00D52D8C">
      <w:pPr>
        <w:spacing w:before="0" w:after="0"/>
      </w:pPr>
      <w:r>
        <w:t>Department of Jobs, Precincts and Regions</w:t>
      </w:r>
      <w:r w:rsidR="00D52D8C">
        <w:t xml:space="preserve"> 2018</w:t>
      </w:r>
    </w:p>
    <w:p w14:paraId="6D617B78" w14:textId="77777777" w:rsidR="00D52D8C" w:rsidRDefault="00D52D8C" w:rsidP="00D52D8C">
      <w:pPr>
        <w:spacing w:before="0" w:after="0"/>
      </w:pPr>
    </w:p>
    <w:p w14:paraId="4FCA8DB9" w14:textId="77777777" w:rsidR="00D52D8C" w:rsidRPr="00E02831" w:rsidRDefault="00D52D8C" w:rsidP="00D52D8C">
      <w:pPr>
        <w:spacing w:before="0" w:after="0"/>
      </w:pPr>
      <w:r w:rsidRPr="00E02831">
        <w:t>Except for any logos, emblems, trademarks, artwork and photography this document is made available under the terms of the Creative Commons Attribution 3.0 Australia license.</w:t>
      </w:r>
    </w:p>
    <w:p w14:paraId="28ABD809" w14:textId="77777777" w:rsidR="00D52D8C" w:rsidRDefault="00D52D8C" w:rsidP="00D52D8C">
      <w:pPr>
        <w:spacing w:before="0" w:after="0"/>
      </w:pPr>
    </w:p>
    <w:p w14:paraId="638BA556" w14:textId="77777777" w:rsidR="00D52D8C" w:rsidRDefault="00D52D8C" w:rsidP="00D52D8C">
      <w:pPr>
        <w:spacing w:before="0" w:after="0"/>
      </w:pPr>
      <w:r w:rsidRPr="00E02831">
        <w:t>This document is also available in an accessible format at</w:t>
      </w:r>
      <w:r>
        <w:t xml:space="preserve"> </w:t>
      </w:r>
      <w:hyperlink r:id="rId42" w:history="1">
        <w:r w:rsidRPr="00AB725B">
          <w:rPr>
            <w:rStyle w:val="Hyperlink"/>
          </w:rPr>
          <w:t>www.localjobsfirst.vic.gov.au</w:t>
        </w:r>
      </w:hyperlink>
    </w:p>
    <w:p w14:paraId="7F52CCCC" w14:textId="77777777" w:rsidR="00D52D8C" w:rsidRPr="00B14DDB" w:rsidRDefault="00D52D8C" w:rsidP="00D52D8C"/>
    <w:p w14:paraId="69F25E12" w14:textId="77777777" w:rsidR="00911084" w:rsidRPr="008974A5" w:rsidRDefault="00911084" w:rsidP="008974A5">
      <w:pPr>
        <w:spacing w:before="0" w:line="276" w:lineRule="auto"/>
        <w:rPr>
          <w:rFonts w:cs="Arial"/>
        </w:rPr>
      </w:pPr>
    </w:p>
    <w:sectPr w:rsidR="00911084" w:rsidRPr="008974A5" w:rsidSect="0081126B">
      <w:pgSz w:w="11906" w:h="16838"/>
      <w:pgMar w:top="1440" w:right="1440" w:bottom="1440" w:left="1440" w:header="708"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D067" w14:textId="77777777" w:rsidR="0058723C" w:rsidRDefault="0058723C" w:rsidP="00D96C1E">
      <w:r>
        <w:separator/>
      </w:r>
    </w:p>
    <w:p w14:paraId="5DD4D030" w14:textId="77777777" w:rsidR="0058723C" w:rsidRDefault="0058723C" w:rsidP="00D96C1E"/>
  </w:endnote>
  <w:endnote w:type="continuationSeparator" w:id="0">
    <w:p w14:paraId="694ECEEC" w14:textId="77777777" w:rsidR="0058723C" w:rsidRDefault="0058723C" w:rsidP="00D96C1E">
      <w:r>
        <w:continuationSeparator/>
      </w:r>
    </w:p>
    <w:p w14:paraId="0F65215C" w14:textId="77777777" w:rsidR="0058723C" w:rsidRDefault="0058723C"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978D" w14:textId="77777777" w:rsidR="006C6B66" w:rsidRDefault="006C6B66">
    <w:pPr>
      <w:pStyle w:val="Footer"/>
    </w:pPr>
    <w:r>
      <w:rPr>
        <w:noProof/>
      </w:rPr>
      <w:drawing>
        <wp:anchor distT="0" distB="0" distL="114300" distR="114300" simplePos="0" relativeHeight="251661312" behindDoc="0" locked="0" layoutInCell="1" allowOverlap="1" wp14:anchorId="070CCEFF" wp14:editId="1C8E9F88">
          <wp:simplePos x="0" y="0"/>
          <wp:positionH relativeFrom="column">
            <wp:posOffset>395288</wp:posOffset>
          </wp:positionH>
          <wp:positionV relativeFrom="paragraph">
            <wp:posOffset>-1007427</wp:posOffset>
          </wp:positionV>
          <wp:extent cx="3438525" cy="580973"/>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87201" cy="589197"/>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1" wp14:anchorId="39B232BE" wp14:editId="268ADF9A">
          <wp:simplePos x="0" y="0"/>
          <wp:positionH relativeFrom="column">
            <wp:posOffset>-14605</wp:posOffset>
          </wp:positionH>
          <wp:positionV relativeFrom="paragraph">
            <wp:posOffset>-1049973</wp:posOffset>
          </wp:positionV>
          <wp:extent cx="3443605" cy="542925"/>
          <wp:effectExtent l="0" t="0" r="4445" b="9525"/>
          <wp:wrapThrough wrapText="bothSides">
            <wp:wrapPolygon edited="0">
              <wp:start x="0" y="0"/>
              <wp:lineTo x="0" y="2274"/>
              <wp:lineTo x="1195" y="21221"/>
              <wp:lineTo x="3107" y="21221"/>
              <wp:lineTo x="8484" y="21221"/>
              <wp:lineTo x="21389" y="15158"/>
              <wp:lineTo x="21508" y="8337"/>
              <wp:lineTo x="21508" y="4547"/>
              <wp:lineTo x="1553" y="0"/>
              <wp:lineTo x="0" y="0"/>
            </wp:wrapPolygon>
          </wp:wrapThrough>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605" cy="5429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5A2F6C9" wp14:editId="38B0DD74">
          <wp:simplePos x="0" y="0"/>
          <wp:positionH relativeFrom="column">
            <wp:posOffset>-6985</wp:posOffset>
          </wp:positionH>
          <wp:positionV relativeFrom="paragraph">
            <wp:posOffset>-1664335</wp:posOffset>
          </wp:positionV>
          <wp:extent cx="2533650" cy="718820"/>
          <wp:effectExtent l="38100" t="514350" r="38100" b="519430"/>
          <wp:wrapThrough wrapText="bothSides">
            <wp:wrapPolygon edited="0">
              <wp:start x="21250" y="-845"/>
              <wp:lineTo x="16257" y="-9154"/>
              <wp:lineTo x="15147" y="-872"/>
              <wp:lineTo x="10154" y="-9182"/>
              <wp:lineTo x="9045" y="-899"/>
              <wp:lineTo x="4051" y="-9209"/>
              <wp:lineTo x="2942" y="-927"/>
              <wp:lineTo x="1473" y="-3371"/>
              <wp:lineTo x="176" y="-1731"/>
              <wp:lineTo x="-370" y="3690"/>
              <wp:lineTo x="-333" y="20843"/>
              <wp:lineTo x="254" y="21821"/>
              <wp:lineTo x="16747" y="22047"/>
              <wp:lineTo x="21605" y="20637"/>
              <wp:lineTo x="23306" y="2577"/>
              <wp:lineTo x="21837" y="133"/>
              <wp:lineTo x="21250" y="-845"/>
            </wp:wrapPolygon>
          </wp:wrapThrough>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20083578">
                    <a:off x="0" y="0"/>
                    <a:ext cx="2533650" cy="718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F64DC07" wp14:editId="6E97342E">
          <wp:simplePos x="0" y="0"/>
          <wp:positionH relativeFrom="column">
            <wp:posOffset>-14605</wp:posOffset>
          </wp:positionH>
          <wp:positionV relativeFrom="paragraph">
            <wp:posOffset>-1050290</wp:posOffset>
          </wp:positionV>
          <wp:extent cx="3443605" cy="542925"/>
          <wp:effectExtent l="0" t="0" r="4445" b="9525"/>
          <wp:wrapThrough wrapText="bothSides">
            <wp:wrapPolygon edited="0">
              <wp:start x="0" y="0"/>
              <wp:lineTo x="0" y="2274"/>
              <wp:lineTo x="1195" y="21221"/>
              <wp:lineTo x="3107" y="21221"/>
              <wp:lineTo x="8484" y="21221"/>
              <wp:lineTo x="21389" y="15158"/>
              <wp:lineTo x="21508" y="8337"/>
              <wp:lineTo x="21508" y="4547"/>
              <wp:lineTo x="1553" y="0"/>
              <wp:lineTo x="0" y="0"/>
            </wp:wrapPolygon>
          </wp:wrapThrough>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6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FAF4DDB" wp14:editId="39B9AB18">
          <wp:simplePos x="0" y="0"/>
          <wp:positionH relativeFrom="column">
            <wp:posOffset>923925</wp:posOffset>
          </wp:positionH>
          <wp:positionV relativeFrom="paragraph">
            <wp:posOffset>-897890</wp:posOffset>
          </wp:positionV>
          <wp:extent cx="2295525" cy="581025"/>
          <wp:effectExtent l="0" t="0" r="9525" b="9525"/>
          <wp:wrapThrough wrapText="bothSides">
            <wp:wrapPolygon edited="0">
              <wp:start x="0" y="0"/>
              <wp:lineTo x="0" y="21246"/>
              <wp:lineTo x="21510" y="21246"/>
              <wp:lineTo x="21510" y="0"/>
              <wp:lineTo x="0" y="0"/>
            </wp:wrapPolygon>
          </wp:wrapThrough>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5525" cy="581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81AA388" wp14:editId="22E57E3A">
          <wp:simplePos x="0" y="0"/>
          <wp:positionH relativeFrom="column">
            <wp:posOffset>156210</wp:posOffset>
          </wp:positionH>
          <wp:positionV relativeFrom="paragraph">
            <wp:posOffset>-1318895</wp:posOffset>
          </wp:positionV>
          <wp:extent cx="2533650" cy="718820"/>
          <wp:effectExtent l="38100" t="514350" r="38100" b="519430"/>
          <wp:wrapThrough wrapText="bothSides">
            <wp:wrapPolygon edited="0">
              <wp:start x="21250" y="-845"/>
              <wp:lineTo x="16257" y="-9154"/>
              <wp:lineTo x="15147" y="-872"/>
              <wp:lineTo x="10154" y="-9182"/>
              <wp:lineTo x="9045" y="-899"/>
              <wp:lineTo x="4051" y="-9209"/>
              <wp:lineTo x="2942" y="-927"/>
              <wp:lineTo x="1473" y="-3371"/>
              <wp:lineTo x="176" y="-1731"/>
              <wp:lineTo x="-370" y="3690"/>
              <wp:lineTo x="-333" y="20843"/>
              <wp:lineTo x="254" y="21821"/>
              <wp:lineTo x="16747" y="22047"/>
              <wp:lineTo x="21605" y="20637"/>
              <wp:lineTo x="23306" y="2577"/>
              <wp:lineTo x="21837" y="133"/>
              <wp:lineTo x="21250" y="-845"/>
            </wp:wrapPolygon>
          </wp:wrapThrough>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20083578">
                    <a:off x="0" y="0"/>
                    <a:ext cx="2533650" cy="718820"/>
                  </a:xfrm>
                  <a:prstGeom prst="rect">
                    <a:avLst/>
                  </a:prstGeom>
                </pic:spPr>
              </pic:pic>
            </a:graphicData>
          </a:graphic>
          <wp14:sizeRelH relativeFrom="page">
            <wp14:pctWidth>0</wp14:pctWidth>
          </wp14:sizeRelH>
          <wp14:sizeRelV relativeFrom="page">
            <wp14:pctHeight>0</wp14:pctHeight>
          </wp14:sizeRelV>
        </wp:anchor>
      </w:drawing>
    </w:r>
    <w:r>
      <w:rPr>
        <w:noProof/>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493961"/>
      <w:docPartObj>
        <w:docPartGallery w:val="Page Numbers (Bottom of Page)"/>
        <w:docPartUnique/>
      </w:docPartObj>
    </w:sdtPr>
    <w:sdtEndPr/>
    <w:sdtContent>
      <w:sdt>
        <w:sdtPr>
          <w:id w:val="991377789"/>
          <w:docPartObj>
            <w:docPartGallery w:val="Page Numbers (Top of Page)"/>
            <w:docPartUnique/>
          </w:docPartObj>
        </w:sdtPr>
        <w:sdtEndPr/>
        <w:sdtContent>
          <w:p w14:paraId="3F505809" w14:textId="77777777" w:rsidR="006C6B66" w:rsidRPr="00644924" w:rsidRDefault="006C6B66" w:rsidP="00D96C1E">
            <w:pPr>
              <w:pStyle w:val="Footer"/>
            </w:pPr>
          </w:p>
          <w:p w14:paraId="084E17DB" w14:textId="7B8380DD" w:rsidR="006C6B66" w:rsidRPr="00DA31A6" w:rsidRDefault="006C6B66" w:rsidP="00DA31A6">
            <w:pPr>
              <w:pStyle w:val="Footer"/>
              <w:rPr>
                <w:sz w:val="16"/>
                <w:szCs w:val="16"/>
              </w:rPr>
            </w:pPr>
            <w:r>
              <w:rPr>
                <w:rStyle w:val="FootnoteTextChar"/>
              </w:rPr>
              <w:t xml:space="preserve"> Local Jobs First Policy Supplier</w:t>
            </w:r>
            <w:r w:rsidRPr="00DA31A6">
              <w:rPr>
                <w:rStyle w:val="FootnoteTextChar"/>
              </w:rPr>
              <w:t xml:space="preserve"> Guidelines </w:t>
            </w:r>
            <w:r>
              <w:rPr>
                <w:rStyle w:val="FootnoteTextChar"/>
              </w:rPr>
              <w:t>–</w:t>
            </w:r>
            <w:r w:rsidR="00105604">
              <w:rPr>
                <w:rStyle w:val="FootnoteTextChar"/>
              </w:rPr>
              <w:t xml:space="preserve"> </w:t>
            </w:r>
            <w:r w:rsidR="00033108">
              <w:rPr>
                <w:rStyle w:val="FootnoteTextChar"/>
              </w:rPr>
              <w:t>May</w:t>
            </w:r>
            <w:r w:rsidR="00105604">
              <w:rPr>
                <w:rStyle w:val="FootnoteTextChar"/>
              </w:rPr>
              <w:t xml:space="preserve"> 2020</w:t>
            </w:r>
            <w:r w:rsidR="00DA63F8">
              <w:rPr>
                <w:rStyle w:val="FootnoteTextChar"/>
              </w:rPr>
              <w:t xml:space="preserve">        </w:t>
            </w:r>
            <w:r>
              <w:rPr>
                <w:sz w:val="16"/>
                <w:szCs w:val="16"/>
              </w:rPr>
              <w:tab/>
              <w:t xml:space="preserve">                                               </w:t>
            </w:r>
            <w:r w:rsidR="00105604">
              <w:rPr>
                <w:sz w:val="16"/>
                <w:szCs w:val="16"/>
              </w:rPr>
              <w:t xml:space="preserve">  </w:t>
            </w:r>
            <w:r>
              <w:rPr>
                <w:sz w:val="16"/>
                <w:szCs w:val="16"/>
              </w:rPr>
              <w:t xml:space="preserve">                                      </w:t>
            </w:r>
            <w:r w:rsidRPr="00921A00">
              <w:rPr>
                <w:rStyle w:val="PageNumber"/>
              </w:rPr>
              <w:fldChar w:fldCharType="begin"/>
            </w:r>
            <w:r w:rsidRPr="00921A00">
              <w:rPr>
                <w:rStyle w:val="PageNumber"/>
              </w:rPr>
              <w:instrText xml:space="preserve"> PAGE </w:instrText>
            </w:r>
            <w:r w:rsidRPr="00921A00">
              <w:rPr>
                <w:rStyle w:val="PageNumber"/>
              </w:rPr>
              <w:fldChar w:fldCharType="separate"/>
            </w:r>
            <w:r>
              <w:rPr>
                <w:rStyle w:val="PageNumber"/>
                <w:noProof/>
              </w:rPr>
              <w:t>2</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Pr>
                <w:rStyle w:val="PageNumber"/>
                <w:noProof/>
              </w:rPr>
              <w:t>4</w:t>
            </w:r>
            <w:r w:rsidRPr="00921A00">
              <w:rPr>
                <w:rStyle w:val="PageNumber"/>
              </w:rPr>
              <w:fldChar w:fldCharType="end"/>
            </w:r>
          </w:p>
          <w:p w14:paraId="36F5E415" w14:textId="77777777" w:rsidR="006C6B66" w:rsidRPr="00133F06" w:rsidRDefault="0058723C" w:rsidP="00D96C1E"/>
        </w:sdtContent>
      </w:sdt>
    </w:sdtContent>
  </w:sdt>
  <w:p w14:paraId="123BC3F6" w14:textId="07031256" w:rsidR="006C6B66" w:rsidRDefault="00DA63F8" w:rsidP="00DA63F8">
    <w:pPr>
      <w:pStyle w:val="Footer"/>
      <w:tabs>
        <w:tab w:val="clear" w:pos="4320"/>
        <w:tab w:val="clear" w:pos="8640"/>
        <w:tab w:val="left" w:pos="3804"/>
      </w:tabs>
    </w:pPr>
    <w:r>
      <w:tab/>
    </w:r>
  </w:p>
  <w:p w14:paraId="19D96F0A" w14:textId="77777777" w:rsidR="006C6B66" w:rsidRDefault="006C6B66"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A6D5" w14:textId="77777777" w:rsidR="0058723C" w:rsidRDefault="0058723C" w:rsidP="00D96C1E">
      <w:r>
        <w:separator/>
      </w:r>
    </w:p>
    <w:p w14:paraId="0E7CFF97" w14:textId="77777777" w:rsidR="0058723C" w:rsidRDefault="0058723C" w:rsidP="00D96C1E"/>
  </w:footnote>
  <w:footnote w:type="continuationSeparator" w:id="0">
    <w:p w14:paraId="1FF09C7E" w14:textId="77777777" w:rsidR="0058723C" w:rsidRDefault="0058723C" w:rsidP="00D96C1E">
      <w:r>
        <w:continuationSeparator/>
      </w:r>
    </w:p>
    <w:p w14:paraId="6CB046A4" w14:textId="77777777" w:rsidR="0058723C" w:rsidRDefault="0058723C" w:rsidP="00D96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8247" w14:textId="77777777" w:rsidR="006C6B66" w:rsidRDefault="006C6B66">
    <w:pPr>
      <w:pStyle w:val="Header"/>
    </w:pPr>
    <w:r w:rsidRPr="0047003A">
      <w:rPr>
        <w:rStyle w:val="TitleChar"/>
      </w:rPr>
      <w:t xml:space="preserve"> </w:t>
    </w:r>
    <w:r w:rsidRPr="0047003A">
      <w:rPr>
        <w:rStyle w:val="TitleChar"/>
      </w:rPr>
      <w:drawing>
        <wp:anchor distT="0" distB="0" distL="114300" distR="114300" simplePos="0" relativeHeight="251654144" behindDoc="1" locked="0" layoutInCell="1" allowOverlap="1" wp14:anchorId="24331649" wp14:editId="6746A757">
          <wp:simplePos x="0" y="0"/>
          <wp:positionH relativeFrom="column">
            <wp:posOffset>-914400</wp:posOffset>
          </wp:positionH>
          <wp:positionV relativeFrom="paragraph">
            <wp:posOffset>-446405</wp:posOffset>
          </wp:positionV>
          <wp:extent cx="7558745" cy="10690225"/>
          <wp:effectExtent l="0" t="0" r="10795" b="317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rotWithShape="1">
                  <a:blip r:embed="rId1" cstate="print">
                    <a:extLst>
                      <a:ext uri="{28A0092B-C50C-407E-A947-70E740481C1C}">
                        <a14:useLocalDpi xmlns:a14="http://schemas.microsoft.com/office/drawing/2010/main" val="0"/>
                      </a:ext>
                    </a:extLst>
                  </a:blip>
                  <a:srcRect l="122" t="172" r="-122" b="-172"/>
                  <a:stretch/>
                </pic:blipFill>
                <pic:spPr bwMode="auto">
                  <a:xfrm>
                    <a:off x="0" y="0"/>
                    <a:ext cx="7559040" cy="106906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971B" w14:textId="7B5C93C2" w:rsidR="006C6B66" w:rsidRDefault="006C6B66" w:rsidP="0081126B">
    <w:pPr>
      <w:tabs>
        <w:tab w:val="left" w:pos="1646"/>
      </w:tabs>
    </w:pPr>
    <w:r>
      <w:rPr>
        <w:noProof/>
        <w:lang w:val="en-GB" w:eastAsia="en-GB"/>
      </w:rPr>
      <w:drawing>
        <wp:anchor distT="0" distB="0" distL="114300" distR="114300" simplePos="0" relativeHeight="251653120" behindDoc="1" locked="0" layoutInCell="1" allowOverlap="1" wp14:anchorId="6CE8F87E" wp14:editId="59284DFC">
          <wp:simplePos x="0" y="0"/>
          <wp:positionH relativeFrom="column">
            <wp:posOffset>-914400</wp:posOffset>
          </wp:positionH>
          <wp:positionV relativeFrom="paragraph">
            <wp:posOffset>-460508</wp:posOffset>
          </wp:positionV>
          <wp:extent cx="7560000" cy="1069200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al Jobs First - A4 Report Covers (Word)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7545" w14:textId="69DE9F5D" w:rsidR="006C6B66" w:rsidRPr="00644924" w:rsidRDefault="006C6B66" w:rsidP="00644924">
    <w:r>
      <w:rPr>
        <w:noProof/>
        <w:lang w:val="en-GB" w:eastAsia="en-GB"/>
      </w:rPr>
      <w:drawing>
        <wp:anchor distT="0" distB="0" distL="114300" distR="114300" simplePos="0" relativeHeight="251658240" behindDoc="1" locked="0" layoutInCell="1" allowOverlap="1" wp14:anchorId="3B12FEDC" wp14:editId="72D3771D">
          <wp:simplePos x="0" y="0"/>
          <wp:positionH relativeFrom="column">
            <wp:posOffset>-903280</wp:posOffset>
          </wp:positionH>
          <wp:positionV relativeFrom="paragraph">
            <wp:posOffset>-446242</wp:posOffset>
          </wp:positionV>
          <wp:extent cx="75600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al Jobs First - A4 Report Covers (Word)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67E"/>
    <w:multiLevelType w:val="hybridMultilevel"/>
    <w:tmpl w:val="34D4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16A23"/>
    <w:multiLevelType w:val="hybridMultilevel"/>
    <w:tmpl w:val="7D8AB9DC"/>
    <w:lvl w:ilvl="0" w:tplc="43E04B24">
      <w:start w:val="1"/>
      <w:numFmt w:val="decimal"/>
      <w:lvlText w:val="%1."/>
      <w:lvlJc w:val="left"/>
      <w:pPr>
        <w:ind w:left="360" w:hanging="360"/>
      </w:pPr>
      <w:rPr>
        <w:rFonts w:asciiTheme="minorHAnsi" w:hAnsiTheme="minorHAnsi" w:cstheme="minorHAnsi"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E62"/>
    <w:multiLevelType w:val="hybridMultilevel"/>
    <w:tmpl w:val="7E1EE728"/>
    <w:lvl w:ilvl="0" w:tplc="04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B6BEE"/>
    <w:multiLevelType w:val="hybridMultilevel"/>
    <w:tmpl w:val="7D8AB9DC"/>
    <w:lvl w:ilvl="0" w:tplc="43E04B24">
      <w:start w:val="1"/>
      <w:numFmt w:val="decimal"/>
      <w:lvlText w:val="%1."/>
      <w:lvlJc w:val="left"/>
      <w:pPr>
        <w:ind w:left="720" w:hanging="360"/>
      </w:pPr>
      <w:rPr>
        <w:rFonts w:asciiTheme="minorHAnsi" w:hAnsiTheme="minorHAnsi" w:cstheme="minorHAnsi"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B1A38"/>
    <w:multiLevelType w:val="hybridMultilevel"/>
    <w:tmpl w:val="C12C5E80"/>
    <w:lvl w:ilvl="0" w:tplc="9B14C6B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4F74ECC"/>
    <w:multiLevelType w:val="hybridMultilevel"/>
    <w:tmpl w:val="2340A71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637AAE"/>
    <w:multiLevelType w:val="hybridMultilevel"/>
    <w:tmpl w:val="6AC8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A1C9C"/>
    <w:multiLevelType w:val="hybridMultilevel"/>
    <w:tmpl w:val="61DEDB06"/>
    <w:lvl w:ilvl="0" w:tplc="0414CD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53339C"/>
    <w:multiLevelType w:val="hybridMultilevel"/>
    <w:tmpl w:val="9254233A"/>
    <w:lvl w:ilvl="0" w:tplc="EB8AB74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8E0524"/>
    <w:multiLevelType w:val="hybridMultilevel"/>
    <w:tmpl w:val="BED4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003A1B"/>
    <w:multiLevelType w:val="hybridMultilevel"/>
    <w:tmpl w:val="AFF02B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44B81C46"/>
    <w:multiLevelType w:val="hybridMultilevel"/>
    <w:tmpl w:val="23365752"/>
    <w:lvl w:ilvl="0" w:tplc="43E04B24">
      <w:start w:val="1"/>
      <w:numFmt w:val="decimal"/>
      <w:lvlText w:val="%1."/>
      <w:lvlJc w:val="left"/>
      <w:pPr>
        <w:ind w:left="360" w:hanging="360"/>
      </w:pPr>
      <w:rPr>
        <w:rFonts w:asciiTheme="minorHAnsi" w:hAnsiTheme="minorHAnsi" w:cstheme="minorHAnsi"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2E20DF"/>
    <w:multiLevelType w:val="hybridMultilevel"/>
    <w:tmpl w:val="78B65C1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AC0ACE"/>
    <w:multiLevelType w:val="hybridMultilevel"/>
    <w:tmpl w:val="54AEFC0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Light"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41E50"/>
    <w:multiLevelType w:val="hybridMultilevel"/>
    <w:tmpl w:val="05C21E8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C0735CB"/>
    <w:multiLevelType w:val="hybridMultilevel"/>
    <w:tmpl w:val="B4743B1E"/>
    <w:lvl w:ilvl="0" w:tplc="04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546DD"/>
    <w:multiLevelType w:val="hybridMultilevel"/>
    <w:tmpl w:val="9FC4C0C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63224D8D"/>
    <w:multiLevelType w:val="hybridMultilevel"/>
    <w:tmpl w:val="B7A266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89A1BF6"/>
    <w:multiLevelType w:val="hybridMultilevel"/>
    <w:tmpl w:val="AFDACC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8E032E9"/>
    <w:multiLevelType w:val="hybridMultilevel"/>
    <w:tmpl w:val="A6A0E6E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0542F2"/>
    <w:multiLevelType w:val="multilevel"/>
    <w:tmpl w:val="0CC41B6A"/>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F82587"/>
    <w:multiLevelType w:val="hybridMultilevel"/>
    <w:tmpl w:val="5C467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656A79"/>
    <w:multiLevelType w:val="hybridMultilevel"/>
    <w:tmpl w:val="F844E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E167BE"/>
    <w:multiLevelType w:val="hybridMultilevel"/>
    <w:tmpl w:val="E5FA23CE"/>
    <w:lvl w:ilvl="0" w:tplc="0C090001">
      <w:start w:val="1"/>
      <w:numFmt w:val="bullet"/>
      <w:lvlText w:val=""/>
      <w:lvlJc w:val="left"/>
      <w:pPr>
        <w:ind w:left="720" w:hanging="360"/>
      </w:pPr>
      <w:rPr>
        <w:rFonts w:ascii="Symbol" w:hAnsi="Symbol"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19191A"/>
    <w:multiLevelType w:val="hybridMultilevel"/>
    <w:tmpl w:val="71680FAA"/>
    <w:lvl w:ilvl="0" w:tplc="CC1E161E">
      <w:start w:val="1"/>
      <w:numFmt w:val="decimal"/>
      <w:lvlText w:val="%1."/>
      <w:lvlJc w:val="left"/>
      <w:pPr>
        <w:ind w:left="360" w:hanging="360"/>
      </w:pPr>
      <w:rPr>
        <w:rFonts w:hint="default"/>
        <w:b w:val="0"/>
        <w:color w:val="53565A"/>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B677D0"/>
    <w:multiLevelType w:val="hybridMultilevel"/>
    <w:tmpl w:val="54AEFC0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A722B64"/>
    <w:multiLevelType w:val="hybridMultilevel"/>
    <w:tmpl w:val="C4AA3AC0"/>
    <w:lvl w:ilvl="0" w:tplc="836C6188">
      <w:start w:val="1"/>
      <w:numFmt w:val="bullet"/>
      <w:pStyle w:val="dotpoints"/>
      <w:lvlText w:val=""/>
      <w:lvlJc w:val="left"/>
      <w:pPr>
        <w:ind w:left="-1146" w:hanging="360"/>
      </w:pPr>
      <w:rPr>
        <w:rFonts w:ascii="Symbol" w:hAnsi="Symbol" w:hint="default"/>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294" w:hanging="360"/>
      </w:pPr>
      <w:rPr>
        <w:rFonts w:ascii="Wingdings" w:hAnsi="Wingdings" w:hint="default"/>
      </w:rPr>
    </w:lvl>
    <w:lvl w:ilvl="3" w:tplc="0C090001" w:tentative="1">
      <w:start w:val="1"/>
      <w:numFmt w:val="bullet"/>
      <w:lvlText w:val=""/>
      <w:lvlJc w:val="left"/>
      <w:pPr>
        <w:ind w:left="1014" w:hanging="360"/>
      </w:pPr>
      <w:rPr>
        <w:rFonts w:ascii="Symbol" w:hAnsi="Symbol" w:hint="default"/>
      </w:rPr>
    </w:lvl>
    <w:lvl w:ilvl="4" w:tplc="0C090003" w:tentative="1">
      <w:start w:val="1"/>
      <w:numFmt w:val="bullet"/>
      <w:lvlText w:val="o"/>
      <w:lvlJc w:val="left"/>
      <w:pPr>
        <w:ind w:left="1734" w:hanging="360"/>
      </w:pPr>
      <w:rPr>
        <w:rFonts w:ascii="Courier New" w:hAnsi="Courier New" w:cs="Courier New" w:hint="default"/>
      </w:rPr>
    </w:lvl>
    <w:lvl w:ilvl="5" w:tplc="0C090005" w:tentative="1">
      <w:start w:val="1"/>
      <w:numFmt w:val="bullet"/>
      <w:lvlText w:val=""/>
      <w:lvlJc w:val="left"/>
      <w:pPr>
        <w:ind w:left="2454" w:hanging="360"/>
      </w:pPr>
      <w:rPr>
        <w:rFonts w:ascii="Wingdings" w:hAnsi="Wingdings" w:hint="default"/>
      </w:rPr>
    </w:lvl>
    <w:lvl w:ilvl="6" w:tplc="0C090001" w:tentative="1">
      <w:start w:val="1"/>
      <w:numFmt w:val="bullet"/>
      <w:lvlText w:val=""/>
      <w:lvlJc w:val="left"/>
      <w:pPr>
        <w:ind w:left="3174" w:hanging="360"/>
      </w:pPr>
      <w:rPr>
        <w:rFonts w:ascii="Symbol" w:hAnsi="Symbol" w:hint="default"/>
      </w:rPr>
    </w:lvl>
    <w:lvl w:ilvl="7" w:tplc="0C090003" w:tentative="1">
      <w:start w:val="1"/>
      <w:numFmt w:val="bullet"/>
      <w:lvlText w:val="o"/>
      <w:lvlJc w:val="left"/>
      <w:pPr>
        <w:ind w:left="3894" w:hanging="360"/>
      </w:pPr>
      <w:rPr>
        <w:rFonts w:ascii="Courier New" w:hAnsi="Courier New" w:cs="Courier New" w:hint="default"/>
      </w:rPr>
    </w:lvl>
    <w:lvl w:ilvl="8" w:tplc="0C090005" w:tentative="1">
      <w:start w:val="1"/>
      <w:numFmt w:val="bullet"/>
      <w:lvlText w:val=""/>
      <w:lvlJc w:val="left"/>
      <w:pPr>
        <w:ind w:left="4614" w:hanging="360"/>
      </w:pPr>
      <w:rPr>
        <w:rFonts w:ascii="Wingdings" w:hAnsi="Wingdings" w:hint="default"/>
      </w:rPr>
    </w:lvl>
  </w:abstractNum>
  <w:abstractNum w:abstractNumId="31" w15:restartNumberingAfterBreak="0">
    <w:nsid w:val="7AAA1A5F"/>
    <w:multiLevelType w:val="hybridMultilevel"/>
    <w:tmpl w:val="A5F0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4855C9"/>
    <w:multiLevelType w:val="hybridMultilevel"/>
    <w:tmpl w:val="2340A71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24"/>
  </w:num>
  <w:num w:numId="3">
    <w:abstractNumId w:val="12"/>
  </w:num>
  <w:num w:numId="4">
    <w:abstractNumId w:val="17"/>
  </w:num>
  <w:num w:numId="5">
    <w:abstractNumId w:val="30"/>
  </w:num>
  <w:num w:numId="6">
    <w:abstractNumId w:val="29"/>
  </w:num>
  <w:num w:numId="7">
    <w:abstractNumId w:val="4"/>
  </w:num>
  <w:num w:numId="8">
    <w:abstractNumId w:val="2"/>
  </w:num>
  <w:num w:numId="9">
    <w:abstractNumId w:val="19"/>
  </w:num>
  <w:num w:numId="10">
    <w:abstractNumId w:val="3"/>
  </w:num>
  <w:num w:numId="11">
    <w:abstractNumId w:val="20"/>
  </w:num>
  <w:num w:numId="12">
    <w:abstractNumId w:val="25"/>
  </w:num>
  <w:num w:numId="13">
    <w:abstractNumId w:val="13"/>
  </w:num>
  <w:num w:numId="14">
    <w:abstractNumId w:val="23"/>
  </w:num>
  <w:num w:numId="15">
    <w:abstractNumId w:val="21"/>
  </w:num>
  <w:num w:numId="16">
    <w:abstractNumId w:val="32"/>
  </w:num>
  <w:num w:numId="17">
    <w:abstractNumId w:val="8"/>
  </w:num>
  <w:num w:numId="18">
    <w:abstractNumId w:val="9"/>
  </w:num>
  <w:num w:numId="19">
    <w:abstractNumId w:val="26"/>
  </w:num>
  <w:num w:numId="20">
    <w:abstractNumId w:val="31"/>
  </w:num>
  <w:num w:numId="21">
    <w:abstractNumId w:val="1"/>
  </w:num>
  <w:num w:numId="22">
    <w:abstractNumId w:val="15"/>
  </w:num>
  <w:num w:numId="23">
    <w:abstractNumId w:val="14"/>
  </w:num>
  <w:num w:numId="24">
    <w:abstractNumId w:val="8"/>
  </w:num>
  <w:num w:numId="25">
    <w:abstractNumId w:val="18"/>
  </w:num>
  <w:num w:numId="26">
    <w:abstractNumId w:val="22"/>
  </w:num>
  <w:num w:numId="27">
    <w:abstractNumId w:val="11"/>
  </w:num>
  <w:num w:numId="28">
    <w:abstractNumId w:val="7"/>
  </w:num>
  <w:num w:numId="29">
    <w:abstractNumId w:val="0"/>
  </w:num>
  <w:num w:numId="30">
    <w:abstractNumId w:val="6"/>
  </w:num>
  <w:num w:numId="31">
    <w:abstractNumId w:val="10"/>
  </w:num>
  <w:num w:numId="32">
    <w:abstractNumId w:val="24"/>
  </w:num>
  <w:num w:numId="33">
    <w:abstractNumId w:val="24"/>
  </w:num>
  <w:num w:numId="34">
    <w:abstractNumId w:val="24"/>
  </w:num>
  <w:num w:numId="35">
    <w:abstractNumId w:val="8"/>
  </w:num>
  <w:num w:numId="36">
    <w:abstractNumId w:val="8"/>
  </w:num>
  <w:num w:numId="37">
    <w:abstractNumId w:val="5"/>
  </w:num>
  <w:num w:numId="38">
    <w:abstractNumId w:val="8"/>
  </w:num>
  <w:num w:numId="39">
    <w:abstractNumId w:val="8"/>
  </w:num>
  <w:num w:numId="40">
    <w:abstractNumId w:val="27"/>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2CE"/>
    <w:rsid w:val="000012F6"/>
    <w:rsid w:val="00002075"/>
    <w:rsid w:val="0000762E"/>
    <w:rsid w:val="00010E9A"/>
    <w:rsid w:val="00011C70"/>
    <w:rsid w:val="0001373D"/>
    <w:rsid w:val="00014167"/>
    <w:rsid w:val="00015556"/>
    <w:rsid w:val="000161B2"/>
    <w:rsid w:val="00021B93"/>
    <w:rsid w:val="00025116"/>
    <w:rsid w:val="0003037F"/>
    <w:rsid w:val="00030E30"/>
    <w:rsid w:val="00033108"/>
    <w:rsid w:val="00034053"/>
    <w:rsid w:val="000347E6"/>
    <w:rsid w:val="000347EC"/>
    <w:rsid w:val="0004322F"/>
    <w:rsid w:val="00043A61"/>
    <w:rsid w:val="00044DC5"/>
    <w:rsid w:val="00046CA1"/>
    <w:rsid w:val="00047FE9"/>
    <w:rsid w:val="000526A8"/>
    <w:rsid w:val="00053A35"/>
    <w:rsid w:val="00053AFB"/>
    <w:rsid w:val="00055580"/>
    <w:rsid w:val="000577B8"/>
    <w:rsid w:val="00060302"/>
    <w:rsid w:val="00060333"/>
    <w:rsid w:val="00060FE5"/>
    <w:rsid w:val="000635C1"/>
    <w:rsid w:val="0006473D"/>
    <w:rsid w:val="00065BD1"/>
    <w:rsid w:val="00066158"/>
    <w:rsid w:val="000664EC"/>
    <w:rsid w:val="00067A56"/>
    <w:rsid w:val="00070516"/>
    <w:rsid w:val="00072676"/>
    <w:rsid w:val="00075EEC"/>
    <w:rsid w:val="00077CDB"/>
    <w:rsid w:val="000809CD"/>
    <w:rsid w:val="000817BA"/>
    <w:rsid w:val="00081D6D"/>
    <w:rsid w:val="000830CF"/>
    <w:rsid w:val="00083F3A"/>
    <w:rsid w:val="00084A17"/>
    <w:rsid w:val="00084F7B"/>
    <w:rsid w:val="000852EB"/>
    <w:rsid w:val="00086288"/>
    <w:rsid w:val="00091A30"/>
    <w:rsid w:val="00095F1E"/>
    <w:rsid w:val="00096A9E"/>
    <w:rsid w:val="00096E90"/>
    <w:rsid w:val="000A1ABE"/>
    <w:rsid w:val="000A31CB"/>
    <w:rsid w:val="000A4565"/>
    <w:rsid w:val="000A4CE2"/>
    <w:rsid w:val="000B0E61"/>
    <w:rsid w:val="000B1CA4"/>
    <w:rsid w:val="000B1D2B"/>
    <w:rsid w:val="000B2BD7"/>
    <w:rsid w:val="000B3D05"/>
    <w:rsid w:val="000B3DE1"/>
    <w:rsid w:val="000B4CEE"/>
    <w:rsid w:val="000B5CE2"/>
    <w:rsid w:val="000C5D3A"/>
    <w:rsid w:val="000C73C3"/>
    <w:rsid w:val="000D1B81"/>
    <w:rsid w:val="000E1A75"/>
    <w:rsid w:val="000E31AD"/>
    <w:rsid w:val="000E4390"/>
    <w:rsid w:val="000E6172"/>
    <w:rsid w:val="000E6548"/>
    <w:rsid w:val="000E6632"/>
    <w:rsid w:val="000F0296"/>
    <w:rsid w:val="000F0D7A"/>
    <w:rsid w:val="000F22BD"/>
    <w:rsid w:val="000F3F4E"/>
    <w:rsid w:val="000F4541"/>
    <w:rsid w:val="000F756F"/>
    <w:rsid w:val="000F7643"/>
    <w:rsid w:val="00101B96"/>
    <w:rsid w:val="0010279F"/>
    <w:rsid w:val="00104F29"/>
    <w:rsid w:val="00105604"/>
    <w:rsid w:val="001068D6"/>
    <w:rsid w:val="00106B24"/>
    <w:rsid w:val="00107699"/>
    <w:rsid w:val="00112C4E"/>
    <w:rsid w:val="00114301"/>
    <w:rsid w:val="0011440C"/>
    <w:rsid w:val="00115BF9"/>
    <w:rsid w:val="001162DD"/>
    <w:rsid w:val="00121E2B"/>
    <w:rsid w:val="00123C2B"/>
    <w:rsid w:val="0012519A"/>
    <w:rsid w:val="001266CB"/>
    <w:rsid w:val="00126C66"/>
    <w:rsid w:val="00133F06"/>
    <w:rsid w:val="00135B6F"/>
    <w:rsid w:val="00135F13"/>
    <w:rsid w:val="00136A03"/>
    <w:rsid w:val="00136F67"/>
    <w:rsid w:val="001410EE"/>
    <w:rsid w:val="001417FE"/>
    <w:rsid w:val="00142606"/>
    <w:rsid w:val="001447E8"/>
    <w:rsid w:val="0015196A"/>
    <w:rsid w:val="0015454C"/>
    <w:rsid w:val="00154DAD"/>
    <w:rsid w:val="00155BB6"/>
    <w:rsid w:val="00156A9B"/>
    <w:rsid w:val="00160DF6"/>
    <w:rsid w:val="00162799"/>
    <w:rsid w:val="00162CEF"/>
    <w:rsid w:val="00164461"/>
    <w:rsid w:val="00164687"/>
    <w:rsid w:val="00164987"/>
    <w:rsid w:val="00166869"/>
    <w:rsid w:val="00167CD4"/>
    <w:rsid w:val="0017334F"/>
    <w:rsid w:val="00176A41"/>
    <w:rsid w:val="001774D2"/>
    <w:rsid w:val="00181199"/>
    <w:rsid w:val="001815A8"/>
    <w:rsid w:val="00182A4E"/>
    <w:rsid w:val="00182E50"/>
    <w:rsid w:val="001856B3"/>
    <w:rsid w:val="0018571F"/>
    <w:rsid w:val="001858C2"/>
    <w:rsid w:val="00186B61"/>
    <w:rsid w:val="00187A90"/>
    <w:rsid w:val="00187CBA"/>
    <w:rsid w:val="00190A16"/>
    <w:rsid w:val="00191D95"/>
    <w:rsid w:val="00195C22"/>
    <w:rsid w:val="001A3ED9"/>
    <w:rsid w:val="001A57F5"/>
    <w:rsid w:val="001A653B"/>
    <w:rsid w:val="001A710A"/>
    <w:rsid w:val="001B0BAA"/>
    <w:rsid w:val="001B207A"/>
    <w:rsid w:val="001B3C37"/>
    <w:rsid w:val="001B7756"/>
    <w:rsid w:val="001C22DB"/>
    <w:rsid w:val="001C7236"/>
    <w:rsid w:val="001C767B"/>
    <w:rsid w:val="001D08EC"/>
    <w:rsid w:val="001D32CE"/>
    <w:rsid w:val="001D5B36"/>
    <w:rsid w:val="001E04C5"/>
    <w:rsid w:val="001E60E7"/>
    <w:rsid w:val="001E61FC"/>
    <w:rsid w:val="001F0590"/>
    <w:rsid w:val="001F0A49"/>
    <w:rsid w:val="001F3D25"/>
    <w:rsid w:val="001F522C"/>
    <w:rsid w:val="001F537A"/>
    <w:rsid w:val="001F65BD"/>
    <w:rsid w:val="001F6830"/>
    <w:rsid w:val="001F76F6"/>
    <w:rsid w:val="001F7FE5"/>
    <w:rsid w:val="00201623"/>
    <w:rsid w:val="00204263"/>
    <w:rsid w:val="00206D24"/>
    <w:rsid w:val="002105E9"/>
    <w:rsid w:val="00211649"/>
    <w:rsid w:val="00211D53"/>
    <w:rsid w:val="0021262D"/>
    <w:rsid w:val="002134DE"/>
    <w:rsid w:val="00213764"/>
    <w:rsid w:val="00217B5F"/>
    <w:rsid w:val="0022061D"/>
    <w:rsid w:val="00220ED0"/>
    <w:rsid w:val="002224C9"/>
    <w:rsid w:val="00222CCC"/>
    <w:rsid w:val="00223DCF"/>
    <w:rsid w:val="00223E14"/>
    <w:rsid w:val="002242C8"/>
    <w:rsid w:val="002256F1"/>
    <w:rsid w:val="00227893"/>
    <w:rsid w:val="00232329"/>
    <w:rsid w:val="00232AE9"/>
    <w:rsid w:val="00232BA4"/>
    <w:rsid w:val="00233238"/>
    <w:rsid w:val="002342D1"/>
    <w:rsid w:val="00234607"/>
    <w:rsid w:val="00240644"/>
    <w:rsid w:val="00241850"/>
    <w:rsid w:val="00241EF6"/>
    <w:rsid w:val="0024312A"/>
    <w:rsid w:val="00244657"/>
    <w:rsid w:val="00247338"/>
    <w:rsid w:val="002521B0"/>
    <w:rsid w:val="00252F96"/>
    <w:rsid w:val="002541E8"/>
    <w:rsid w:val="002545CF"/>
    <w:rsid w:val="00254ACB"/>
    <w:rsid w:val="00256270"/>
    <w:rsid w:val="00263C06"/>
    <w:rsid w:val="00265CFC"/>
    <w:rsid w:val="00267FB6"/>
    <w:rsid w:val="00270384"/>
    <w:rsid w:val="00270CB2"/>
    <w:rsid w:val="0027105F"/>
    <w:rsid w:val="002710F4"/>
    <w:rsid w:val="002715B1"/>
    <w:rsid w:val="0027234C"/>
    <w:rsid w:val="00274B0A"/>
    <w:rsid w:val="002753E3"/>
    <w:rsid w:val="00275C41"/>
    <w:rsid w:val="00276240"/>
    <w:rsid w:val="00277A1E"/>
    <w:rsid w:val="00282478"/>
    <w:rsid w:val="00282660"/>
    <w:rsid w:val="00283F1D"/>
    <w:rsid w:val="002848F0"/>
    <w:rsid w:val="0029061F"/>
    <w:rsid w:val="00291710"/>
    <w:rsid w:val="00291CBA"/>
    <w:rsid w:val="00292254"/>
    <w:rsid w:val="002939D4"/>
    <w:rsid w:val="00294079"/>
    <w:rsid w:val="00294DCD"/>
    <w:rsid w:val="002956EE"/>
    <w:rsid w:val="002A03FC"/>
    <w:rsid w:val="002A0FCB"/>
    <w:rsid w:val="002A166F"/>
    <w:rsid w:val="002A3131"/>
    <w:rsid w:val="002A47D2"/>
    <w:rsid w:val="002A56CF"/>
    <w:rsid w:val="002A72B2"/>
    <w:rsid w:val="002A74A0"/>
    <w:rsid w:val="002A7F01"/>
    <w:rsid w:val="002B0A79"/>
    <w:rsid w:val="002B1588"/>
    <w:rsid w:val="002B38ED"/>
    <w:rsid w:val="002B4864"/>
    <w:rsid w:val="002B5841"/>
    <w:rsid w:val="002C15D4"/>
    <w:rsid w:val="002C2A66"/>
    <w:rsid w:val="002C2F1F"/>
    <w:rsid w:val="002C51C8"/>
    <w:rsid w:val="002C7715"/>
    <w:rsid w:val="002D3492"/>
    <w:rsid w:val="002D44DE"/>
    <w:rsid w:val="002D5B90"/>
    <w:rsid w:val="002D7D17"/>
    <w:rsid w:val="002E04F8"/>
    <w:rsid w:val="002E146F"/>
    <w:rsid w:val="002E3C2C"/>
    <w:rsid w:val="002E5848"/>
    <w:rsid w:val="002E5DC7"/>
    <w:rsid w:val="002E6993"/>
    <w:rsid w:val="002E7336"/>
    <w:rsid w:val="002F1BEF"/>
    <w:rsid w:val="002F23FC"/>
    <w:rsid w:val="002F415B"/>
    <w:rsid w:val="00300D80"/>
    <w:rsid w:val="0030151F"/>
    <w:rsid w:val="00301F55"/>
    <w:rsid w:val="00311E13"/>
    <w:rsid w:val="00313E78"/>
    <w:rsid w:val="00315AFF"/>
    <w:rsid w:val="003165D6"/>
    <w:rsid w:val="00316FE0"/>
    <w:rsid w:val="003219ED"/>
    <w:rsid w:val="00321DC3"/>
    <w:rsid w:val="003221E1"/>
    <w:rsid w:val="00322A75"/>
    <w:rsid w:val="00322AE7"/>
    <w:rsid w:val="003336BD"/>
    <w:rsid w:val="00334B90"/>
    <w:rsid w:val="0033770A"/>
    <w:rsid w:val="00337E00"/>
    <w:rsid w:val="00337F5A"/>
    <w:rsid w:val="0034707F"/>
    <w:rsid w:val="00350D38"/>
    <w:rsid w:val="00350DFF"/>
    <w:rsid w:val="00351206"/>
    <w:rsid w:val="00353D57"/>
    <w:rsid w:val="0035644D"/>
    <w:rsid w:val="0035794C"/>
    <w:rsid w:val="003603BD"/>
    <w:rsid w:val="003611C6"/>
    <w:rsid w:val="003627AB"/>
    <w:rsid w:val="003628E3"/>
    <w:rsid w:val="00365306"/>
    <w:rsid w:val="00366A97"/>
    <w:rsid w:val="0036721D"/>
    <w:rsid w:val="0037505B"/>
    <w:rsid w:val="00375F08"/>
    <w:rsid w:val="003800AB"/>
    <w:rsid w:val="0038136B"/>
    <w:rsid w:val="0038297E"/>
    <w:rsid w:val="00384E91"/>
    <w:rsid w:val="00387ED4"/>
    <w:rsid w:val="00391092"/>
    <w:rsid w:val="00391152"/>
    <w:rsid w:val="00391912"/>
    <w:rsid w:val="00391A43"/>
    <w:rsid w:val="00392276"/>
    <w:rsid w:val="0039297A"/>
    <w:rsid w:val="0039666F"/>
    <w:rsid w:val="003A00E9"/>
    <w:rsid w:val="003B07A4"/>
    <w:rsid w:val="003B31C0"/>
    <w:rsid w:val="003B37BD"/>
    <w:rsid w:val="003B4F2D"/>
    <w:rsid w:val="003C2462"/>
    <w:rsid w:val="003C473A"/>
    <w:rsid w:val="003C57F8"/>
    <w:rsid w:val="003C6117"/>
    <w:rsid w:val="003D168F"/>
    <w:rsid w:val="003D1828"/>
    <w:rsid w:val="003D44AD"/>
    <w:rsid w:val="003D5E22"/>
    <w:rsid w:val="003E25C4"/>
    <w:rsid w:val="003E2AAF"/>
    <w:rsid w:val="003E5438"/>
    <w:rsid w:val="003E55B0"/>
    <w:rsid w:val="003E690A"/>
    <w:rsid w:val="003E746F"/>
    <w:rsid w:val="003F1807"/>
    <w:rsid w:val="003F38A1"/>
    <w:rsid w:val="003F425B"/>
    <w:rsid w:val="003F47EF"/>
    <w:rsid w:val="003F4E31"/>
    <w:rsid w:val="003F5EC1"/>
    <w:rsid w:val="003F6999"/>
    <w:rsid w:val="0040267C"/>
    <w:rsid w:val="004029B5"/>
    <w:rsid w:val="00403079"/>
    <w:rsid w:val="004030F6"/>
    <w:rsid w:val="004033C4"/>
    <w:rsid w:val="004037EF"/>
    <w:rsid w:val="004043AD"/>
    <w:rsid w:val="00405C41"/>
    <w:rsid w:val="00410E07"/>
    <w:rsid w:val="00412227"/>
    <w:rsid w:val="00412DDB"/>
    <w:rsid w:val="00414268"/>
    <w:rsid w:val="00416967"/>
    <w:rsid w:val="00421E8D"/>
    <w:rsid w:val="00422F1C"/>
    <w:rsid w:val="00424609"/>
    <w:rsid w:val="00424EF2"/>
    <w:rsid w:val="00430A5F"/>
    <w:rsid w:val="00431CED"/>
    <w:rsid w:val="004355A3"/>
    <w:rsid w:val="00435FCF"/>
    <w:rsid w:val="004371F6"/>
    <w:rsid w:val="00440DF0"/>
    <w:rsid w:val="0044374D"/>
    <w:rsid w:val="00446947"/>
    <w:rsid w:val="00446F55"/>
    <w:rsid w:val="004477B6"/>
    <w:rsid w:val="00447AD3"/>
    <w:rsid w:val="00450BF1"/>
    <w:rsid w:val="0045176B"/>
    <w:rsid w:val="0045334A"/>
    <w:rsid w:val="004602BE"/>
    <w:rsid w:val="004602DE"/>
    <w:rsid w:val="004621A0"/>
    <w:rsid w:val="00465683"/>
    <w:rsid w:val="0047003A"/>
    <w:rsid w:val="00480BC0"/>
    <w:rsid w:val="00482377"/>
    <w:rsid w:val="00482ED0"/>
    <w:rsid w:val="00486566"/>
    <w:rsid w:val="004876B6"/>
    <w:rsid w:val="004A147F"/>
    <w:rsid w:val="004A30A4"/>
    <w:rsid w:val="004A49F9"/>
    <w:rsid w:val="004A4BE2"/>
    <w:rsid w:val="004A604F"/>
    <w:rsid w:val="004A759D"/>
    <w:rsid w:val="004B2B78"/>
    <w:rsid w:val="004B37C7"/>
    <w:rsid w:val="004B3C74"/>
    <w:rsid w:val="004B3FC2"/>
    <w:rsid w:val="004B5783"/>
    <w:rsid w:val="004B6AB9"/>
    <w:rsid w:val="004B7077"/>
    <w:rsid w:val="004C1775"/>
    <w:rsid w:val="004C308A"/>
    <w:rsid w:val="004C36E8"/>
    <w:rsid w:val="004C4418"/>
    <w:rsid w:val="004C481F"/>
    <w:rsid w:val="004C5942"/>
    <w:rsid w:val="004C75F7"/>
    <w:rsid w:val="004D6259"/>
    <w:rsid w:val="004D653B"/>
    <w:rsid w:val="004E28FD"/>
    <w:rsid w:val="004E79BE"/>
    <w:rsid w:val="004F1E91"/>
    <w:rsid w:val="004F34A8"/>
    <w:rsid w:val="004F506D"/>
    <w:rsid w:val="004F758E"/>
    <w:rsid w:val="005001F0"/>
    <w:rsid w:val="00502746"/>
    <w:rsid w:val="00502987"/>
    <w:rsid w:val="00502B16"/>
    <w:rsid w:val="00505B4C"/>
    <w:rsid w:val="00506A93"/>
    <w:rsid w:val="005079D0"/>
    <w:rsid w:val="00510334"/>
    <w:rsid w:val="005104E6"/>
    <w:rsid w:val="0051313E"/>
    <w:rsid w:val="00515C48"/>
    <w:rsid w:val="005163FE"/>
    <w:rsid w:val="005173B0"/>
    <w:rsid w:val="00520CA7"/>
    <w:rsid w:val="00523C7B"/>
    <w:rsid w:val="00526B89"/>
    <w:rsid w:val="005276EB"/>
    <w:rsid w:val="00527DF4"/>
    <w:rsid w:val="00530B8F"/>
    <w:rsid w:val="00530D1D"/>
    <w:rsid w:val="00534668"/>
    <w:rsid w:val="005361C1"/>
    <w:rsid w:val="005366DE"/>
    <w:rsid w:val="00537646"/>
    <w:rsid w:val="00537F3D"/>
    <w:rsid w:val="0054071A"/>
    <w:rsid w:val="00541239"/>
    <w:rsid w:val="00542874"/>
    <w:rsid w:val="00543315"/>
    <w:rsid w:val="00545D01"/>
    <w:rsid w:val="00547E05"/>
    <w:rsid w:val="00550810"/>
    <w:rsid w:val="00550F9E"/>
    <w:rsid w:val="0055227E"/>
    <w:rsid w:val="0055245D"/>
    <w:rsid w:val="005542E8"/>
    <w:rsid w:val="0055443C"/>
    <w:rsid w:val="00555385"/>
    <w:rsid w:val="005556BE"/>
    <w:rsid w:val="005571C4"/>
    <w:rsid w:val="00557392"/>
    <w:rsid w:val="00562138"/>
    <w:rsid w:val="005656A1"/>
    <w:rsid w:val="00566BDD"/>
    <w:rsid w:val="00570DB9"/>
    <w:rsid w:val="00571BE5"/>
    <w:rsid w:val="005727A6"/>
    <w:rsid w:val="00576152"/>
    <w:rsid w:val="00577361"/>
    <w:rsid w:val="00581272"/>
    <w:rsid w:val="00581FC2"/>
    <w:rsid w:val="00585115"/>
    <w:rsid w:val="005852DF"/>
    <w:rsid w:val="00585E05"/>
    <w:rsid w:val="005862EC"/>
    <w:rsid w:val="0058723C"/>
    <w:rsid w:val="00587DD0"/>
    <w:rsid w:val="00591895"/>
    <w:rsid w:val="00591B34"/>
    <w:rsid w:val="00591BC6"/>
    <w:rsid w:val="00597498"/>
    <w:rsid w:val="00597A4D"/>
    <w:rsid w:val="005A0804"/>
    <w:rsid w:val="005B0813"/>
    <w:rsid w:val="005B5910"/>
    <w:rsid w:val="005C081F"/>
    <w:rsid w:val="005C3BE3"/>
    <w:rsid w:val="005C4123"/>
    <w:rsid w:val="005C5457"/>
    <w:rsid w:val="005C6255"/>
    <w:rsid w:val="005D244B"/>
    <w:rsid w:val="005D3271"/>
    <w:rsid w:val="005D3545"/>
    <w:rsid w:val="005D4B13"/>
    <w:rsid w:val="005E2188"/>
    <w:rsid w:val="005E2B84"/>
    <w:rsid w:val="005E2EE1"/>
    <w:rsid w:val="005E5DF8"/>
    <w:rsid w:val="005F19B6"/>
    <w:rsid w:val="005F64D5"/>
    <w:rsid w:val="005F655D"/>
    <w:rsid w:val="006000AC"/>
    <w:rsid w:val="0060402D"/>
    <w:rsid w:val="00604524"/>
    <w:rsid w:val="00604787"/>
    <w:rsid w:val="006048E8"/>
    <w:rsid w:val="00604D7C"/>
    <w:rsid w:val="00606B49"/>
    <w:rsid w:val="006121FA"/>
    <w:rsid w:val="0061408A"/>
    <w:rsid w:val="006153DB"/>
    <w:rsid w:val="00617162"/>
    <w:rsid w:val="006174DA"/>
    <w:rsid w:val="006237F6"/>
    <w:rsid w:val="00625114"/>
    <w:rsid w:val="00625131"/>
    <w:rsid w:val="00626761"/>
    <w:rsid w:val="0062760A"/>
    <w:rsid w:val="00627BC8"/>
    <w:rsid w:val="00630BF1"/>
    <w:rsid w:val="0063138C"/>
    <w:rsid w:val="0063318C"/>
    <w:rsid w:val="00634067"/>
    <w:rsid w:val="006373CD"/>
    <w:rsid w:val="00640695"/>
    <w:rsid w:val="00641BD7"/>
    <w:rsid w:val="00642390"/>
    <w:rsid w:val="006445F1"/>
    <w:rsid w:val="00644924"/>
    <w:rsid w:val="00644A85"/>
    <w:rsid w:val="00645383"/>
    <w:rsid w:val="0064636E"/>
    <w:rsid w:val="00647B79"/>
    <w:rsid w:val="006507A5"/>
    <w:rsid w:val="00652667"/>
    <w:rsid w:val="006539CB"/>
    <w:rsid w:val="00653DD4"/>
    <w:rsid w:val="00654C1F"/>
    <w:rsid w:val="00655A37"/>
    <w:rsid w:val="00657B2A"/>
    <w:rsid w:val="00662D2C"/>
    <w:rsid w:val="00663DD7"/>
    <w:rsid w:val="0066456D"/>
    <w:rsid w:val="00664592"/>
    <w:rsid w:val="006664B6"/>
    <w:rsid w:val="00667A40"/>
    <w:rsid w:val="00671878"/>
    <w:rsid w:val="00675077"/>
    <w:rsid w:val="00677E57"/>
    <w:rsid w:val="0068140E"/>
    <w:rsid w:val="006831D4"/>
    <w:rsid w:val="00683810"/>
    <w:rsid w:val="00684DC0"/>
    <w:rsid w:val="00687148"/>
    <w:rsid w:val="006875FB"/>
    <w:rsid w:val="006905F9"/>
    <w:rsid w:val="00693BCB"/>
    <w:rsid w:val="0069575B"/>
    <w:rsid w:val="00695D98"/>
    <w:rsid w:val="00696044"/>
    <w:rsid w:val="00696640"/>
    <w:rsid w:val="006A130B"/>
    <w:rsid w:val="006A15BF"/>
    <w:rsid w:val="006A2FFA"/>
    <w:rsid w:val="006A4825"/>
    <w:rsid w:val="006A4A45"/>
    <w:rsid w:val="006A51BC"/>
    <w:rsid w:val="006A6607"/>
    <w:rsid w:val="006A6F2F"/>
    <w:rsid w:val="006B28A3"/>
    <w:rsid w:val="006B778A"/>
    <w:rsid w:val="006C0F74"/>
    <w:rsid w:val="006C0FEB"/>
    <w:rsid w:val="006C3285"/>
    <w:rsid w:val="006C59EF"/>
    <w:rsid w:val="006C6B66"/>
    <w:rsid w:val="006C7DEC"/>
    <w:rsid w:val="006D7228"/>
    <w:rsid w:val="006E35D7"/>
    <w:rsid w:val="006E43A7"/>
    <w:rsid w:val="006E6610"/>
    <w:rsid w:val="006E6885"/>
    <w:rsid w:val="006F01F2"/>
    <w:rsid w:val="006F0E7E"/>
    <w:rsid w:val="006F0ECE"/>
    <w:rsid w:val="006F16A0"/>
    <w:rsid w:val="006F1AA2"/>
    <w:rsid w:val="006F20F3"/>
    <w:rsid w:val="006F2450"/>
    <w:rsid w:val="006F481F"/>
    <w:rsid w:val="006F6006"/>
    <w:rsid w:val="006F6135"/>
    <w:rsid w:val="006F6E52"/>
    <w:rsid w:val="00700B64"/>
    <w:rsid w:val="00701534"/>
    <w:rsid w:val="00702A26"/>
    <w:rsid w:val="00703138"/>
    <w:rsid w:val="00704AF9"/>
    <w:rsid w:val="00706185"/>
    <w:rsid w:val="0070730A"/>
    <w:rsid w:val="00707F05"/>
    <w:rsid w:val="00710763"/>
    <w:rsid w:val="007121EE"/>
    <w:rsid w:val="00713573"/>
    <w:rsid w:val="00714597"/>
    <w:rsid w:val="00716177"/>
    <w:rsid w:val="00720471"/>
    <w:rsid w:val="0072078F"/>
    <w:rsid w:val="0072425B"/>
    <w:rsid w:val="00724531"/>
    <w:rsid w:val="0072773B"/>
    <w:rsid w:val="00730369"/>
    <w:rsid w:val="00730AE5"/>
    <w:rsid w:val="00734911"/>
    <w:rsid w:val="00735B94"/>
    <w:rsid w:val="00736172"/>
    <w:rsid w:val="00736983"/>
    <w:rsid w:val="007373C8"/>
    <w:rsid w:val="00740629"/>
    <w:rsid w:val="007431E7"/>
    <w:rsid w:val="007444DD"/>
    <w:rsid w:val="00744DCC"/>
    <w:rsid w:val="00747C75"/>
    <w:rsid w:val="00751B62"/>
    <w:rsid w:val="00751FB5"/>
    <w:rsid w:val="00752812"/>
    <w:rsid w:val="00757795"/>
    <w:rsid w:val="007646AA"/>
    <w:rsid w:val="00767D3B"/>
    <w:rsid w:val="00770803"/>
    <w:rsid w:val="0077109F"/>
    <w:rsid w:val="00771777"/>
    <w:rsid w:val="00772C3A"/>
    <w:rsid w:val="00774E13"/>
    <w:rsid w:val="007837EC"/>
    <w:rsid w:val="00785D9C"/>
    <w:rsid w:val="00786FCA"/>
    <w:rsid w:val="00791442"/>
    <w:rsid w:val="00792D8C"/>
    <w:rsid w:val="0079317D"/>
    <w:rsid w:val="00793E72"/>
    <w:rsid w:val="007944BA"/>
    <w:rsid w:val="00797D25"/>
    <w:rsid w:val="007A0490"/>
    <w:rsid w:val="007A17E9"/>
    <w:rsid w:val="007A3A02"/>
    <w:rsid w:val="007A418E"/>
    <w:rsid w:val="007A41B2"/>
    <w:rsid w:val="007A58EE"/>
    <w:rsid w:val="007A5E5B"/>
    <w:rsid w:val="007B0941"/>
    <w:rsid w:val="007B1191"/>
    <w:rsid w:val="007B1700"/>
    <w:rsid w:val="007B2947"/>
    <w:rsid w:val="007B4719"/>
    <w:rsid w:val="007C1B93"/>
    <w:rsid w:val="007C3E79"/>
    <w:rsid w:val="007C4A38"/>
    <w:rsid w:val="007C743E"/>
    <w:rsid w:val="007C793F"/>
    <w:rsid w:val="007D05D6"/>
    <w:rsid w:val="007D5350"/>
    <w:rsid w:val="007D7EF0"/>
    <w:rsid w:val="007E00BD"/>
    <w:rsid w:val="007E01B3"/>
    <w:rsid w:val="007E2807"/>
    <w:rsid w:val="007E747A"/>
    <w:rsid w:val="007E7583"/>
    <w:rsid w:val="007F46BF"/>
    <w:rsid w:val="007F47BD"/>
    <w:rsid w:val="007F6572"/>
    <w:rsid w:val="008027EC"/>
    <w:rsid w:val="00804CF2"/>
    <w:rsid w:val="00805E7C"/>
    <w:rsid w:val="008103DA"/>
    <w:rsid w:val="0081126B"/>
    <w:rsid w:val="008133B6"/>
    <w:rsid w:val="008136E2"/>
    <w:rsid w:val="00814852"/>
    <w:rsid w:val="00814984"/>
    <w:rsid w:val="008151D9"/>
    <w:rsid w:val="008175BE"/>
    <w:rsid w:val="008213C9"/>
    <w:rsid w:val="00821D06"/>
    <w:rsid w:val="0082227B"/>
    <w:rsid w:val="008237A0"/>
    <w:rsid w:val="0082484E"/>
    <w:rsid w:val="0082671D"/>
    <w:rsid w:val="00831A6F"/>
    <w:rsid w:val="008324B1"/>
    <w:rsid w:val="00835EBC"/>
    <w:rsid w:val="008400D0"/>
    <w:rsid w:val="00840CFE"/>
    <w:rsid w:val="00844C78"/>
    <w:rsid w:val="00853DBD"/>
    <w:rsid w:val="00854677"/>
    <w:rsid w:val="00854A39"/>
    <w:rsid w:val="00855D60"/>
    <w:rsid w:val="008571B4"/>
    <w:rsid w:val="00860960"/>
    <w:rsid w:val="00862CF6"/>
    <w:rsid w:val="00862FEE"/>
    <w:rsid w:val="00863286"/>
    <w:rsid w:val="008643B2"/>
    <w:rsid w:val="00864B2F"/>
    <w:rsid w:val="00870BCD"/>
    <w:rsid w:val="008711F3"/>
    <w:rsid w:val="0087121B"/>
    <w:rsid w:val="008715E4"/>
    <w:rsid w:val="00871830"/>
    <w:rsid w:val="008730BD"/>
    <w:rsid w:val="008734DE"/>
    <w:rsid w:val="00873886"/>
    <w:rsid w:val="00874163"/>
    <w:rsid w:val="00877147"/>
    <w:rsid w:val="00882859"/>
    <w:rsid w:val="00883AA6"/>
    <w:rsid w:val="00887C62"/>
    <w:rsid w:val="00892F06"/>
    <w:rsid w:val="008943C2"/>
    <w:rsid w:val="008974A5"/>
    <w:rsid w:val="008A4209"/>
    <w:rsid w:val="008A51EA"/>
    <w:rsid w:val="008B078C"/>
    <w:rsid w:val="008B0ACB"/>
    <w:rsid w:val="008B4914"/>
    <w:rsid w:val="008B7EFF"/>
    <w:rsid w:val="008C7049"/>
    <w:rsid w:val="008D102E"/>
    <w:rsid w:val="008D14DF"/>
    <w:rsid w:val="008D15DB"/>
    <w:rsid w:val="008D3A6D"/>
    <w:rsid w:val="008D461B"/>
    <w:rsid w:val="008D6BC5"/>
    <w:rsid w:val="008E34C0"/>
    <w:rsid w:val="008E3674"/>
    <w:rsid w:val="008E45EE"/>
    <w:rsid w:val="008E4A82"/>
    <w:rsid w:val="008E7B02"/>
    <w:rsid w:val="008F00BD"/>
    <w:rsid w:val="008F0CAD"/>
    <w:rsid w:val="008F5F94"/>
    <w:rsid w:val="008F740A"/>
    <w:rsid w:val="00900CAD"/>
    <w:rsid w:val="00901E52"/>
    <w:rsid w:val="009026D0"/>
    <w:rsid w:val="0090399C"/>
    <w:rsid w:val="00903F12"/>
    <w:rsid w:val="00905615"/>
    <w:rsid w:val="009065C1"/>
    <w:rsid w:val="00907F21"/>
    <w:rsid w:val="00911084"/>
    <w:rsid w:val="0091151B"/>
    <w:rsid w:val="009119FD"/>
    <w:rsid w:val="00912ACA"/>
    <w:rsid w:val="00913117"/>
    <w:rsid w:val="00913BD5"/>
    <w:rsid w:val="00914548"/>
    <w:rsid w:val="00914E64"/>
    <w:rsid w:val="00921A00"/>
    <w:rsid w:val="00924AD0"/>
    <w:rsid w:val="00925B6F"/>
    <w:rsid w:val="0093205D"/>
    <w:rsid w:val="0093227A"/>
    <w:rsid w:val="009327E1"/>
    <w:rsid w:val="00933E50"/>
    <w:rsid w:val="0093585C"/>
    <w:rsid w:val="00942086"/>
    <w:rsid w:val="009426CC"/>
    <w:rsid w:val="009433A2"/>
    <w:rsid w:val="00943B8B"/>
    <w:rsid w:val="00945770"/>
    <w:rsid w:val="009473E2"/>
    <w:rsid w:val="009503A3"/>
    <w:rsid w:val="00952098"/>
    <w:rsid w:val="009539B3"/>
    <w:rsid w:val="00955490"/>
    <w:rsid w:val="00956C33"/>
    <w:rsid w:val="009608C7"/>
    <w:rsid w:val="00961253"/>
    <w:rsid w:val="00961C45"/>
    <w:rsid w:val="00961E35"/>
    <w:rsid w:val="00962C2C"/>
    <w:rsid w:val="009646D0"/>
    <w:rsid w:val="00965A99"/>
    <w:rsid w:val="00965E6E"/>
    <w:rsid w:val="009675E0"/>
    <w:rsid w:val="009736CF"/>
    <w:rsid w:val="00974135"/>
    <w:rsid w:val="00974DF9"/>
    <w:rsid w:val="00975F0E"/>
    <w:rsid w:val="009801C7"/>
    <w:rsid w:val="009805E3"/>
    <w:rsid w:val="00981541"/>
    <w:rsid w:val="00983FCB"/>
    <w:rsid w:val="00990081"/>
    <w:rsid w:val="0099181E"/>
    <w:rsid w:val="009960AA"/>
    <w:rsid w:val="00996825"/>
    <w:rsid w:val="00997A34"/>
    <w:rsid w:val="009A2F3D"/>
    <w:rsid w:val="009A39FF"/>
    <w:rsid w:val="009A6377"/>
    <w:rsid w:val="009A6518"/>
    <w:rsid w:val="009B079D"/>
    <w:rsid w:val="009C061F"/>
    <w:rsid w:val="009C27E2"/>
    <w:rsid w:val="009C2EAA"/>
    <w:rsid w:val="009C7542"/>
    <w:rsid w:val="009D0838"/>
    <w:rsid w:val="009D2FAD"/>
    <w:rsid w:val="009D44FC"/>
    <w:rsid w:val="009D5D80"/>
    <w:rsid w:val="009E019B"/>
    <w:rsid w:val="009E0976"/>
    <w:rsid w:val="009E31B9"/>
    <w:rsid w:val="009E692C"/>
    <w:rsid w:val="009E737D"/>
    <w:rsid w:val="009F0986"/>
    <w:rsid w:val="009F0CD2"/>
    <w:rsid w:val="009F3DC5"/>
    <w:rsid w:val="009F554A"/>
    <w:rsid w:val="009F78C5"/>
    <w:rsid w:val="00A00B17"/>
    <w:rsid w:val="00A013D3"/>
    <w:rsid w:val="00A01777"/>
    <w:rsid w:val="00A0363C"/>
    <w:rsid w:val="00A0487D"/>
    <w:rsid w:val="00A0687D"/>
    <w:rsid w:val="00A108CD"/>
    <w:rsid w:val="00A11752"/>
    <w:rsid w:val="00A1590C"/>
    <w:rsid w:val="00A17C5F"/>
    <w:rsid w:val="00A17E5B"/>
    <w:rsid w:val="00A22BC5"/>
    <w:rsid w:val="00A22F97"/>
    <w:rsid w:val="00A26288"/>
    <w:rsid w:val="00A2752A"/>
    <w:rsid w:val="00A31BA5"/>
    <w:rsid w:val="00A32FC8"/>
    <w:rsid w:val="00A34096"/>
    <w:rsid w:val="00A379AD"/>
    <w:rsid w:val="00A37BA0"/>
    <w:rsid w:val="00A4118E"/>
    <w:rsid w:val="00A417C7"/>
    <w:rsid w:val="00A41A0F"/>
    <w:rsid w:val="00A43439"/>
    <w:rsid w:val="00A4536D"/>
    <w:rsid w:val="00A45C3F"/>
    <w:rsid w:val="00A465E3"/>
    <w:rsid w:val="00A52815"/>
    <w:rsid w:val="00A529EA"/>
    <w:rsid w:val="00A529ED"/>
    <w:rsid w:val="00A53F75"/>
    <w:rsid w:val="00A60F6B"/>
    <w:rsid w:val="00A6196F"/>
    <w:rsid w:val="00A62DBE"/>
    <w:rsid w:val="00A6777A"/>
    <w:rsid w:val="00A70C14"/>
    <w:rsid w:val="00A71749"/>
    <w:rsid w:val="00A718F5"/>
    <w:rsid w:val="00A71B1D"/>
    <w:rsid w:val="00A74327"/>
    <w:rsid w:val="00A74D13"/>
    <w:rsid w:val="00A75599"/>
    <w:rsid w:val="00A765A8"/>
    <w:rsid w:val="00A804CA"/>
    <w:rsid w:val="00A807ED"/>
    <w:rsid w:val="00A85274"/>
    <w:rsid w:val="00A90F68"/>
    <w:rsid w:val="00A9221F"/>
    <w:rsid w:val="00A94CD5"/>
    <w:rsid w:val="00AA1196"/>
    <w:rsid w:val="00AA18C4"/>
    <w:rsid w:val="00AA1C79"/>
    <w:rsid w:val="00AA44D7"/>
    <w:rsid w:val="00AA5AA8"/>
    <w:rsid w:val="00AA716A"/>
    <w:rsid w:val="00AB0161"/>
    <w:rsid w:val="00AB0406"/>
    <w:rsid w:val="00AB19FB"/>
    <w:rsid w:val="00AB1D65"/>
    <w:rsid w:val="00AB2CC9"/>
    <w:rsid w:val="00AB2CD7"/>
    <w:rsid w:val="00AB2E25"/>
    <w:rsid w:val="00AB7696"/>
    <w:rsid w:val="00AC4925"/>
    <w:rsid w:val="00AD211E"/>
    <w:rsid w:val="00AD582D"/>
    <w:rsid w:val="00AD6D47"/>
    <w:rsid w:val="00AD7309"/>
    <w:rsid w:val="00AE25A6"/>
    <w:rsid w:val="00AE6758"/>
    <w:rsid w:val="00AF152C"/>
    <w:rsid w:val="00AF1A04"/>
    <w:rsid w:val="00AF4321"/>
    <w:rsid w:val="00AF4AB8"/>
    <w:rsid w:val="00AF6DFD"/>
    <w:rsid w:val="00AF7DFE"/>
    <w:rsid w:val="00B003CD"/>
    <w:rsid w:val="00B0166D"/>
    <w:rsid w:val="00B060E9"/>
    <w:rsid w:val="00B102D3"/>
    <w:rsid w:val="00B11F94"/>
    <w:rsid w:val="00B14DDB"/>
    <w:rsid w:val="00B15058"/>
    <w:rsid w:val="00B1665F"/>
    <w:rsid w:val="00B204F1"/>
    <w:rsid w:val="00B21CDB"/>
    <w:rsid w:val="00B21F9B"/>
    <w:rsid w:val="00B2269E"/>
    <w:rsid w:val="00B32573"/>
    <w:rsid w:val="00B33D08"/>
    <w:rsid w:val="00B349EC"/>
    <w:rsid w:val="00B36265"/>
    <w:rsid w:val="00B407F1"/>
    <w:rsid w:val="00B41AE9"/>
    <w:rsid w:val="00B41B87"/>
    <w:rsid w:val="00B42FAB"/>
    <w:rsid w:val="00B4578E"/>
    <w:rsid w:val="00B50059"/>
    <w:rsid w:val="00B5046E"/>
    <w:rsid w:val="00B52A8A"/>
    <w:rsid w:val="00B57FB5"/>
    <w:rsid w:val="00B61880"/>
    <w:rsid w:val="00B62A2A"/>
    <w:rsid w:val="00B63B43"/>
    <w:rsid w:val="00B63D2B"/>
    <w:rsid w:val="00B71016"/>
    <w:rsid w:val="00B7143F"/>
    <w:rsid w:val="00B74454"/>
    <w:rsid w:val="00B80B99"/>
    <w:rsid w:val="00B836AA"/>
    <w:rsid w:val="00B83FEC"/>
    <w:rsid w:val="00B863CD"/>
    <w:rsid w:val="00B938A7"/>
    <w:rsid w:val="00B93FD6"/>
    <w:rsid w:val="00B9600F"/>
    <w:rsid w:val="00B969A3"/>
    <w:rsid w:val="00B973D6"/>
    <w:rsid w:val="00B973EE"/>
    <w:rsid w:val="00BA08CC"/>
    <w:rsid w:val="00BA1E78"/>
    <w:rsid w:val="00BA390F"/>
    <w:rsid w:val="00BA626F"/>
    <w:rsid w:val="00BA70A6"/>
    <w:rsid w:val="00BA7AFC"/>
    <w:rsid w:val="00BB1FB1"/>
    <w:rsid w:val="00BB4BAD"/>
    <w:rsid w:val="00BB7079"/>
    <w:rsid w:val="00BC4ABE"/>
    <w:rsid w:val="00BC4B89"/>
    <w:rsid w:val="00BC6027"/>
    <w:rsid w:val="00BC73E5"/>
    <w:rsid w:val="00BD0D0F"/>
    <w:rsid w:val="00BD1B21"/>
    <w:rsid w:val="00BD633B"/>
    <w:rsid w:val="00BE06A6"/>
    <w:rsid w:val="00BE0796"/>
    <w:rsid w:val="00BE131F"/>
    <w:rsid w:val="00BE153E"/>
    <w:rsid w:val="00BE4354"/>
    <w:rsid w:val="00BE4634"/>
    <w:rsid w:val="00BF1DA0"/>
    <w:rsid w:val="00BF2BA6"/>
    <w:rsid w:val="00BF533D"/>
    <w:rsid w:val="00BF56C6"/>
    <w:rsid w:val="00C00E6B"/>
    <w:rsid w:val="00C0347C"/>
    <w:rsid w:val="00C1130B"/>
    <w:rsid w:val="00C122E4"/>
    <w:rsid w:val="00C20717"/>
    <w:rsid w:val="00C275C5"/>
    <w:rsid w:val="00C43B9E"/>
    <w:rsid w:val="00C45BCD"/>
    <w:rsid w:val="00C4673A"/>
    <w:rsid w:val="00C46773"/>
    <w:rsid w:val="00C51573"/>
    <w:rsid w:val="00C52ABA"/>
    <w:rsid w:val="00C54603"/>
    <w:rsid w:val="00C61B53"/>
    <w:rsid w:val="00C62D10"/>
    <w:rsid w:val="00C67102"/>
    <w:rsid w:val="00C73282"/>
    <w:rsid w:val="00C73ADA"/>
    <w:rsid w:val="00C7559A"/>
    <w:rsid w:val="00C80E10"/>
    <w:rsid w:val="00C81837"/>
    <w:rsid w:val="00C829C6"/>
    <w:rsid w:val="00C8317E"/>
    <w:rsid w:val="00C83E7A"/>
    <w:rsid w:val="00C91A54"/>
    <w:rsid w:val="00C95267"/>
    <w:rsid w:val="00C95676"/>
    <w:rsid w:val="00C96BC7"/>
    <w:rsid w:val="00CA1F08"/>
    <w:rsid w:val="00CA59D5"/>
    <w:rsid w:val="00CA668A"/>
    <w:rsid w:val="00CB07D1"/>
    <w:rsid w:val="00CB20E5"/>
    <w:rsid w:val="00CB381D"/>
    <w:rsid w:val="00CB3D7C"/>
    <w:rsid w:val="00CB4A0F"/>
    <w:rsid w:val="00CB5AB3"/>
    <w:rsid w:val="00CB6497"/>
    <w:rsid w:val="00CB6B78"/>
    <w:rsid w:val="00CB7203"/>
    <w:rsid w:val="00CC0533"/>
    <w:rsid w:val="00CC1469"/>
    <w:rsid w:val="00CC1D2F"/>
    <w:rsid w:val="00CC4229"/>
    <w:rsid w:val="00CC4F7D"/>
    <w:rsid w:val="00CC5031"/>
    <w:rsid w:val="00CC72D9"/>
    <w:rsid w:val="00CC750D"/>
    <w:rsid w:val="00CD1057"/>
    <w:rsid w:val="00CD1D2A"/>
    <w:rsid w:val="00CD7E6A"/>
    <w:rsid w:val="00CE17BF"/>
    <w:rsid w:val="00CE50C6"/>
    <w:rsid w:val="00CE520B"/>
    <w:rsid w:val="00CE5AFE"/>
    <w:rsid w:val="00CE6FBA"/>
    <w:rsid w:val="00CF129C"/>
    <w:rsid w:val="00CF2939"/>
    <w:rsid w:val="00CF6EB4"/>
    <w:rsid w:val="00CF7E47"/>
    <w:rsid w:val="00D0030C"/>
    <w:rsid w:val="00D04D41"/>
    <w:rsid w:val="00D0537A"/>
    <w:rsid w:val="00D05F67"/>
    <w:rsid w:val="00D07B4F"/>
    <w:rsid w:val="00D10F0D"/>
    <w:rsid w:val="00D11DBA"/>
    <w:rsid w:val="00D120F8"/>
    <w:rsid w:val="00D1280E"/>
    <w:rsid w:val="00D172D8"/>
    <w:rsid w:val="00D2003A"/>
    <w:rsid w:val="00D20A91"/>
    <w:rsid w:val="00D2171E"/>
    <w:rsid w:val="00D2177F"/>
    <w:rsid w:val="00D237F8"/>
    <w:rsid w:val="00D2467E"/>
    <w:rsid w:val="00D25ABE"/>
    <w:rsid w:val="00D2641D"/>
    <w:rsid w:val="00D317BC"/>
    <w:rsid w:val="00D32584"/>
    <w:rsid w:val="00D356DE"/>
    <w:rsid w:val="00D40534"/>
    <w:rsid w:val="00D4575D"/>
    <w:rsid w:val="00D47B9A"/>
    <w:rsid w:val="00D509F7"/>
    <w:rsid w:val="00D52D8C"/>
    <w:rsid w:val="00D53863"/>
    <w:rsid w:val="00D53E8C"/>
    <w:rsid w:val="00D562FC"/>
    <w:rsid w:val="00D62658"/>
    <w:rsid w:val="00D63538"/>
    <w:rsid w:val="00D651F4"/>
    <w:rsid w:val="00D729FA"/>
    <w:rsid w:val="00D73C54"/>
    <w:rsid w:val="00D7472F"/>
    <w:rsid w:val="00D76844"/>
    <w:rsid w:val="00D772CC"/>
    <w:rsid w:val="00D77DAD"/>
    <w:rsid w:val="00D8542D"/>
    <w:rsid w:val="00D940C1"/>
    <w:rsid w:val="00D94FFD"/>
    <w:rsid w:val="00D96C1E"/>
    <w:rsid w:val="00D96F39"/>
    <w:rsid w:val="00DA0941"/>
    <w:rsid w:val="00DA31A6"/>
    <w:rsid w:val="00DA63F8"/>
    <w:rsid w:val="00DA6EFC"/>
    <w:rsid w:val="00DB0DED"/>
    <w:rsid w:val="00DB1822"/>
    <w:rsid w:val="00DB1D75"/>
    <w:rsid w:val="00DB1E27"/>
    <w:rsid w:val="00DB26D5"/>
    <w:rsid w:val="00DC1997"/>
    <w:rsid w:val="00DC3EDD"/>
    <w:rsid w:val="00DC4912"/>
    <w:rsid w:val="00DC4AD9"/>
    <w:rsid w:val="00DC58F4"/>
    <w:rsid w:val="00DD31CD"/>
    <w:rsid w:val="00DD353C"/>
    <w:rsid w:val="00DE3AFF"/>
    <w:rsid w:val="00DE5D59"/>
    <w:rsid w:val="00DE623C"/>
    <w:rsid w:val="00DE7CD3"/>
    <w:rsid w:val="00DF133A"/>
    <w:rsid w:val="00DF6190"/>
    <w:rsid w:val="00DF62AD"/>
    <w:rsid w:val="00DF7F62"/>
    <w:rsid w:val="00E017A7"/>
    <w:rsid w:val="00E01AA4"/>
    <w:rsid w:val="00E02831"/>
    <w:rsid w:val="00E035A1"/>
    <w:rsid w:val="00E04163"/>
    <w:rsid w:val="00E06D21"/>
    <w:rsid w:val="00E10C62"/>
    <w:rsid w:val="00E12F17"/>
    <w:rsid w:val="00E15C78"/>
    <w:rsid w:val="00E17ADA"/>
    <w:rsid w:val="00E2142B"/>
    <w:rsid w:val="00E22A18"/>
    <w:rsid w:val="00E23FBC"/>
    <w:rsid w:val="00E240CE"/>
    <w:rsid w:val="00E24C9C"/>
    <w:rsid w:val="00E25444"/>
    <w:rsid w:val="00E30781"/>
    <w:rsid w:val="00E31C02"/>
    <w:rsid w:val="00E31E09"/>
    <w:rsid w:val="00E3385C"/>
    <w:rsid w:val="00E354A3"/>
    <w:rsid w:val="00E40075"/>
    <w:rsid w:val="00E418B8"/>
    <w:rsid w:val="00E425F1"/>
    <w:rsid w:val="00E42D9E"/>
    <w:rsid w:val="00E4368D"/>
    <w:rsid w:val="00E43824"/>
    <w:rsid w:val="00E45D83"/>
    <w:rsid w:val="00E53431"/>
    <w:rsid w:val="00E53F73"/>
    <w:rsid w:val="00E5567F"/>
    <w:rsid w:val="00E5607C"/>
    <w:rsid w:val="00E57C8F"/>
    <w:rsid w:val="00E61594"/>
    <w:rsid w:val="00E6760C"/>
    <w:rsid w:val="00E7020F"/>
    <w:rsid w:val="00E720E9"/>
    <w:rsid w:val="00E7294E"/>
    <w:rsid w:val="00E72A0D"/>
    <w:rsid w:val="00E752D1"/>
    <w:rsid w:val="00E7683B"/>
    <w:rsid w:val="00E77591"/>
    <w:rsid w:val="00E806E9"/>
    <w:rsid w:val="00E80882"/>
    <w:rsid w:val="00E818DD"/>
    <w:rsid w:val="00E81939"/>
    <w:rsid w:val="00E82E30"/>
    <w:rsid w:val="00E85CDC"/>
    <w:rsid w:val="00E9018A"/>
    <w:rsid w:val="00E90975"/>
    <w:rsid w:val="00E958C7"/>
    <w:rsid w:val="00E97410"/>
    <w:rsid w:val="00E97C02"/>
    <w:rsid w:val="00EA090F"/>
    <w:rsid w:val="00EA1293"/>
    <w:rsid w:val="00EA57FF"/>
    <w:rsid w:val="00EA590C"/>
    <w:rsid w:val="00EA615A"/>
    <w:rsid w:val="00EA61F9"/>
    <w:rsid w:val="00EA64F0"/>
    <w:rsid w:val="00EA6947"/>
    <w:rsid w:val="00EB0735"/>
    <w:rsid w:val="00EB1F33"/>
    <w:rsid w:val="00EB1FF0"/>
    <w:rsid w:val="00EB391E"/>
    <w:rsid w:val="00EB48B0"/>
    <w:rsid w:val="00EB5CE6"/>
    <w:rsid w:val="00EC2615"/>
    <w:rsid w:val="00EC269D"/>
    <w:rsid w:val="00EC419D"/>
    <w:rsid w:val="00EC72FB"/>
    <w:rsid w:val="00ED31F6"/>
    <w:rsid w:val="00ED4D0B"/>
    <w:rsid w:val="00ED5069"/>
    <w:rsid w:val="00ED5C66"/>
    <w:rsid w:val="00ED7169"/>
    <w:rsid w:val="00ED7FC5"/>
    <w:rsid w:val="00EE00A0"/>
    <w:rsid w:val="00EE1A21"/>
    <w:rsid w:val="00EE1BC7"/>
    <w:rsid w:val="00EE3D8A"/>
    <w:rsid w:val="00EE41C7"/>
    <w:rsid w:val="00EE4B4A"/>
    <w:rsid w:val="00EE702F"/>
    <w:rsid w:val="00EE7A75"/>
    <w:rsid w:val="00EF05EF"/>
    <w:rsid w:val="00EF636F"/>
    <w:rsid w:val="00EF7139"/>
    <w:rsid w:val="00EF7A7E"/>
    <w:rsid w:val="00F03D4B"/>
    <w:rsid w:val="00F06025"/>
    <w:rsid w:val="00F12B0A"/>
    <w:rsid w:val="00F303B6"/>
    <w:rsid w:val="00F30CCA"/>
    <w:rsid w:val="00F350A9"/>
    <w:rsid w:val="00F36205"/>
    <w:rsid w:val="00F37882"/>
    <w:rsid w:val="00F37BB9"/>
    <w:rsid w:val="00F410CB"/>
    <w:rsid w:val="00F4164B"/>
    <w:rsid w:val="00F42381"/>
    <w:rsid w:val="00F4526C"/>
    <w:rsid w:val="00F453CD"/>
    <w:rsid w:val="00F45D9E"/>
    <w:rsid w:val="00F46333"/>
    <w:rsid w:val="00F475E9"/>
    <w:rsid w:val="00F47C79"/>
    <w:rsid w:val="00F51CB8"/>
    <w:rsid w:val="00F57A73"/>
    <w:rsid w:val="00F630B3"/>
    <w:rsid w:val="00F647E1"/>
    <w:rsid w:val="00F65FB6"/>
    <w:rsid w:val="00F664CD"/>
    <w:rsid w:val="00F66903"/>
    <w:rsid w:val="00F67529"/>
    <w:rsid w:val="00F732CD"/>
    <w:rsid w:val="00F760F9"/>
    <w:rsid w:val="00F77649"/>
    <w:rsid w:val="00F77927"/>
    <w:rsid w:val="00F81C60"/>
    <w:rsid w:val="00F824C0"/>
    <w:rsid w:val="00F82539"/>
    <w:rsid w:val="00F82992"/>
    <w:rsid w:val="00F83AD9"/>
    <w:rsid w:val="00F840E9"/>
    <w:rsid w:val="00F85F64"/>
    <w:rsid w:val="00F92ACE"/>
    <w:rsid w:val="00F92F27"/>
    <w:rsid w:val="00F9423E"/>
    <w:rsid w:val="00F94244"/>
    <w:rsid w:val="00F94C4C"/>
    <w:rsid w:val="00F97F9E"/>
    <w:rsid w:val="00FA159C"/>
    <w:rsid w:val="00FA16E2"/>
    <w:rsid w:val="00FA2EDF"/>
    <w:rsid w:val="00FA466B"/>
    <w:rsid w:val="00FA5CFF"/>
    <w:rsid w:val="00FB01D3"/>
    <w:rsid w:val="00FB0605"/>
    <w:rsid w:val="00FB10A4"/>
    <w:rsid w:val="00FB11D1"/>
    <w:rsid w:val="00FB310E"/>
    <w:rsid w:val="00FB5608"/>
    <w:rsid w:val="00FB5943"/>
    <w:rsid w:val="00FB5C6E"/>
    <w:rsid w:val="00FB6796"/>
    <w:rsid w:val="00FB7449"/>
    <w:rsid w:val="00FC3E13"/>
    <w:rsid w:val="00FD4553"/>
    <w:rsid w:val="00FD52F5"/>
    <w:rsid w:val="00FD65EE"/>
    <w:rsid w:val="00FE0570"/>
    <w:rsid w:val="00FE12CC"/>
    <w:rsid w:val="00FE13BF"/>
    <w:rsid w:val="00FE25A6"/>
    <w:rsid w:val="00FE519E"/>
    <w:rsid w:val="00FE5902"/>
    <w:rsid w:val="00FE78E2"/>
    <w:rsid w:val="00FE7C0F"/>
    <w:rsid w:val="00FF03FE"/>
    <w:rsid w:val="00FF1317"/>
    <w:rsid w:val="00FF14AC"/>
    <w:rsid w:val="00FF2D2B"/>
    <w:rsid w:val="00FF5280"/>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8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95D98"/>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C91A54"/>
    <w:pPr>
      <w:keepNext/>
      <w:keepLines/>
      <w:numPr>
        <w:numId w:val="17"/>
      </w:numPr>
      <w:spacing w:before="520" w:after="480"/>
      <w:outlineLvl w:val="0"/>
    </w:pPr>
    <w:rPr>
      <w:b/>
      <w:bCs/>
      <w:color w:val="AF272F"/>
      <w:sz w:val="36"/>
      <w:szCs w:val="32"/>
    </w:rPr>
  </w:style>
  <w:style w:type="paragraph" w:styleId="Heading2">
    <w:name w:val="heading 2"/>
    <w:basedOn w:val="Normal"/>
    <w:next w:val="Normal"/>
    <w:link w:val="Heading2Char"/>
    <w:uiPriority w:val="9"/>
    <w:qFormat/>
    <w:rsid w:val="00502746"/>
    <w:pPr>
      <w:keepNext/>
      <w:keepLines/>
      <w:numPr>
        <w:ilvl w:val="1"/>
        <w:numId w:val="2"/>
      </w:numPr>
      <w:spacing w:before="400"/>
      <w:outlineLvl w:val="1"/>
    </w:pPr>
    <w:rPr>
      <w:bCs/>
      <w:color w:val="D51F35"/>
      <w:sz w:val="28"/>
      <w:szCs w:val="26"/>
    </w:rPr>
  </w:style>
  <w:style w:type="paragraph" w:styleId="Heading3">
    <w:name w:val="heading 3"/>
    <w:basedOn w:val="Normal"/>
    <w:next w:val="Normal"/>
    <w:link w:val="Heading3Char"/>
    <w:uiPriority w:val="9"/>
    <w:qFormat/>
    <w:rsid w:val="00502746"/>
    <w:pPr>
      <w:keepNext/>
      <w:keepLines/>
      <w:numPr>
        <w:ilvl w:val="2"/>
        <w:numId w:val="2"/>
      </w:numPr>
      <w:spacing w:before="320" w:after="160"/>
      <w:outlineLvl w:val="2"/>
    </w:pPr>
    <w:rPr>
      <w:b/>
      <w:bCs/>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502746"/>
    <w:pPr>
      <w:keepNext/>
      <w:keepLines/>
      <w:numPr>
        <w:ilvl w:val="5"/>
        <w:numId w:val="2"/>
      </w:numPr>
      <w:spacing w:before="200" w:after="0"/>
      <w:outlineLvl w:val="5"/>
    </w:pPr>
    <w:rPr>
      <w:rFonts w:asciiTheme="majorHAnsi" w:eastAsiaTheme="majorEastAsia" w:hAnsiTheme="majorHAnsi" w:cstheme="majorBidi"/>
      <w:i/>
      <w:iCs/>
      <w:color w:val="AF272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746"/>
    <w:rPr>
      <w:rFonts w:ascii="Arial" w:eastAsia="Times New Roman" w:hAnsi="Arial" w:cs="Times New Roman"/>
      <w:b/>
      <w:bCs/>
      <w:color w:val="AF272F"/>
      <w:sz w:val="36"/>
      <w:szCs w:val="32"/>
    </w:rPr>
  </w:style>
  <w:style w:type="character" w:customStyle="1" w:styleId="Heading2Char">
    <w:name w:val="Heading 2 Char"/>
    <w:basedOn w:val="DefaultParagraphFont"/>
    <w:link w:val="Heading2"/>
    <w:uiPriority w:val="9"/>
    <w:rsid w:val="00502746"/>
    <w:rPr>
      <w:rFonts w:ascii="Arial" w:eastAsia="Times New Roman" w:hAnsi="Arial" w:cs="Times New Roman"/>
      <w:bCs/>
      <w:color w:val="D51F35"/>
      <w:sz w:val="28"/>
      <w:szCs w:val="26"/>
    </w:rPr>
  </w:style>
  <w:style w:type="character" w:customStyle="1" w:styleId="Heading3Char">
    <w:name w:val="Heading 3 Char"/>
    <w:basedOn w:val="DefaultParagraphFont"/>
    <w:link w:val="Heading3"/>
    <w:uiPriority w:val="9"/>
    <w:rsid w:val="00502746"/>
    <w:rPr>
      <w:rFonts w:ascii="Arial" w:eastAsia="Times New Roman" w:hAnsi="Arial" w:cs="Times New Roman"/>
      <w:b/>
      <w:bCs/>
      <w:color w:val="53565A"/>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502746"/>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502746"/>
    <w:rPr>
      <w:rFonts w:asciiTheme="majorHAnsi" w:eastAsiaTheme="majorEastAsia" w:hAnsiTheme="majorHAnsi" w:cstheme="majorBidi"/>
      <w:i/>
      <w:iCs/>
      <w:color w:val="AF272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1E04C5"/>
    <w:pPr>
      <w:tabs>
        <w:tab w:val="right" w:leader="dot" w:pos="9016"/>
      </w:tabs>
      <w:spacing w:after="100"/>
      <w:ind w:left="142"/>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502746"/>
    <w:pPr>
      <w:spacing w:before="0" w:line="420" w:lineRule="exact"/>
      <w:jc w:val="right"/>
    </w:pPr>
    <w:rPr>
      <w:b/>
      <w:caps/>
      <w:noProof/>
      <w:color w:val="FFFFFF"/>
      <w:sz w:val="44"/>
      <w:lang w:val="en-GB" w:eastAsia="en-GB"/>
    </w:rPr>
  </w:style>
  <w:style w:type="character" w:customStyle="1" w:styleId="TitleChar">
    <w:name w:val="Title Char"/>
    <w:basedOn w:val="DefaultParagraphFont"/>
    <w:link w:val="Title"/>
    <w:uiPriority w:val="10"/>
    <w:rsid w:val="00502746"/>
    <w:rPr>
      <w:rFonts w:ascii="Arial" w:eastAsia="Times New Roman" w:hAnsi="Arial" w:cs="Times New Roman"/>
      <w:b/>
      <w:caps/>
      <w:noProof/>
      <w:color w:val="FFFFFF"/>
      <w:sz w:val="44"/>
      <w:szCs w:val="20"/>
      <w:lang w:val="en-GB" w:eastAsia="en-GB"/>
    </w:rPr>
  </w:style>
  <w:style w:type="paragraph" w:styleId="Subtitle">
    <w:name w:val="Subtitle"/>
    <w:basedOn w:val="Normal"/>
    <w:next w:val="Normal"/>
    <w:link w:val="SubtitleChar"/>
    <w:uiPriority w:val="11"/>
    <w:qFormat/>
    <w:rsid w:val="00AB0161"/>
    <w:pPr>
      <w:spacing w:before="180"/>
      <w:jc w:val="right"/>
    </w:pPr>
    <w:rPr>
      <w:color w:val="FFFFFF"/>
      <w:sz w:val="32"/>
    </w:rPr>
  </w:style>
  <w:style w:type="character" w:customStyle="1" w:styleId="SubtitleChar">
    <w:name w:val="Subtitle Char"/>
    <w:basedOn w:val="DefaultParagraphFont"/>
    <w:link w:val="Subtitle"/>
    <w:uiPriority w:val="11"/>
    <w:rsid w:val="00AB0161"/>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SubtleEmphasis">
    <w:name w:val="Subtle Emphasis"/>
    <w:basedOn w:val="DefaultParagraphFont"/>
    <w:uiPriority w:val="19"/>
    <w:qFormat/>
    <w:rsid w:val="00502746"/>
    <w:rPr>
      <w:i/>
      <w:iCs/>
      <w:color w:val="D51F35"/>
    </w:rPr>
  </w:style>
  <w:style w:type="character" w:styleId="IntenseEmphasis">
    <w:name w:val="Intense Emphasis"/>
    <w:basedOn w:val="DefaultParagraphFont"/>
    <w:uiPriority w:val="21"/>
    <w:qFormat/>
    <w:rsid w:val="00502746"/>
    <w:rPr>
      <w:i/>
      <w:iCs/>
      <w:color w:val="D51F35"/>
    </w:rPr>
  </w:style>
  <w:style w:type="paragraph" w:styleId="Quote">
    <w:name w:val="Quote"/>
    <w:basedOn w:val="Normal"/>
    <w:next w:val="Normal"/>
    <w:link w:val="QuoteChar"/>
    <w:uiPriority w:val="29"/>
    <w:qFormat/>
    <w:rsid w:val="00502746"/>
    <w:pPr>
      <w:spacing w:before="200" w:after="160"/>
      <w:ind w:left="864" w:right="864"/>
      <w:jc w:val="center"/>
    </w:pPr>
    <w:rPr>
      <w:i/>
      <w:iCs/>
      <w:color w:val="AF272F"/>
    </w:rPr>
  </w:style>
  <w:style w:type="character" w:customStyle="1" w:styleId="QuoteChar">
    <w:name w:val="Quote Char"/>
    <w:basedOn w:val="DefaultParagraphFont"/>
    <w:link w:val="Quote"/>
    <w:uiPriority w:val="29"/>
    <w:rsid w:val="00502746"/>
    <w:rPr>
      <w:rFonts w:ascii="Arial" w:eastAsia="Times New Roman" w:hAnsi="Arial" w:cs="Times New Roman"/>
      <w:i/>
      <w:iCs/>
      <w:color w:val="AF272F"/>
      <w:sz w:val="18"/>
      <w:szCs w:val="20"/>
    </w:rPr>
  </w:style>
  <w:style w:type="character" w:styleId="SubtleReference">
    <w:name w:val="Subtle Reference"/>
    <w:basedOn w:val="DefaultParagraphFont"/>
    <w:uiPriority w:val="31"/>
    <w:qFormat/>
    <w:rsid w:val="00502746"/>
    <w:rPr>
      <w:smallCaps/>
      <w:color w:val="AF272F"/>
    </w:rPr>
  </w:style>
  <w:style w:type="character" w:styleId="IntenseReference">
    <w:name w:val="Intense Reference"/>
    <w:basedOn w:val="DefaultParagraphFont"/>
    <w:uiPriority w:val="32"/>
    <w:qFormat/>
    <w:rsid w:val="00502746"/>
    <w:rPr>
      <w:b/>
      <w:bCs/>
      <w:smallCaps/>
      <w:color w:val="AF272F"/>
      <w:spacing w:val="5"/>
    </w:rPr>
  </w:style>
  <w:style w:type="paragraph" w:customStyle="1" w:styleId="Bullet">
    <w:name w:val="Bullet"/>
    <w:basedOn w:val="Normal"/>
    <w:qFormat/>
    <w:rsid w:val="00701534"/>
    <w:pPr>
      <w:numPr>
        <w:numId w:val="4"/>
      </w:numPr>
      <w:spacing w:before="0" w:after="120"/>
    </w:pPr>
    <w:rPr>
      <w:rFonts w:ascii="Tahoma" w:eastAsia="MS Mincho" w:hAnsi="Tahoma"/>
      <w:color w:val="auto"/>
      <w:sz w:val="24"/>
      <w:szCs w:val="24"/>
      <w:lang w:val="en-US"/>
    </w:rPr>
  </w:style>
  <w:style w:type="character" w:styleId="FootnoteReference">
    <w:name w:val="footnote reference"/>
    <w:uiPriority w:val="99"/>
    <w:unhideWhenUsed/>
    <w:rsid w:val="00701534"/>
    <w:rPr>
      <w:vertAlign w:val="superscript"/>
    </w:rPr>
  </w:style>
  <w:style w:type="table" w:styleId="ListTable3">
    <w:name w:val="List Table 3"/>
    <w:basedOn w:val="TableNormal"/>
    <w:uiPriority w:val="48"/>
    <w:rsid w:val="00B102D3"/>
    <w:pPr>
      <w:spacing w:after="0" w:line="240" w:lineRule="auto"/>
    </w:pPr>
    <w:tblPr>
      <w:tblStyleRowBandSize w:val="1"/>
      <w:tblStyleColBandSize w:val="1"/>
      <w:tblBorders>
        <w:top w:val="single" w:sz="4" w:space="0" w:color="201547" w:themeColor="text1"/>
        <w:left w:val="single" w:sz="4" w:space="0" w:color="201547" w:themeColor="text1"/>
        <w:bottom w:val="single" w:sz="4" w:space="0" w:color="201547" w:themeColor="text1"/>
        <w:right w:val="single" w:sz="4" w:space="0" w:color="201547" w:themeColor="text1"/>
      </w:tblBorders>
    </w:tblPr>
    <w:tblStylePr w:type="firstRow">
      <w:rPr>
        <w:b/>
        <w:bCs/>
        <w:color w:val="FFFFFF" w:themeColor="background1"/>
      </w:rPr>
      <w:tblPr/>
      <w:tcPr>
        <w:shd w:val="clear" w:color="auto" w:fill="201547" w:themeFill="text1"/>
      </w:tcPr>
    </w:tblStylePr>
    <w:tblStylePr w:type="lastRow">
      <w:rPr>
        <w:b/>
        <w:bCs/>
      </w:rPr>
      <w:tblPr/>
      <w:tcPr>
        <w:tcBorders>
          <w:top w:val="double" w:sz="4" w:space="0" w:color="201547"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text1"/>
          <w:right w:val="single" w:sz="4" w:space="0" w:color="201547" w:themeColor="text1"/>
        </w:tcBorders>
      </w:tcPr>
    </w:tblStylePr>
    <w:tblStylePr w:type="band1Horz">
      <w:tblPr/>
      <w:tcPr>
        <w:tcBorders>
          <w:top w:val="single" w:sz="4" w:space="0" w:color="201547" w:themeColor="text1"/>
          <w:bottom w:val="single" w:sz="4" w:space="0" w:color="201547"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text1"/>
          <w:left w:val="nil"/>
        </w:tcBorders>
      </w:tcPr>
    </w:tblStylePr>
    <w:tblStylePr w:type="swCell">
      <w:tblPr/>
      <w:tcPr>
        <w:tcBorders>
          <w:top w:val="double" w:sz="4" w:space="0" w:color="201547" w:themeColor="text1"/>
          <w:right w:val="nil"/>
        </w:tcBorders>
      </w:tcPr>
    </w:tblStylePr>
  </w:style>
  <w:style w:type="character" w:styleId="UnresolvedMention">
    <w:name w:val="Unresolved Mention"/>
    <w:basedOn w:val="DefaultParagraphFont"/>
    <w:uiPriority w:val="99"/>
    <w:rsid w:val="00351206"/>
    <w:rPr>
      <w:color w:val="808080"/>
      <w:shd w:val="clear" w:color="auto" w:fill="E6E6E6"/>
    </w:rPr>
  </w:style>
  <w:style w:type="paragraph" w:customStyle="1" w:styleId="bodycopy">
    <w:name w:val="# body copy"/>
    <w:basedOn w:val="Normal"/>
    <w:qFormat/>
    <w:rsid w:val="00351206"/>
    <w:pPr>
      <w:spacing w:before="0" w:after="120" w:line="285" w:lineRule="auto"/>
    </w:pPr>
    <w:rPr>
      <w:rFonts w:cs="Arial"/>
      <w:kern w:val="28"/>
      <w:sz w:val="20"/>
      <w:lang w:eastAsia="en-AU"/>
      <w14:ligatures w14:val="standard"/>
      <w14:cntxtAlts/>
    </w:rPr>
  </w:style>
  <w:style w:type="paragraph" w:customStyle="1" w:styleId="dotpoints">
    <w:name w:val="# dot points"/>
    <w:basedOn w:val="Normal"/>
    <w:link w:val="dotpointsChar"/>
    <w:qFormat/>
    <w:rsid w:val="00351206"/>
    <w:pPr>
      <w:keepLines/>
      <w:numPr>
        <w:numId w:val="5"/>
      </w:numPr>
      <w:spacing w:before="180" w:after="180" w:line="300" w:lineRule="auto"/>
      <w:ind w:left="1077" w:hanging="357"/>
      <w:contextualSpacing/>
    </w:pPr>
    <w:rPr>
      <w:rFonts w:cs="Arial"/>
      <w:sz w:val="20"/>
    </w:rPr>
  </w:style>
  <w:style w:type="character" w:customStyle="1" w:styleId="dotpointsChar">
    <w:name w:val="# dot points Char"/>
    <w:basedOn w:val="DefaultParagraphFont"/>
    <w:link w:val="dotpoints"/>
    <w:rsid w:val="00351206"/>
    <w:rPr>
      <w:rFonts w:ascii="Arial" w:eastAsia="Times New Roman" w:hAnsi="Arial" w:cs="Arial"/>
      <w:color w:val="53565A"/>
      <w:sz w:val="20"/>
      <w:szCs w:val="20"/>
    </w:rPr>
  </w:style>
  <w:style w:type="paragraph" w:customStyle="1" w:styleId="Default">
    <w:name w:val="Default"/>
    <w:rsid w:val="008B0AC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44C78"/>
    <w:rPr>
      <w:sz w:val="16"/>
      <w:szCs w:val="16"/>
    </w:rPr>
  </w:style>
  <w:style w:type="paragraph" w:styleId="CommentText">
    <w:name w:val="annotation text"/>
    <w:basedOn w:val="Normal"/>
    <w:link w:val="CommentTextChar"/>
    <w:uiPriority w:val="99"/>
    <w:semiHidden/>
    <w:unhideWhenUsed/>
    <w:rsid w:val="00844C78"/>
    <w:rPr>
      <w:sz w:val="20"/>
    </w:rPr>
  </w:style>
  <w:style w:type="character" w:customStyle="1" w:styleId="CommentTextChar">
    <w:name w:val="Comment Text Char"/>
    <w:basedOn w:val="DefaultParagraphFont"/>
    <w:link w:val="CommentText"/>
    <w:uiPriority w:val="99"/>
    <w:semiHidden/>
    <w:rsid w:val="00844C78"/>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844C78"/>
    <w:rPr>
      <w:b/>
      <w:bCs/>
    </w:rPr>
  </w:style>
  <w:style w:type="character" w:customStyle="1" w:styleId="CommentSubjectChar">
    <w:name w:val="Comment Subject Char"/>
    <w:basedOn w:val="CommentTextChar"/>
    <w:link w:val="CommentSubject"/>
    <w:uiPriority w:val="99"/>
    <w:semiHidden/>
    <w:rsid w:val="00844C78"/>
    <w:rPr>
      <w:rFonts w:ascii="Arial" w:eastAsia="Times New Roman" w:hAnsi="Arial" w:cs="Times New Roman"/>
      <w:b/>
      <w:bCs/>
      <w:color w:val="53565A"/>
      <w:sz w:val="20"/>
      <w:szCs w:val="20"/>
    </w:rPr>
  </w:style>
  <w:style w:type="paragraph" w:customStyle="1" w:styleId="TableBullet">
    <w:name w:val="Table Bullet"/>
    <w:basedOn w:val="Normal"/>
    <w:qFormat/>
    <w:rsid w:val="00AC4925"/>
    <w:pPr>
      <w:numPr>
        <w:numId w:val="7"/>
      </w:numPr>
      <w:spacing w:before="0" w:after="120"/>
      <w:ind w:left="346" w:hanging="346"/>
    </w:pPr>
    <w:rPr>
      <w:rFonts w:ascii="Tahoma" w:eastAsia="MS Mincho" w:hAnsi="Tahoma"/>
      <w:color w:val="auto"/>
      <w:sz w:val="20"/>
      <w:szCs w:val="24"/>
      <w:lang w:val="en-US"/>
    </w:rPr>
  </w:style>
  <w:style w:type="paragraph" w:customStyle="1" w:styleId="FootnoteTextTables">
    <w:name w:val="Footnote Text (Tables"/>
    <w:aliases w:val="Forms4,Footnotes)4"/>
    <w:basedOn w:val="Normal"/>
    <w:uiPriority w:val="99"/>
    <w:rsid w:val="00321DC3"/>
    <w:pPr>
      <w:widowControl w:val="0"/>
      <w:suppressAutoHyphens/>
      <w:autoSpaceDE w:val="0"/>
      <w:autoSpaceDN w:val="0"/>
      <w:adjustRightInd w:val="0"/>
      <w:spacing w:before="100" w:after="100" w:line="220" w:lineRule="atLeast"/>
      <w:ind w:left="397" w:hanging="397"/>
      <w:textAlignment w:val="center"/>
    </w:pPr>
    <w:rPr>
      <w:rFonts w:ascii="HelveticaNeueLTStd-Lt" w:eastAsia="MS Mincho" w:hAnsi="HelveticaNeueLTStd-Lt" w:cs="HelveticaNeueLTStd-Lt"/>
      <w:color w:val="000000"/>
      <w:sz w:val="14"/>
      <w:szCs w:val="14"/>
      <w:lang w:val="en-US"/>
    </w:rPr>
  </w:style>
  <w:style w:type="paragraph" w:styleId="NoSpacing">
    <w:name w:val="No Spacing"/>
    <w:uiPriority w:val="1"/>
    <w:qFormat/>
    <w:rsid w:val="00164687"/>
    <w:pPr>
      <w:spacing w:after="0" w:line="240" w:lineRule="auto"/>
    </w:pPr>
    <w:rPr>
      <w:rFonts w:ascii="Arial" w:eastAsia="Times New Roman" w:hAnsi="Arial" w:cs="Times New Roman"/>
      <w:color w:val="53565A"/>
      <w:sz w:val="18"/>
      <w:szCs w:val="20"/>
    </w:rPr>
  </w:style>
  <w:style w:type="paragraph" w:styleId="Revision">
    <w:name w:val="Revision"/>
    <w:hidden/>
    <w:uiPriority w:val="99"/>
    <w:semiHidden/>
    <w:rsid w:val="004D6259"/>
    <w:pPr>
      <w:spacing w:after="0" w:line="240" w:lineRule="auto"/>
    </w:pPr>
    <w:rPr>
      <w:rFonts w:ascii="Arial" w:eastAsia="Times New Roman" w:hAnsi="Arial" w:cs="Times New Roman"/>
      <w:color w:val="53565A"/>
      <w:sz w:val="18"/>
      <w:szCs w:val="20"/>
    </w:rPr>
  </w:style>
  <w:style w:type="character" w:customStyle="1" w:styleId="bold-text">
    <w:name w:val="bold-text"/>
    <w:basedOn w:val="DefaultParagraphFont"/>
    <w:rsid w:val="0082227B"/>
  </w:style>
  <w:style w:type="paragraph" w:styleId="ListNumber">
    <w:name w:val="List Number"/>
    <w:basedOn w:val="Normal"/>
    <w:uiPriority w:val="99"/>
    <w:unhideWhenUsed/>
    <w:rsid w:val="0082227B"/>
    <w:pPr>
      <w:spacing w:before="60" w:after="60"/>
    </w:pPr>
    <w:rPr>
      <w:color w:val="auto"/>
      <w:sz w:val="20"/>
    </w:rPr>
  </w:style>
  <w:style w:type="character" w:styleId="PlaceholderText">
    <w:name w:val="Placeholder Text"/>
    <w:basedOn w:val="DefaultParagraphFont"/>
    <w:uiPriority w:val="99"/>
    <w:semiHidden/>
    <w:rsid w:val="006831D4"/>
    <w:rPr>
      <w:color w:val="808080"/>
    </w:rPr>
  </w:style>
  <w:style w:type="table" w:customStyle="1" w:styleId="TableGrid1">
    <w:name w:val="Table Grid1"/>
    <w:basedOn w:val="TableNormal"/>
    <w:next w:val="TableGrid"/>
    <w:uiPriority w:val="39"/>
    <w:rsid w:val="006000A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21106">
      <w:bodyDiv w:val="1"/>
      <w:marLeft w:val="0"/>
      <w:marRight w:val="0"/>
      <w:marTop w:val="0"/>
      <w:marBottom w:val="0"/>
      <w:divBdr>
        <w:top w:val="none" w:sz="0" w:space="0" w:color="auto"/>
        <w:left w:val="none" w:sz="0" w:space="0" w:color="auto"/>
        <w:bottom w:val="none" w:sz="0" w:space="0" w:color="auto"/>
        <w:right w:val="none" w:sz="0" w:space="0" w:color="auto"/>
      </w:divBdr>
    </w:div>
    <w:div w:id="924653390">
      <w:bodyDiv w:val="1"/>
      <w:marLeft w:val="0"/>
      <w:marRight w:val="0"/>
      <w:marTop w:val="0"/>
      <w:marBottom w:val="0"/>
      <w:divBdr>
        <w:top w:val="none" w:sz="0" w:space="0" w:color="auto"/>
        <w:left w:val="none" w:sz="0" w:space="0" w:color="auto"/>
        <w:bottom w:val="none" w:sz="0" w:space="0" w:color="auto"/>
        <w:right w:val="none" w:sz="0" w:space="0" w:color="auto"/>
      </w:divBdr>
      <w:divsChild>
        <w:div w:id="1045638582">
          <w:marLeft w:val="0"/>
          <w:marRight w:val="0"/>
          <w:marTop w:val="1500"/>
          <w:marBottom w:val="0"/>
          <w:divBdr>
            <w:top w:val="none" w:sz="0" w:space="0" w:color="auto"/>
            <w:left w:val="none" w:sz="0" w:space="0" w:color="auto"/>
            <w:bottom w:val="none" w:sz="0" w:space="0" w:color="auto"/>
            <w:right w:val="none" w:sz="0" w:space="0" w:color="auto"/>
          </w:divBdr>
          <w:divsChild>
            <w:div w:id="2074155592">
              <w:marLeft w:val="0"/>
              <w:marRight w:val="0"/>
              <w:marTop w:val="0"/>
              <w:marBottom w:val="0"/>
              <w:divBdr>
                <w:top w:val="none" w:sz="0" w:space="0" w:color="auto"/>
                <w:left w:val="none" w:sz="0" w:space="0" w:color="auto"/>
                <w:bottom w:val="none" w:sz="0" w:space="0" w:color="auto"/>
                <w:right w:val="none" w:sz="0" w:space="0" w:color="auto"/>
              </w:divBdr>
              <w:divsChild>
                <w:div w:id="1937706248">
                  <w:marLeft w:val="0"/>
                  <w:marRight w:val="0"/>
                  <w:marTop w:val="0"/>
                  <w:marBottom w:val="0"/>
                  <w:divBdr>
                    <w:top w:val="none" w:sz="0" w:space="0" w:color="auto"/>
                    <w:left w:val="none" w:sz="0" w:space="0" w:color="auto"/>
                    <w:bottom w:val="none" w:sz="0" w:space="0" w:color="auto"/>
                    <w:right w:val="none" w:sz="0" w:space="0" w:color="auto"/>
                  </w:divBdr>
                  <w:divsChild>
                    <w:div w:id="2096660448">
                      <w:marLeft w:val="0"/>
                      <w:marRight w:val="0"/>
                      <w:marTop w:val="0"/>
                      <w:marBottom w:val="0"/>
                      <w:divBdr>
                        <w:top w:val="none" w:sz="0" w:space="0" w:color="auto"/>
                        <w:left w:val="none" w:sz="0" w:space="0" w:color="auto"/>
                        <w:bottom w:val="none" w:sz="0" w:space="0" w:color="auto"/>
                        <w:right w:val="none" w:sz="0" w:space="0" w:color="auto"/>
                      </w:divBdr>
                      <w:divsChild>
                        <w:div w:id="243035460">
                          <w:marLeft w:val="0"/>
                          <w:marRight w:val="0"/>
                          <w:marTop w:val="0"/>
                          <w:marBottom w:val="0"/>
                          <w:divBdr>
                            <w:top w:val="none" w:sz="0" w:space="0" w:color="auto"/>
                            <w:left w:val="none" w:sz="0" w:space="0" w:color="auto"/>
                            <w:bottom w:val="none" w:sz="0" w:space="0" w:color="auto"/>
                            <w:right w:val="none" w:sz="0" w:space="0" w:color="auto"/>
                          </w:divBdr>
                          <w:divsChild>
                            <w:div w:id="664935580">
                              <w:marLeft w:val="-225"/>
                              <w:marRight w:val="-225"/>
                              <w:marTop w:val="0"/>
                              <w:marBottom w:val="0"/>
                              <w:divBdr>
                                <w:top w:val="none" w:sz="0" w:space="0" w:color="auto"/>
                                <w:left w:val="none" w:sz="0" w:space="0" w:color="auto"/>
                                <w:bottom w:val="none" w:sz="0" w:space="0" w:color="auto"/>
                                <w:right w:val="none" w:sz="0" w:space="0" w:color="auto"/>
                              </w:divBdr>
                              <w:divsChild>
                                <w:div w:id="1482888888">
                                  <w:marLeft w:val="0"/>
                                  <w:marRight w:val="0"/>
                                  <w:marTop w:val="0"/>
                                  <w:marBottom w:val="0"/>
                                  <w:divBdr>
                                    <w:top w:val="none" w:sz="0" w:space="0" w:color="auto"/>
                                    <w:left w:val="none" w:sz="0" w:space="0" w:color="auto"/>
                                    <w:bottom w:val="none" w:sz="0" w:space="0" w:color="auto"/>
                                    <w:right w:val="none" w:sz="0" w:space="0" w:color="auto"/>
                                  </w:divBdr>
                                  <w:divsChild>
                                    <w:div w:id="726533319">
                                      <w:marLeft w:val="0"/>
                                      <w:marRight w:val="0"/>
                                      <w:marTop w:val="0"/>
                                      <w:marBottom w:val="0"/>
                                      <w:divBdr>
                                        <w:top w:val="none" w:sz="0" w:space="0" w:color="auto"/>
                                        <w:left w:val="none" w:sz="0" w:space="0" w:color="auto"/>
                                        <w:bottom w:val="none" w:sz="0" w:space="0" w:color="auto"/>
                                        <w:right w:val="none" w:sz="0" w:space="0" w:color="auto"/>
                                      </w:divBdr>
                                      <w:divsChild>
                                        <w:div w:id="440491416">
                                          <w:marLeft w:val="0"/>
                                          <w:marRight w:val="0"/>
                                          <w:marTop w:val="0"/>
                                          <w:marBottom w:val="0"/>
                                          <w:divBdr>
                                            <w:top w:val="none" w:sz="0" w:space="0" w:color="auto"/>
                                            <w:left w:val="none" w:sz="0" w:space="0" w:color="auto"/>
                                            <w:bottom w:val="none" w:sz="0" w:space="0" w:color="auto"/>
                                            <w:right w:val="none" w:sz="0" w:space="0" w:color="auto"/>
                                          </w:divBdr>
                                          <w:divsChild>
                                            <w:div w:id="15263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3131732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21117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justice.vic.gov.au/statdecs" TargetMode="External"/><Relationship Id="rId26" Type="http://schemas.openxmlformats.org/officeDocument/2006/relationships/hyperlink" Target="https://icnvic.force.com/s/login/?ec=302&amp;startURL=%2Fs%2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justice.vic.gov.au/statdecs" TargetMode="External"/><Relationship Id="rId34" Type="http://schemas.openxmlformats.org/officeDocument/2006/relationships/hyperlink" Target="https://www.rdv.vic.gov.au/victorias-regions/latrobe" TargetMode="External"/><Relationship Id="rId42" Type="http://schemas.openxmlformats.org/officeDocument/2006/relationships/hyperlink" Target="http://www.localjobsfirst.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ocaljobsfirst.vic.gov.au/key-documents" TargetMode="External"/><Relationship Id="rId25" Type="http://schemas.openxmlformats.org/officeDocument/2006/relationships/hyperlink" Target="https://localjobsfirst.vic.gov.au/key-documents" TargetMode="External"/><Relationship Id="rId33" Type="http://schemas.openxmlformats.org/officeDocument/2006/relationships/hyperlink" Target="https://www.rdv.vic.gov.au/victorias-regions/horsham" TargetMode="External"/><Relationship Id="rId38" Type="http://schemas.openxmlformats.org/officeDocument/2006/relationships/hyperlink" Target="https://www.rdv.vic.gov.au/victorias-regions/wodonga" TargetMode="External"/><Relationship Id="rId2" Type="http://schemas.openxmlformats.org/officeDocument/2006/relationships/customXml" Target="../customXml/item2.xml"/><Relationship Id="rId16" Type="http://schemas.openxmlformats.org/officeDocument/2006/relationships/hyperlink" Target="https://icnvic.force.com/s/login/?ec=302&amp;startURL=%2Fs%2F" TargetMode="External"/><Relationship Id="rId20" Type="http://schemas.openxmlformats.org/officeDocument/2006/relationships/hyperlink" Target="https://localjobsfirst.vic.gov.au/key-documents" TargetMode="External"/><Relationship Id="rId29" Type="http://schemas.openxmlformats.org/officeDocument/2006/relationships/hyperlink" Target="https://www.rdv.vic.gov.au/victorias-regions/ballarat" TargetMode="External"/><Relationship Id="rId41" Type="http://schemas.openxmlformats.org/officeDocument/2006/relationships/hyperlink" Target="mailto:localjobsfirst@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justice.vic.gov.au/statdecs" TargetMode="External"/><Relationship Id="rId32" Type="http://schemas.openxmlformats.org/officeDocument/2006/relationships/hyperlink" Target="https://www.rdv.vic.gov.au/victorias-regions/shepparton" TargetMode="External"/><Relationship Id="rId37" Type="http://schemas.openxmlformats.org/officeDocument/2006/relationships/hyperlink" Target="https://www.rdv.vic.gov.au/victorias-regions/warrnambool"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cnvic.force.com/s/login/?ec=302&amp;startURL=%2Fs%2F" TargetMode="External"/><Relationship Id="rId23" Type="http://schemas.openxmlformats.org/officeDocument/2006/relationships/hyperlink" Target="https://localjobsfirst.vic.gov.au/key-documents" TargetMode="External"/><Relationship Id="rId28" Type="http://schemas.openxmlformats.org/officeDocument/2006/relationships/hyperlink" Target="https://www.rdv.vic.gov.au/rdv-act-2002" TargetMode="External"/><Relationship Id="rId36" Type="http://schemas.openxmlformats.org/officeDocument/2006/relationships/hyperlink" Target="https://www.rdv.vic.gov.au/victorias-regions/wangaratta" TargetMode="External"/><Relationship Id="rId10" Type="http://schemas.openxmlformats.org/officeDocument/2006/relationships/endnotes" Target="endnotes.xml"/><Relationship Id="rId19" Type="http://schemas.openxmlformats.org/officeDocument/2006/relationships/hyperlink" Target="https://icnvic.force.com/s/login/?ec=302&amp;startURL=%2Fs%2F" TargetMode="External"/><Relationship Id="rId31" Type="http://schemas.openxmlformats.org/officeDocument/2006/relationships/hyperlink" Target="https://www.rdv.vic.gov.au/victorias-regions/geelo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jobsfirst.vic.gov.au/" TargetMode="External"/><Relationship Id="rId22" Type="http://schemas.openxmlformats.org/officeDocument/2006/relationships/hyperlink" Target="https://icnvic.force.com/s/login/?ec=302&amp;startURL=%2Fs%2F" TargetMode="External"/><Relationship Id="rId27" Type="http://schemas.openxmlformats.org/officeDocument/2006/relationships/hyperlink" Target="https://www.localjobsfirst.vic.gov.au/local-jobs-first-commissioner" TargetMode="External"/><Relationship Id="rId30" Type="http://schemas.openxmlformats.org/officeDocument/2006/relationships/hyperlink" Target="https://www.rdv.vic.gov.au/victorias-regions/bendigo" TargetMode="External"/><Relationship Id="rId35" Type="http://schemas.openxmlformats.org/officeDocument/2006/relationships/hyperlink" Target="https://www.rdv.vic.gov.au/victorias-regions/mildura"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4" ma:contentTypeDescription="" ma:contentTypeScope="" ma:versionID="dac3c6b57846d4a114968632164473e7">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9d78f710c35fd54616737fc804c6140c"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Executive Director - Industry Participation &amp; Advanced Manufacturing</Recommender1jobtitle>
    <Recommender4jobtitle xmlns="1f5b8516-1216-4929-a6bb-f7b72c32bd97">Associate Secretary</Recommender4jobtitle>
    <Recommender5fullname xmlns="1f5b8516-1216-4929-a6bb-f7b72c32bd97" xsi:nil="true"/>
    <Recommender8fullname xmlns="1f5b8516-1216-4929-a6bb-f7b72c32bd97" xsi:nil="true"/>
    <DecisionMakerDueDate xmlns="1f5b8516-1216-4929-a6bb-f7b72c32bd97">2020-04-14T14:00:00+00:00</DecisionMakerDueDate>
    <Recommender4date xmlns="1f5b8516-1216-4929-a6bb-f7b72c32bd97" xsi:nil="true"/>
    <DecisionMaker1date xmlns="1f5b8516-1216-4929-a6bb-f7b72c32bd97">27/05/2020 01:17 PM</DecisionMaker1date>
    <RecordSubject xmlns="1f5b8516-1216-4929-a6bb-f7b72c32bd97">Local Jobs First Policy Enhancements </RecordSubject>
    <Recommender1workphone xmlns="1f5b8516-1216-4929-a6bb-f7b72c32bd97">0396519516</Recommender1workphone>
    <Recommender4workphone xmlns="1f5b8516-1216-4929-a6bb-f7b72c32bd97">0383928001</Recommender4workphone>
    <DecisionMaker2workphone xmlns="1f5b8516-1216-4929-a6bb-f7b72c32bd97" xsi:nil="true"/>
    <DecisionMaker3decision xmlns="1f5b8516-1216-4929-a6bb-f7b72c32bd97" xsi:nil="true"/>
    <OrganisationLevel3 xmlns="1f5b8516-1216-4929-a6bb-f7b72c32bd97">Office of Industry Participation and Jobs</OrganisationLevel3>
    <Leadauthorfullname xmlns="1f5b8516-1216-4929-a6bb-f7b72c32bd97">James Carr (DEDJTR)</Leadauthorfullname>
    <Recommender1fullname xmlns="1f5b8516-1216-4929-a6bb-f7b72c32bd97">Nanette Fitzgerald (DEDJTR)</Recommender1fullname>
    <Recommender4fullname xmlns="1f5b8516-1216-4929-a6bb-f7b72c32bd97">Penelope McKay (DJPR)</Recommender4fullname>
    <Recommender5jobtitle xmlns="1f5b8516-1216-4929-a6bb-f7b72c32bd97" xsi:nil="true"/>
    <DecisionMaker1fullname xmlns="1f5b8516-1216-4929-a6bb-f7b72c32bd97">THE HON MARTIN PAKULA MP</DecisionMaker1fullname>
    <DecisionMaker3jobtitle xmlns="1f5b8516-1216-4929-a6bb-f7b72c32bd97" xsi:nil="true"/>
    <VersionNumber xmlns="1f5b8516-1216-4929-a6bb-f7b72c32bd97" xsi:nil="true"/>
    <Leadauthordate xmlns="1f5b8516-1216-4929-a6bb-f7b72c32bd97">18/05/2020 08:40 AM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Policy Officer</Leadauthorjobtitle>
    <Recommender2jobtitle xmlns="1f5b8516-1216-4929-a6bb-f7b72c32bd97">Deputy Secretary, Jobs,Innovation &amp; Business Engagement</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 xsi:nil="true"/>
    <Recommender1date xmlns="1f5b8516-1216-4929-a6bb-f7b72c32bd97">18/05/2020 11:12 AM</Recommender1date>
    <Recommender6date xmlns="1f5b8516-1216-4929-a6bb-f7b72c32bd97" xsi:nil="true"/>
    <Recommender2workphone xmlns="1f5b8516-1216-4929-a6bb-f7b72c32bd97">0383928036</Recommender2workphone>
    <DecisionMaker1workphone xmlns="1f5b8516-1216-4929-a6bb-f7b72c32bd97">0383922221</DecisionMaker1workphone>
    <Decisioncategory xmlns="1f5b8516-1216-4929-a6bb-f7b72c32bd97">Minister for Jobs, Innovation and Trade</Decisioncategory>
    <AccountableOfficerworkphone xmlns="1f5b8516-1216-4929-a6bb-f7b72c32bd97">96519282</AccountableOfficerworkphone>
    <Recommender3fullname xmlns="1f5b8516-1216-4929-a6bb-f7b72c32bd97">Simon Phemister (DJPR)</Recommender3fullname>
    <Recommender3jobtitle xmlns="1f5b8516-1216-4929-a6bb-f7b72c32bd97">Secretary</Recommender3jobtitl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 xsi:nil="true"/>
    <Leadauthorworkphone xmlns="1f5b8516-1216-4929-a6bb-f7b72c32bd97">96519254</Leadauthorworkphone>
    <Recommender3workphone xmlns="1f5b8516-1216-4929-a6bb-f7b72c32bd97">0383928002</Recommender3workphon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Jobs, Innovation and Business Engagement</OrganisationLevel1>
    <RequestFrom xmlns="1f5b8516-1216-4929-a6bb-f7b72c32bd97">Organisation</RequestFrom>
    <AccountableOfficerdate xmlns="1f5b8516-1216-4929-a6bb-f7b72c32bd97" xsi:nil="true"/>
    <Recommender2fullname xmlns="1f5b8516-1216-4929-a6bb-f7b72c32bd97">David Latina (DEDJTR)</Recommender2fullname>
    <Recommender7jobtitle xmlns="1f5b8516-1216-4929-a6bb-f7b72c32bd97" xsi:nil="true"/>
    <DecisionMaker1jobtitle xmlns="1f5b8516-1216-4929-a6bb-f7b72c32bd97">Minister Pakula's Office</DecisionMaker1jobtitle>
    <DecisionMaker3fullname xmlns="1f5b8516-1216-4929-a6bb-f7b72c32bd97" xsi:nil="true"/>
    <RecommenderDueDate xmlns="1f5b8516-1216-4929-a6bb-f7b72c32bd97">2020-04-08T14:00:00+00:00</RecommenderDueDate>
    <RecordSubtype xmlns="1f5b8516-1216-4929-a6bb-f7b72c32bd97">Ministerial Briefing</RecordSubtype>
    <AccountableOfficerfullname xmlns="1f5b8516-1216-4929-a6bb-f7b72c32bd97">Rebecca Skinner (DEDJTR)</AccountableOfficerfullname>
    <AccountableOfficerjobtitle xmlns="1f5b8516-1216-4929-a6bb-f7b72c32bd97">Acting Director, Industry Participation</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2020-04-13T14:00:00+00:00</DecisionRequired>
    <DecisionMaker2decision xmlns="1f5b8516-1216-4929-a6bb-f7b72c32bd97" xsi:nil="true"/>
    <OrganisationLevel2 xmlns="1f5b8516-1216-4929-a6bb-f7b72c32bd97">Industry Participation and Advanced Manufacturing</OrganisationLevel2>
    <RegistrationNumber xmlns="1f5b8516-1216-4929-a6bb-f7b72c32bd97">BMIN-2-19-1214</Registration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178B-A05D-40E3-BA62-D8A24614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686EB-90BE-4D80-A4BE-F48BC5AC4F01}">
  <ds:schemaRefs>
    <ds:schemaRef ds:uri="http://schemas.microsoft.com/office/2006/metadata/properties"/>
    <ds:schemaRef ds:uri="http://schemas.microsoft.com/office/infopath/2007/PartnerControls"/>
    <ds:schemaRef ds:uri="1f5b8516-1216-4929-a6bb-f7b72c32bd97"/>
  </ds:schemaRefs>
</ds:datastoreItem>
</file>

<file path=customXml/itemProps3.xml><?xml version="1.0" encoding="utf-8"?>
<ds:datastoreItem xmlns:ds="http://schemas.openxmlformats.org/officeDocument/2006/customXml" ds:itemID="{45726DC5-BDC2-4345-A009-1E28058AADB0}">
  <ds:schemaRefs>
    <ds:schemaRef ds:uri="http://schemas.microsoft.com/sharepoint/v3/contenttype/forms"/>
  </ds:schemaRefs>
</ds:datastoreItem>
</file>

<file path=customXml/itemProps4.xml><?xml version="1.0" encoding="utf-8"?>
<ds:datastoreItem xmlns:ds="http://schemas.openxmlformats.org/officeDocument/2006/customXml" ds:itemID="{FE4AA8F5-CD87-4033-B678-7FD60163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11865</Words>
  <Characters>67637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2020-05-27T05:08:00Z</dcterms:created>
  <dcterms:modified xsi:type="dcterms:W3CDTF">2020-05-27T05:17:00Z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Replytype">
    <vt:lpwstr/>
  </property>
  <property fmtid="{D5CDD505-2E9C-101B-9397-08002B2CF9AE}" pid="4" name="_docset_NoMedatataSyncRequired">
    <vt:lpwstr>False</vt:lpwstr>
  </property>
</Properties>
</file>