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rPr>
        <w:id w:val="1792633033"/>
        <w:docPartObj>
          <w:docPartGallery w:val="Cover Pages"/>
          <w:docPartUnique/>
        </w:docPartObj>
      </w:sdtPr>
      <w:sdtEndPr>
        <w:rPr>
          <w:color w:val="FFFFFF" w:themeColor="background1"/>
          <w:sz w:val="32"/>
          <w:szCs w:val="32"/>
        </w:rPr>
      </w:sdtEndPr>
      <w:sdtContent>
        <w:p w14:paraId="35340279" w14:textId="77777777" w:rsidR="005C4123" w:rsidRDefault="005C4123" w:rsidP="005C4123">
          <w:pPr>
            <w:jc w:val="right"/>
            <w:rPr>
              <w:rStyle w:val="TitleChar"/>
            </w:rPr>
          </w:pPr>
          <w:r>
            <w:rPr>
              <w:rStyle w:val="TitleChar"/>
            </w:rPr>
            <w:t xml:space="preserve">Local jobs first policy </w:t>
          </w:r>
        </w:p>
        <w:p w14:paraId="274F9EB8" w14:textId="77777777" w:rsidR="005C4123" w:rsidRPr="0047003A" w:rsidRDefault="005C4123" w:rsidP="005C4123">
          <w:pPr>
            <w:jc w:val="right"/>
            <w:rPr>
              <w:rStyle w:val="TitleChar"/>
            </w:rPr>
          </w:pPr>
          <w:r>
            <w:rPr>
              <w:rStyle w:val="TitleChar"/>
            </w:rPr>
            <w:t>Agency Guidelines</w:t>
          </w:r>
        </w:p>
        <w:p w14:paraId="3488CC9D" w14:textId="77777777" w:rsidR="005C4123" w:rsidRDefault="005C4123" w:rsidP="005C4123">
          <w:pPr>
            <w:pStyle w:val="Subtitle"/>
          </w:pPr>
          <w:r>
            <w:t xml:space="preserve">Under the </w:t>
          </w:r>
          <w:r w:rsidRPr="008B5E10">
            <w:rPr>
              <w:i/>
            </w:rPr>
            <w:t>Local Jobs First Act 2003</w:t>
          </w:r>
          <w:r>
            <w:t xml:space="preserve"> </w:t>
          </w:r>
        </w:p>
        <w:p w14:paraId="7F1E7FB8" w14:textId="320F62FE" w:rsidR="004371F6" w:rsidRPr="005C4123" w:rsidRDefault="00971BE4" w:rsidP="005C4123">
          <w:pPr>
            <w:jc w:val="right"/>
            <w:rPr>
              <w:color w:val="FFFFFF" w:themeColor="background1"/>
              <w:sz w:val="32"/>
              <w:szCs w:val="32"/>
            </w:rPr>
          </w:pPr>
          <w:r>
            <w:rPr>
              <w:color w:val="FFFFFF" w:themeColor="background1"/>
              <w:sz w:val="32"/>
              <w:szCs w:val="32"/>
            </w:rPr>
            <w:t>May</w:t>
          </w:r>
          <w:r w:rsidR="009A1BC9">
            <w:rPr>
              <w:color w:val="FFFFFF" w:themeColor="background1"/>
              <w:sz w:val="32"/>
              <w:szCs w:val="32"/>
            </w:rPr>
            <w:t xml:space="preserve"> 2020</w:t>
          </w:r>
        </w:p>
      </w:sdtContent>
    </w:sdt>
    <w:p w14:paraId="5016AA22" w14:textId="77777777" w:rsidR="004371F6" w:rsidRDefault="004371F6" w:rsidP="00D96C1E">
      <w:pPr>
        <w:rPr>
          <w:rFonts w:ascii="Verdana" w:hAnsi="Verdana"/>
        </w:rPr>
        <w:sectPr w:rsidR="004371F6" w:rsidSect="00D0537A">
          <w:headerReference w:type="default" r:id="rId11"/>
          <w:footerReference w:type="default" r:id="rId12"/>
          <w:headerReference w:type="first" r:id="rId13"/>
          <w:footerReference w:type="first" r:id="rId14"/>
          <w:pgSz w:w="11906" w:h="16838"/>
          <w:pgMar w:top="3818" w:right="1440" w:bottom="1440" w:left="1440" w:header="703" w:footer="137" w:gutter="0"/>
          <w:pgNumType w:start="0"/>
          <w:cols w:space="708"/>
          <w:docGrid w:linePitch="360"/>
        </w:sectPr>
      </w:pPr>
    </w:p>
    <w:p w14:paraId="1089B099" w14:textId="77777777" w:rsidR="004371F6" w:rsidRPr="00772EEC" w:rsidRDefault="004371F6" w:rsidP="00D96C1E">
      <w:pPr>
        <w:pStyle w:val="TOCHeading"/>
        <w:rPr>
          <w:sz w:val="32"/>
        </w:rPr>
      </w:pPr>
      <w:r w:rsidRPr="00772EEC">
        <w:rPr>
          <w:sz w:val="32"/>
        </w:rPr>
        <w:lastRenderedPageBreak/>
        <w:t>Table of contents</w:t>
      </w:r>
    </w:p>
    <w:p w14:paraId="563C366A" w14:textId="6106F8F7" w:rsidR="00521288" w:rsidRDefault="004371F6">
      <w:pPr>
        <w:pStyle w:val="TOC1"/>
        <w:tabs>
          <w:tab w:val="left" w:pos="600"/>
        </w:tabs>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lang w:eastAsia="en-AU"/>
        </w:rPr>
        <w:instrText xml:space="preserve"> TOC \o "1-3" \h \z \t "Appendices,4" </w:instrText>
      </w:r>
      <w:r>
        <w:rPr>
          <w:noProof/>
          <w:color w:val="auto"/>
          <w:lang w:eastAsia="en-AU"/>
        </w:rPr>
        <w:fldChar w:fldCharType="separate"/>
      </w:r>
      <w:hyperlink w:anchor="_Toc31116353" w:history="1">
        <w:r w:rsidR="00521288" w:rsidRPr="00926333">
          <w:rPr>
            <w:rStyle w:val="Hyperlink"/>
            <w:noProof/>
          </w:rPr>
          <w:t>1</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Overview</w:t>
        </w:r>
        <w:r w:rsidR="00521288">
          <w:rPr>
            <w:noProof/>
            <w:webHidden/>
          </w:rPr>
          <w:tab/>
        </w:r>
        <w:r w:rsidR="00521288">
          <w:rPr>
            <w:noProof/>
            <w:webHidden/>
          </w:rPr>
          <w:fldChar w:fldCharType="begin"/>
        </w:r>
        <w:r w:rsidR="00521288">
          <w:rPr>
            <w:noProof/>
            <w:webHidden/>
          </w:rPr>
          <w:instrText xml:space="preserve"> PAGEREF _Toc31116353 \h </w:instrText>
        </w:r>
        <w:r w:rsidR="00521288">
          <w:rPr>
            <w:noProof/>
            <w:webHidden/>
          </w:rPr>
        </w:r>
        <w:r w:rsidR="00521288">
          <w:rPr>
            <w:noProof/>
            <w:webHidden/>
          </w:rPr>
          <w:fldChar w:fldCharType="separate"/>
        </w:r>
        <w:r w:rsidR="00850CBC">
          <w:rPr>
            <w:noProof/>
            <w:webHidden/>
          </w:rPr>
          <w:t>2</w:t>
        </w:r>
        <w:r w:rsidR="00521288">
          <w:rPr>
            <w:noProof/>
            <w:webHidden/>
          </w:rPr>
          <w:fldChar w:fldCharType="end"/>
        </w:r>
      </w:hyperlink>
    </w:p>
    <w:p w14:paraId="5F0057B9" w14:textId="1A66B60A"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54" w:history="1">
        <w:r w:rsidR="00521288" w:rsidRPr="00926333">
          <w:rPr>
            <w:rStyle w:val="Hyperlink"/>
            <w:noProof/>
          </w:rPr>
          <w:t>2</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Application</w:t>
        </w:r>
        <w:r w:rsidR="00521288">
          <w:rPr>
            <w:noProof/>
            <w:webHidden/>
          </w:rPr>
          <w:tab/>
        </w:r>
        <w:r w:rsidR="00521288">
          <w:rPr>
            <w:noProof/>
            <w:webHidden/>
          </w:rPr>
          <w:fldChar w:fldCharType="begin"/>
        </w:r>
        <w:r w:rsidR="00521288">
          <w:rPr>
            <w:noProof/>
            <w:webHidden/>
          </w:rPr>
          <w:instrText xml:space="preserve"> PAGEREF _Toc31116354 \h </w:instrText>
        </w:r>
        <w:r w:rsidR="00521288">
          <w:rPr>
            <w:noProof/>
            <w:webHidden/>
          </w:rPr>
        </w:r>
        <w:r w:rsidR="00521288">
          <w:rPr>
            <w:noProof/>
            <w:webHidden/>
          </w:rPr>
          <w:fldChar w:fldCharType="separate"/>
        </w:r>
        <w:r w:rsidR="00850CBC">
          <w:rPr>
            <w:noProof/>
            <w:webHidden/>
          </w:rPr>
          <w:t>2</w:t>
        </w:r>
        <w:r w:rsidR="00521288">
          <w:rPr>
            <w:noProof/>
            <w:webHidden/>
          </w:rPr>
          <w:fldChar w:fldCharType="end"/>
        </w:r>
      </w:hyperlink>
    </w:p>
    <w:p w14:paraId="2B323E88" w14:textId="684F1CFB"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55" w:history="1">
        <w:r w:rsidR="00521288" w:rsidRPr="00926333">
          <w:rPr>
            <w:rStyle w:val="Hyperlink"/>
            <w:noProof/>
          </w:rPr>
          <w:t>3</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Starting a Project</w:t>
        </w:r>
        <w:r w:rsidR="00521288">
          <w:rPr>
            <w:noProof/>
            <w:webHidden/>
          </w:rPr>
          <w:tab/>
        </w:r>
        <w:r w:rsidR="00521288">
          <w:rPr>
            <w:noProof/>
            <w:webHidden/>
          </w:rPr>
          <w:fldChar w:fldCharType="begin"/>
        </w:r>
        <w:r w:rsidR="00521288">
          <w:rPr>
            <w:noProof/>
            <w:webHidden/>
          </w:rPr>
          <w:instrText xml:space="preserve"> PAGEREF _Toc31116355 \h </w:instrText>
        </w:r>
        <w:r w:rsidR="00521288">
          <w:rPr>
            <w:noProof/>
            <w:webHidden/>
          </w:rPr>
        </w:r>
        <w:r w:rsidR="00521288">
          <w:rPr>
            <w:noProof/>
            <w:webHidden/>
          </w:rPr>
          <w:fldChar w:fldCharType="separate"/>
        </w:r>
        <w:r w:rsidR="00850CBC">
          <w:rPr>
            <w:noProof/>
            <w:webHidden/>
          </w:rPr>
          <w:t>2</w:t>
        </w:r>
        <w:r w:rsidR="00521288">
          <w:rPr>
            <w:noProof/>
            <w:webHidden/>
          </w:rPr>
          <w:fldChar w:fldCharType="end"/>
        </w:r>
      </w:hyperlink>
    </w:p>
    <w:p w14:paraId="4195B794" w14:textId="31173254"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56" w:history="1">
        <w:r w:rsidR="00521288" w:rsidRPr="00926333">
          <w:rPr>
            <w:rStyle w:val="Hyperlink"/>
            <w:noProof/>
          </w:rPr>
          <w:t>4</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Applying Local Jobs First</w:t>
        </w:r>
        <w:r w:rsidR="00521288">
          <w:rPr>
            <w:noProof/>
            <w:webHidden/>
          </w:rPr>
          <w:tab/>
        </w:r>
        <w:r w:rsidR="00521288">
          <w:rPr>
            <w:noProof/>
            <w:webHidden/>
          </w:rPr>
          <w:fldChar w:fldCharType="begin"/>
        </w:r>
        <w:r w:rsidR="00521288">
          <w:rPr>
            <w:noProof/>
            <w:webHidden/>
          </w:rPr>
          <w:instrText xml:space="preserve"> PAGEREF _Toc31116356 \h </w:instrText>
        </w:r>
        <w:r w:rsidR="00521288">
          <w:rPr>
            <w:noProof/>
            <w:webHidden/>
          </w:rPr>
        </w:r>
        <w:r w:rsidR="00521288">
          <w:rPr>
            <w:noProof/>
            <w:webHidden/>
          </w:rPr>
          <w:fldChar w:fldCharType="separate"/>
        </w:r>
        <w:r w:rsidR="00850CBC">
          <w:rPr>
            <w:noProof/>
            <w:webHidden/>
          </w:rPr>
          <w:t>2</w:t>
        </w:r>
        <w:r w:rsidR="00521288">
          <w:rPr>
            <w:noProof/>
            <w:webHidden/>
          </w:rPr>
          <w:fldChar w:fldCharType="end"/>
        </w:r>
      </w:hyperlink>
    </w:p>
    <w:p w14:paraId="27B0903E" w14:textId="3174B99D"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57" w:history="1">
        <w:r w:rsidR="00521288" w:rsidRPr="00926333">
          <w:rPr>
            <w:rStyle w:val="Hyperlink"/>
            <w:rFonts w:cstheme="minorHAnsi"/>
            <w:noProof/>
          </w:rPr>
          <w:t>5</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Applying Local Jobs First to Standard Projects</w:t>
        </w:r>
        <w:r w:rsidR="00521288">
          <w:rPr>
            <w:noProof/>
            <w:webHidden/>
          </w:rPr>
          <w:tab/>
        </w:r>
        <w:r w:rsidR="00521288">
          <w:rPr>
            <w:noProof/>
            <w:webHidden/>
          </w:rPr>
          <w:fldChar w:fldCharType="begin"/>
        </w:r>
        <w:r w:rsidR="00521288">
          <w:rPr>
            <w:noProof/>
            <w:webHidden/>
          </w:rPr>
          <w:instrText xml:space="preserve"> PAGEREF _Toc31116357 \h </w:instrText>
        </w:r>
        <w:r w:rsidR="00521288">
          <w:rPr>
            <w:noProof/>
            <w:webHidden/>
          </w:rPr>
        </w:r>
        <w:r w:rsidR="00521288">
          <w:rPr>
            <w:noProof/>
            <w:webHidden/>
          </w:rPr>
          <w:fldChar w:fldCharType="separate"/>
        </w:r>
        <w:r w:rsidR="00850CBC">
          <w:rPr>
            <w:noProof/>
            <w:webHidden/>
          </w:rPr>
          <w:t>4</w:t>
        </w:r>
        <w:r w:rsidR="00521288">
          <w:rPr>
            <w:noProof/>
            <w:webHidden/>
          </w:rPr>
          <w:fldChar w:fldCharType="end"/>
        </w:r>
      </w:hyperlink>
    </w:p>
    <w:p w14:paraId="3B9A6E72" w14:textId="63FC99C6"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58" w:history="1">
        <w:r w:rsidR="00521288" w:rsidRPr="00926333">
          <w:rPr>
            <w:rStyle w:val="Hyperlink"/>
            <w:rFonts w:cstheme="minorHAnsi"/>
            <w:noProof/>
          </w:rPr>
          <w:t>6</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Step by step process in applying Local Jobs First to Major Projects Skills Guarantee applicable projects</w:t>
        </w:r>
        <w:r w:rsidR="00521288">
          <w:rPr>
            <w:noProof/>
            <w:webHidden/>
          </w:rPr>
          <w:tab/>
        </w:r>
        <w:r w:rsidR="00521288">
          <w:rPr>
            <w:noProof/>
            <w:webHidden/>
          </w:rPr>
          <w:fldChar w:fldCharType="begin"/>
        </w:r>
        <w:r w:rsidR="00521288">
          <w:rPr>
            <w:noProof/>
            <w:webHidden/>
          </w:rPr>
          <w:instrText xml:space="preserve"> PAGEREF _Toc31116358 \h </w:instrText>
        </w:r>
        <w:r w:rsidR="00521288">
          <w:rPr>
            <w:noProof/>
            <w:webHidden/>
          </w:rPr>
        </w:r>
        <w:r w:rsidR="00521288">
          <w:rPr>
            <w:noProof/>
            <w:webHidden/>
          </w:rPr>
          <w:fldChar w:fldCharType="separate"/>
        </w:r>
        <w:r w:rsidR="00850CBC">
          <w:rPr>
            <w:noProof/>
            <w:webHidden/>
          </w:rPr>
          <w:t>9</w:t>
        </w:r>
        <w:r w:rsidR="00521288">
          <w:rPr>
            <w:noProof/>
            <w:webHidden/>
          </w:rPr>
          <w:fldChar w:fldCharType="end"/>
        </w:r>
      </w:hyperlink>
    </w:p>
    <w:p w14:paraId="2E8BCFAD" w14:textId="6ED786E8"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59" w:history="1">
        <w:r w:rsidR="00521288" w:rsidRPr="00926333">
          <w:rPr>
            <w:rStyle w:val="Hyperlink"/>
            <w:rFonts w:cstheme="minorHAnsi"/>
            <w:noProof/>
          </w:rPr>
          <w:t>7</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Step by step process in applying Local Jobs First to Strategic Projects</w:t>
        </w:r>
        <w:r w:rsidR="00521288">
          <w:rPr>
            <w:noProof/>
            <w:webHidden/>
          </w:rPr>
          <w:tab/>
        </w:r>
        <w:r w:rsidR="00521288">
          <w:rPr>
            <w:noProof/>
            <w:webHidden/>
          </w:rPr>
          <w:fldChar w:fldCharType="begin"/>
        </w:r>
        <w:r w:rsidR="00521288">
          <w:rPr>
            <w:noProof/>
            <w:webHidden/>
          </w:rPr>
          <w:instrText xml:space="preserve"> PAGEREF _Toc31116359 \h </w:instrText>
        </w:r>
        <w:r w:rsidR="00521288">
          <w:rPr>
            <w:noProof/>
            <w:webHidden/>
          </w:rPr>
        </w:r>
        <w:r w:rsidR="00521288">
          <w:rPr>
            <w:noProof/>
            <w:webHidden/>
          </w:rPr>
          <w:fldChar w:fldCharType="separate"/>
        </w:r>
        <w:r w:rsidR="00850CBC">
          <w:rPr>
            <w:noProof/>
            <w:webHidden/>
          </w:rPr>
          <w:t>13</w:t>
        </w:r>
        <w:r w:rsidR="00521288">
          <w:rPr>
            <w:noProof/>
            <w:webHidden/>
          </w:rPr>
          <w:fldChar w:fldCharType="end"/>
        </w:r>
      </w:hyperlink>
    </w:p>
    <w:p w14:paraId="44AAE588" w14:textId="32084D2C"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0" w:history="1">
        <w:r w:rsidR="00521288" w:rsidRPr="00926333">
          <w:rPr>
            <w:rStyle w:val="Hyperlink"/>
            <w:rFonts w:cstheme="minorHAnsi"/>
            <w:noProof/>
          </w:rPr>
          <w:t>8</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Applying Local Jobs First to Market Led Proposals</w:t>
        </w:r>
        <w:r w:rsidR="00521288">
          <w:rPr>
            <w:noProof/>
            <w:webHidden/>
          </w:rPr>
          <w:tab/>
        </w:r>
        <w:r w:rsidR="00521288">
          <w:rPr>
            <w:noProof/>
            <w:webHidden/>
          </w:rPr>
          <w:fldChar w:fldCharType="begin"/>
        </w:r>
        <w:r w:rsidR="00521288">
          <w:rPr>
            <w:noProof/>
            <w:webHidden/>
          </w:rPr>
          <w:instrText xml:space="preserve"> PAGEREF _Toc31116360 \h </w:instrText>
        </w:r>
        <w:r w:rsidR="00521288">
          <w:rPr>
            <w:noProof/>
            <w:webHidden/>
          </w:rPr>
        </w:r>
        <w:r w:rsidR="00521288">
          <w:rPr>
            <w:noProof/>
            <w:webHidden/>
          </w:rPr>
          <w:fldChar w:fldCharType="separate"/>
        </w:r>
        <w:r w:rsidR="00850CBC">
          <w:rPr>
            <w:noProof/>
            <w:webHidden/>
          </w:rPr>
          <w:t>21</w:t>
        </w:r>
        <w:r w:rsidR="00521288">
          <w:rPr>
            <w:noProof/>
            <w:webHidden/>
          </w:rPr>
          <w:fldChar w:fldCharType="end"/>
        </w:r>
      </w:hyperlink>
    </w:p>
    <w:p w14:paraId="6B346965" w14:textId="314E8797"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1" w:history="1">
        <w:r w:rsidR="00521288" w:rsidRPr="00926333">
          <w:rPr>
            <w:rStyle w:val="Hyperlink"/>
            <w:rFonts w:cstheme="minorHAnsi"/>
            <w:noProof/>
          </w:rPr>
          <w:t>9</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Applying Local Jobs First to Grant and Loan Recipients</w:t>
        </w:r>
        <w:r w:rsidR="00521288">
          <w:rPr>
            <w:noProof/>
            <w:webHidden/>
          </w:rPr>
          <w:tab/>
        </w:r>
        <w:r w:rsidR="00521288">
          <w:rPr>
            <w:noProof/>
            <w:webHidden/>
          </w:rPr>
          <w:fldChar w:fldCharType="begin"/>
        </w:r>
        <w:r w:rsidR="00521288">
          <w:rPr>
            <w:noProof/>
            <w:webHidden/>
          </w:rPr>
          <w:instrText xml:space="preserve"> PAGEREF _Toc31116361 \h </w:instrText>
        </w:r>
        <w:r w:rsidR="00521288">
          <w:rPr>
            <w:noProof/>
            <w:webHidden/>
          </w:rPr>
        </w:r>
        <w:r w:rsidR="00521288">
          <w:rPr>
            <w:noProof/>
            <w:webHidden/>
          </w:rPr>
          <w:fldChar w:fldCharType="separate"/>
        </w:r>
        <w:r w:rsidR="00850CBC">
          <w:rPr>
            <w:noProof/>
            <w:webHidden/>
          </w:rPr>
          <w:t>21</w:t>
        </w:r>
        <w:r w:rsidR="00521288">
          <w:rPr>
            <w:noProof/>
            <w:webHidden/>
          </w:rPr>
          <w:fldChar w:fldCharType="end"/>
        </w:r>
      </w:hyperlink>
    </w:p>
    <w:p w14:paraId="54BC4379" w14:textId="24E42A8E"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2" w:history="1">
        <w:r w:rsidR="00521288" w:rsidRPr="00926333">
          <w:rPr>
            <w:rStyle w:val="Hyperlink"/>
            <w:rFonts w:cstheme="minorHAnsi"/>
            <w:noProof/>
          </w:rPr>
          <w:t>10</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Applying Local Jobs First to panels</w:t>
        </w:r>
        <w:r w:rsidR="00521288">
          <w:rPr>
            <w:noProof/>
            <w:webHidden/>
          </w:rPr>
          <w:tab/>
        </w:r>
        <w:r w:rsidR="00521288">
          <w:rPr>
            <w:noProof/>
            <w:webHidden/>
          </w:rPr>
          <w:fldChar w:fldCharType="begin"/>
        </w:r>
        <w:r w:rsidR="00521288">
          <w:rPr>
            <w:noProof/>
            <w:webHidden/>
          </w:rPr>
          <w:instrText xml:space="preserve"> PAGEREF _Toc31116362 \h </w:instrText>
        </w:r>
        <w:r w:rsidR="00521288">
          <w:rPr>
            <w:noProof/>
            <w:webHidden/>
          </w:rPr>
        </w:r>
        <w:r w:rsidR="00521288">
          <w:rPr>
            <w:noProof/>
            <w:webHidden/>
          </w:rPr>
          <w:fldChar w:fldCharType="separate"/>
        </w:r>
        <w:r w:rsidR="00850CBC">
          <w:rPr>
            <w:noProof/>
            <w:webHidden/>
          </w:rPr>
          <w:t>23</w:t>
        </w:r>
        <w:r w:rsidR="00521288">
          <w:rPr>
            <w:noProof/>
            <w:webHidden/>
          </w:rPr>
          <w:fldChar w:fldCharType="end"/>
        </w:r>
      </w:hyperlink>
    </w:p>
    <w:p w14:paraId="5575557E" w14:textId="41E47F94"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3" w:history="1">
        <w:r w:rsidR="00521288" w:rsidRPr="00926333">
          <w:rPr>
            <w:rStyle w:val="Hyperlink"/>
            <w:rFonts w:cstheme="minorHAnsi"/>
            <w:noProof/>
          </w:rPr>
          <w:t>11</w:t>
        </w:r>
        <w:r w:rsidR="00521288">
          <w:rPr>
            <w:rFonts w:asciiTheme="minorHAnsi" w:eastAsiaTheme="minorEastAsia" w:hAnsiTheme="minorHAnsi" w:cstheme="minorBidi"/>
            <w:noProof/>
            <w:color w:val="auto"/>
            <w:sz w:val="22"/>
            <w:szCs w:val="22"/>
            <w:lang w:eastAsia="en-AU"/>
          </w:rPr>
          <w:tab/>
        </w:r>
        <w:r w:rsidR="00521288" w:rsidRPr="00926333">
          <w:rPr>
            <w:rStyle w:val="Hyperlink"/>
            <w:rFonts w:cstheme="minorHAnsi"/>
            <w:noProof/>
          </w:rPr>
          <w:t>Applying Local Jobs First to other procurement approaches</w:t>
        </w:r>
        <w:r w:rsidR="00521288">
          <w:rPr>
            <w:noProof/>
            <w:webHidden/>
          </w:rPr>
          <w:tab/>
        </w:r>
        <w:r w:rsidR="00521288">
          <w:rPr>
            <w:noProof/>
            <w:webHidden/>
          </w:rPr>
          <w:fldChar w:fldCharType="begin"/>
        </w:r>
        <w:r w:rsidR="00521288">
          <w:rPr>
            <w:noProof/>
            <w:webHidden/>
          </w:rPr>
          <w:instrText xml:space="preserve"> PAGEREF _Toc31116363 \h </w:instrText>
        </w:r>
        <w:r w:rsidR="00521288">
          <w:rPr>
            <w:noProof/>
            <w:webHidden/>
          </w:rPr>
        </w:r>
        <w:r w:rsidR="00521288">
          <w:rPr>
            <w:noProof/>
            <w:webHidden/>
          </w:rPr>
          <w:fldChar w:fldCharType="separate"/>
        </w:r>
        <w:r w:rsidR="00850CBC">
          <w:rPr>
            <w:noProof/>
            <w:webHidden/>
          </w:rPr>
          <w:t>23</w:t>
        </w:r>
        <w:r w:rsidR="00521288">
          <w:rPr>
            <w:noProof/>
            <w:webHidden/>
          </w:rPr>
          <w:fldChar w:fldCharType="end"/>
        </w:r>
      </w:hyperlink>
    </w:p>
    <w:p w14:paraId="115DA921" w14:textId="5A6E1E55"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4" w:history="1">
        <w:r w:rsidR="00521288" w:rsidRPr="00926333">
          <w:rPr>
            <w:rStyle w:val="Hyperlink"/>
            <w:noProof/>
          </w:rPr>
          <w:t>12</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Local Jobs First Monitoring Requirements</w:t>
        </w:r>
        <w:r w:rsidR="00521288">
          <w:rPr>
            <w:noProof/>
            <w:webHidden/>
          </w:rPr>
          <w:tab/>
        </w:r>
        <w:r w:rsidR="00521288">
          <w:rPr>
            <w:noProof/>
            <w:webHidden/>
          </w:rPr>
          <w:fldChar w:fldCharType="begin"/>
        </w:r>
        <w:r w:rsidR="00521288">
          <w:rPr>
            <w:noProof/>
            <w:webHidden/>
          </w:rPr>
          <w:instrText xml:space="preserve"> PAGEREF _Toc31116364 \h </w:instrText>
        </w:r>
        <w:r w:rsidR="00521288">
          <w:rPr>
            <w:noProof/>
            <w:webHidden/>
          </w:rPr>
        </w:r>
        <w:r w:rsidR="00521288">
          <w:rPr>
            <w:noProof/>
            <w:webHidden/>
          </w:rPr>
          <w:fldChar w:fldCharType="separate"/>
        </w:r>
        <w:r w:rsidR="00850CBC">
          <w:rPr>
            <w:noProof/>
            <w:webHidden/>
          </w:rPr>
          <w:t>24</w:t>
        </w:r>
        <w:r w:rsidR="00521288">
          <w:rPr>
            <w:noProof/>
            <w:webHidden/>
          </w:rPr>
          <w:fldChar w:fldCharType="end"/>
        </w:r>
      </w:hyperlink>
    </w:p>
    <w:p w14:paraId="512E0F1C" w14:textId="6E47F108" w:rsidR="00521288" w:rsidRDefault="006D680F">
      <w:pPr>
        <w:pStyle w:val="TOC2"/>
        <w:rPr>
          <w:rFonts w:asciiTheme="minorHAnsi" w:eastAsiaTheme="minorEastAsia" w:hAnsiTheme="minorHAnsi" w:cstheme="minorBidi"/>
          <w:noProof/>
          <w:color w:val="auto"/>
          <w:sz w:val="22"/>
          <w:szCs w:val="22"/>
          <w:lang w:eastAsia="en-AU"/>
        </w:rPr>
      </w:pPr>
      <w:hyperlink w:anchor="_Toc31116365" w:history="1">
        <w:r w:rsidR="00521288" w:rsidRPr="00926333">
          <w:rPr>
            <w:rStyle w:val="Hyperlink"/>
            <w:noProof/>
          </w:rPr>
          <w:t>12.1</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Regular information reporting</w:t>
        </w:r>
        <w:r w:rsidR="00521288">
          <w:rPr>
            <w:noProof/>
            <w:webHidden/>
          </w:rPr>
          <w:tab/>
        </w:r>
        <w:r w:rsidR="00521288">
          <w:rPr>
            <w:noProof/>
            <w:webHidden/>
          </w:rPr>
          <w:fldChar w:fldCharType="begin"/>
        </w:r>
        <w:r w:rsidR="00521288">
          <w:rPr>
            <w:noProof/>
            <w:webHidden/>
          </w:rPr>
          <w:instrText xml:space="preserve"> PAGEREF _Toc31116365 \h </w:instrText>
        </w:r>
        <w:r w:rsidR="00521288">
          <w:rPr>
            <w:noProof/>
            <w:webHidden/>
          </w:rPr>
        </w:r>
        <w:r w:rsidR="00521288">
          <w:rPr>
            <w:noProof/>
            <w:webHidden/>
          </w:rPr>
          <w:fldChar w:fldCharType="separate"/>
        </w:r>
        <w:r w:rsidR="00850CBC">
          <w:rPr>
            <w:noProof/>
            <w:webHidden/>
          </w:rPr>
          <w:t>24</w:t>
        </w:r>
        <w:r w:rsidR="00521288">
          <w:rPr>
            <w:noProof/>
            <w:webHidden/>
          </w:rPr>
          <w:fldChar w:fldCharType="end"/>
        </w:r>
      </w:hyperlink>
    </w:p>
    <w:p w14:paraId="6F0680E2" w14:textId="09DC2A76" w:rsidR="00521288" w:rsidRDefault="006D680F">
      <w:pPr>
        <w:pStyle w:val="TOC2"/>
        <w:rPr>
          <w:rFonts w:asciiTheme="minorHAnsi" w:eastAsiaTheme="minorEastAsia" w:hAnsiTheme="minorHAnsi" w:cstheme="minorBidi"/>
          <w:noProof/>
          <w:color w:val="auto"/>
          <w:sz w:val="22"/>
          <w:szCs w:val="22"/>
          <w:lang w:eastAsia="en-AU"/>
        </w:rPr>
      </w:pPr>
      <w:hyperlink w:anchor="_Toc31116366" w:history="1">
        <w:r w:rsidR="00521288" w:rsidRPr="00926333">
          <w:rPr>
            <w:rStyle w:val="Hyperlink"/>
            <w:noProof/>
          </w:rPr>
          <w:t>12.2</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Half yearly reporting</w:t>
        </w:r>
        <w:r w:rsidR="00521288">
          <w:rPr>
            <w:noProof/>
            <w:webHidden/>
          </w:rPr>
          <w:tab/>
        </w:r>
        <w:r w:rsidR="00521288">
          <w:rPr>
            <w:noProof/>
            <w:webHidden/>
          </w:rPr>
          <w:fldChar w:fldCharType="begin"/>
        </w:r>
        <w:r w:rsidR="00521288">
          <w:rPr>
            <w:noProof/>
            <w:webHidden/>
          </w:rPr>
          <w:instrText xml:space="preserve"> PAGEREF _Toc31116366 \h </w:instrText>
        </w:r>
        <w:r w:rsidR="00521288">
          <w:rPr>
            <w:noProof/>
            <w:webHidden/>
          </w:rPr>
        </w:r>
        <w:r w:rsidR="00521288">
          <w:rPr>
            <w:noProof/>
            <w:webHidden/>
          </w:rPr>
          <w:fldChar w:fldCharType="separate"/>
        </w:r>
        <w:r w:rsidR="00850CBC">
          <w:rPr>
            <w:noProof/>
            <w:webHidden/>
          </w:rPr>
          <w:t>24</w:t>
        </w:r>
        <w:r w:rsidR="00521288">
          <w:rPr>
            <w:noProof/>
            <w:webHidden/>
          </w:rPr>
          <w:fldChar w:fldCharType="end"/>
        </w:r>
      </w:hyperlink>
    </w:p>
    <w:p w14:paraId="678B4487" w14:textId="1799E99E" w:rsidR="00521288" w:rsidRDefault="006D680F">
      <w:pPr>
        <w:pStyle w:val="TOC2"/>
        <w:rPr>
          <w:rFonts w:asciiTheme="minorHAnsi" w:eastAsiaTheme="minorEastAsia" w:hAnsiTheme="minorHAnsi" w:cstheme="minorBidi"/>
          <w:noProof/>
          <w:color w:val="auto"/>
          <w:sz w:val="22"/>
          <w:szCs w:val="22"/>
          <w:lang w:eastAsia="en-AU"/>
        </w:rPr>
      </w:pPr>
      <w:hyperlink w:anchor="_Toc31116367" w:history="1">
        <w:r w:rsidR="00521288" w:rsidRPr="00926333">
          <w:rPr>
            <w:rStyle w:val="Hyperlink"/>
            <w:noProof/>
          </w:rPr>
          <w:t>12.3</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Annual reporting</w:t>
        </w:r>
        <w:r w:rsidR="00521288">
          <w:rPr>
            <w:noProof/>
            <w:webHidden/>
          </w:rPr>
          <w:tab/>
        </w:r>
        <w:r w:rsidR="00521288">
          <w:rPr>
            <w:noProof/>
            <w:webHidden/>
          </w:rPr>
          <w:fldChar w:fldCharType="begin"/>
        </w:r>
        <w:r w:rsidR="00521288">
          <w:rPr>
            <w:noProof/>
            <w:webHidden/>
          </w:rPr>
          <w:instrText xml:space="preserve"> PAGEREF _Toc31116367 \h </w:instrText>
        </w:r>
        <w:r w:rsidR="00521288">
          <w:rPr>
            <w:noProof/>
            <w:webHidden/>
          </w:rPr>
        </w:r>
        <w:r w:rsidR="00521288">
          <w:rPr>
            <w:noProof/>
            <w:webHidden/>
          </w:rPr>
          <w:fldChar w:fldCharType="separate"/>
        </w:r>
        <w:r w:rsidR="00850CBC">
          <w:rPr>
            <w:noProof/>
            <w:webHidden/>
          </w:rPr>
          <w:t>25</w:t>
        </w:r>
        <w:r w:rsidR="00521288">
          <w:rPr>
            <w:noProof/>
            <w:webHidden/>
          </w:rPr>
          <w:fldChar w:fldCharType="end"/>
        </w:r>
      </w:hyperlink>
    </w:p>
    <w:p w14:paraId="64D0D492" w14:textId="5D7F542D"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8" w:history="1">
        <w:r w:rsidR="00521288" w:rsidRPr="00926333">
          <w:rPr>
            <w:rStyle w:val="Hyperlink"/>
            <w:noProof/>
          </w:rPr>
          <w:t>13</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Completing a project</w:t>
        </w:r>
        <w:r w:rsidR="00521288">
          <w:rPr>
            <w:noProof/>
            <w:webHidden/>
          </w:rPr>
          <w:tab/>
        </w:r>
        <w:r w:rsidR="00521288">
          <w:rPr>
            <w:noProof/>
            <w:webHidden/>
          </w:rPr>
          <w:fldChar w:fldCharType="begin"/>
        </w:r>
        <w:r w:rsidR="00521288">
          <w:rPr>
            <w:noProof/>
            <w:webHidden/>
          </w:rPr>
          <w:instrText xml:space="preserve"> PAGEREF _Toc31116368 \h </w:instrText>
        </w:r>
        <w:r w:rsidR="00521288">
          <w:rPr>
            <w:noProof/>
            <w:webHidden/>
          </w:rPr>
        </w:r>
        <w:r w:rsidR="00521288">
          <w:rPr>
            <w:noProof/>
            <w:webHidden/>
          </w:rPr>
          <w:fldChar w:fldCharType="separate"/>
        </w:r>
        <w:r w:rsidR="00850CBC">
          <w:rPr>
            <w:noProof/>
            <w:webHidden/>
          </w:rPr>
          <w:t>25</w:t>
        </w:r>
        <w:r w:rsidR="00521288">
          <w:rPr>
            <w:noProof/>
            <w:webHidden/>
          </w:rPr>
          <w:fldChar w:fldCharType="end"/>
        </w:r>
      </w:hyperlink>
    </w:p>
    <w:p w14:paraId="3A77C399" w14:textId="704C08C5"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69" w:history="1">
        <w:r w:rsidR="00521288" w:rsidRPr="00926333">
          <w:rPr>
            <w:rStyle w:val="Hyperlink"/>
            <w:noProof/>
          </w:rPr>
          <w:t>14</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Compliance</w:t>
        </w:r>
        <w:r w:rsidR="00521288">
          <w:rPr>
            <w:noProof/>
            <w:webHidden/>
          </w:rPr>
          <w:tab/>
        </w:r>
        <w:r w:rsidR="00521288">
          <w:rPr>
            <w:noProof/>
            <w:webHidden/>
          </w:rPr>
          <w:fldChar w:fldCharType="begin"/>
        </w:r>
        <w:r w:rsidR="00521288">
          <w:rPr>
            <w:noProof/>
            <w:webHidden/>
          </w:rPr>
          <w:instrText xml:space="preserve"> PAGEREF _Toc31116369 \h </w:instrText>
        </w:r>
        <w:r w:rsidR="00521288">
          <w:rPr>
            <w:noProof/>
            <w:webHidden/>
          </w:rPr>
        </w:r>
        <w:r w:rsidR="00521288">
          <w:rPr>
            <w:noProof/>
            <w:webHidden/>
          </w:rPr>
          <w:fldChar w:fldCharType="separate"/>
        </w:r>
        <w:r w:rsidR="00850CBC">
          <w:rPr>
            <w:noProof/>
            <w:webHidden/>
          </w:rPr>
          <w:t>26</w:t>
        </w:r>
        <w:r w:rsidR="00521288">
          <w:rPr>
            <w:noProof/>
            <w:webHidden/>
          </w:rPr>
          <w:fldChar w:fldCharType="end"/>
        </w:r>
      </w:hyperlink>
    </w:p>
    <w:p w14:paraId="1F97A744" w14:textId="0D62826C" w:rsidR="00521288" w:rsidRDefault="006D680F">
      <w:pPr>
        <w:pStyle w:val="TOC1"/>
        <w:tabs>
          <w:tab w:val="left" w:pos="600"/>
        </w:tabs>
        <w:rPr>
          <w:rFonts w:asciiTheme="minorHAnsi" w:eastAsiaTheme="minorEastAsia" w:hAnsiTheme="minorHAnsi" w:cstheme="minorBidi"/>
          <w:noProof/>
          <w:color w:val="auto"/>
          <w:sz w:val="22"/>
          <w:szCs w:val="22"/>
          <w:lang w:eastAsia="en-AU"/>
        </w:rPr>
      </w:pPr>
      <w:hyperlink w:anchor="_Toc31116370" w:history="1">
        <w:r w:rsidR="00521288" w:rsidRPr="00926333">
          <w:rPr>
            <w:rStyle w:val="Hyperlink"/>
            <w:noProof/>
          </w:rPr>
          <w:t>15</w:t>
        </w:r>
        <w:r w:rsidR="00521288">
          <w:rPr>
            <w:rFonts w:asciiTheme="minorHAnsi" w:eastAsiaTheme="minorEastAsia" w:hAnsiTheme="minorHAnsi" w:cstheme="minorBidi"/>
            <w:noProof/>
            <w:color w:val="auto"/>
            <w:sz w:val="22"/>
            <w:szCs w:val="22"/>
            <w:lang w:eastAsia="en-AU"/>
          </w:rPr>
          <w:tab/>
        </w:r>
        <w:r w:rsidR="00521288" w:rsidRPr="00926333">
          <w:rPr>
            <w:rStyle w:val="Hyperlink"/>
            <w:noProof/>
          </w:rPr>
          <w:t>Appendices</w:t>
        </w:r>
        <w:r w:rsidR="00521288">
          <w:rPr>
            <w:noProof/>
            <w:webHidden/>
          </w:rPr>
          <w:tab/>
        </w:r>
        <w:r w:rsidR="00521288">
          <w:rPr>
            <w:noProof/>
            <w:webHidden/>
          </w:rPr>
          <w:fldChar w:fldCharType="begin"/>
        </w:r>
        <w:r w:rsidR="00521288">
          <w:rPr>
            <w:noProof/>
            <w:webHidden/>
          </w:rPr>
          <w:instrText xml:space="preserve"> PAGEREF _Toc31116370 \h </w:instrText>
        </w:r>
        <w:r w:rsidR="00521288">
          <w:rPr>
            <w:noProof/>
            <w:webHidden/>
          </w:rPr>
        </w:r>
        <w:r w:rsidR="00521288">
          <w:rPr>
            <w:noProof/>
            <w:webHidden/>
          </w:rPr>
          <w:fldChar w:fldCharType="separate"/>
        </w:r>
        <w:r w:rsidR="00850CBC">
          <w:rPr>
            <w:noProof/>
            <w:webHidden/>
          </w:rPr>
          <w:t>27</w:t>
        </w:r>
        <w:r w:rsidR="00521288">
          <w:rPr>
            <w:noProof/>
            <w:webHidden/>
          </w:rPr>
          <w:fldChar w:fldCharType="end"/>
        </w:r>
      </w:hyperlink>
    </w:p>
    <w:p w14:paraId="17F897A6" w14:textId="79B7D5F3" w:rsidR="00521288" w:rsidRDefault="006D680F">
      <w:pPr>
        <w:pStyle w:val="TOC2"/>
        <w:rPr>
          <w:rFonts w:asciiTheme="minorHAnsi" w:eastAsiaTheme="minorEastAsia" w:hAnsiTheme="minorHAnsi" w:cstheme="minorBidi"/>
          <w:noProof/>
          <w:color w:val="auto"/>
          <w:sz w:val="22"/>
          <w:szCs w:val="22"/>
          <w:lang w:eastAsia="en-AU"/>
        </w:rPr>
      </w:pPr>
      <w:hyperlink w:anchor="_Toc31116371" w:history="1">
        <w:r w:rsidR="00521288" w:rsidRPr="00926333">
          <w:rPr>
            <w:rStyle w:val="Hyperlink"/>
            <w:noProof/>
          </w:rPr>
          <w:t>Appendix 1: Glossary</w:t>
        </w:r>
        <w:r w:rsidR="00521288">
          <w:rPr>
            <w:noProof/>
            <w:webHidden/>
          </w:rPr>
          <w:tab/>
        </w:r>
        <w:r w:rsidR="00521288">
          <w:rPr>
            <w:noProof/>
            <w:webHidden/>
          </w:rPr>
          <w:fldChar w:fldCharType="begin"/>
        </w:r>
        <w:r w:rsidR="00521288">
          <w:rPr>
            <w:noProof/>
            <w:webHidden/>
          </w:rPr>
          <w:instrText xml:space="preserve"> PAGEREF _Toc31116371 \h </w:instrText>
        </w:r>
        <w:r w:rsidR="00521288">
          <w:rPr>
            <w:noProof/>
            <w:webHidden/>
          </w:rPr>
        </w:r>
        <w:r w:rsidR="00521288">
          <w:rPr>
            <w:noProof/>
            <w:webHidden/>
          </w:rPr>
          <w:fldChar w:fldCharType="separate"/>
        </w:r>
        <w:r w:rsidR="00850CBC">
          <w:rPr>
            <w:noProof/>
            <w:webHidden/>
          </w:rPr>
          <w:t>27</w:t>
        </w:r>
        <w:r w:rsidR="00521288">
          <w:rPr>
            <w:noProof/>
            <w:webHidden/>
          </w:rPr>
          <w:fldChar w:fldCharType="end"/>
        </w:r>
      </w:hyperlink>
    </w:p>
    <w:p w14:paraId="36DE7AC5" w14:textId="037D80DB" w:rsidR="00521288" w:rsidRDefault="006D680F">
      <w:pPr>
        <w:pStyle w:val="TOC2"/>
        <w:rPr>
          <w:rFonts w:asciiTheme="minorHAnsi" w:eastAsiaTheme="minorEastAsia" w:hAnsiTheme="minorHAnsi" w:cstheme="minorBidi"/>
          <w:noProof/>
          <w:color w:val="auto"/>
          <w:sz w:val="22"/>
          <w:szCs w:val="22"/>
          <w:lang w:eastAsia="en-AU"/>
        </w:rPr>
      </w:pPr>
      <w:hyperlink w:anchor="_Toc31116372" w:history="1">
        <w:r w:rsidR="00521288" w:rsidRPr="00926333">
          <w:rPr>
            <w:rStyle w:val="Hyperlink"/>
            <w:noProof/>
          </w:rPr>
          <w:t>Appendix 2: Monitoring and Reporting table –</w:t>
        </w:r>
        <w:r w:rsidR="00521288">
          <w:rPr>
            <w:noProof/>
            <w:webHidden/>
          </w:rPr>
          <w:tab/>
        </w:r>
        <w:r w:rsidR="00521288">
          <w:rPr>
            <w:noProof/>
            <w:webHidden/>
          </w:rPr>
          <w:fldChar w:fldCharType="begin"/>
        </w:r>
        <w:r w:rsidR="00521288">
          <w:rPr>
            <w:noProof/>
            <w:webHidden/>
          </w:rPr>
          <w:instrText xml:space="preserve"> PAGEREF _Toc31116372 \h </w:instrText>
        </w:r>
        <w:r w:rsidR="00521288">
          <w:rPr>
            <w:noProof/>
            <w:webHidden/>
          </w:rPr>
        </w:r>
        <w:r w:rsidR="00521288">
          <w:rPr>
            <w:noProof/>
            <w:webHidden/>
          </w:rPr>
          <w:fldChar w:fldCharType="separate"/>
        </w:r>
        <w:r w:rsidR="00850CBC">
          <w:rPr>
            <w:noProof/>
            <w:webHidden/>
          </w:rPr>
          <w:t>30</w:t>
        </w:r>
        <w:r w:rsidR="00521288">
          <w:rPr>
            <w:noProof/>
            <w:webHidden/>
          </w:rPr>
          <w:fldChar w:fldCharType="end"/>
        </w:r>
      </w:hyperlink>
    </w:p>
    <w:p w14:paraId="2B420863" w14:textId="379124C4" w:rsidR="005649D4" w:rsidRDefault="004371F6" w:rsidP="00D96C1E">
      <w:pPr>
        <w:rPr>
          <w:noProof/>
        </w:rPr>
      </w:pPr>
      <w:r>
        <w:rPr>
          <w:noProof/>
        </w:rPr>
        <w:fldChar w:fldCharType="end"/>
      </w:r>
    </w:p>
    <w:p w14:paraId="7C5F0AAB" w14:textId="77777777" w:rsidR="005649D4" w:rsidRDefault="005649D4">
      <w:pPr>
        <w:spacing w:before="0" w:line="276" w:lineRule="auto"/>
        <w:rPr>
          <w:noProof/>
        </w:rPr>
      </w:pPr>
      <w:r>
        <w:rPr>
          <w:noProof/>
        </w:rPr>
        <w:br w:type="page"/>
      </w:r>
    </w:p>
    <w:p w14:paraId="1F4888D2" w14:textId="01069513" w:rsidR="005C4123" w:rsidRDefault="005C4123" w:rsidP="00780857">
      <w:pPr>
        <w:pStyle w:val="Heading1"/>
        <w:spacing w:before="240" w:after="240" w:line="276" w:lineRule="auto"/>
        <w:ind w:left="431" w:hanging="431"/>
      </w:pPr>
      <w:bookmarkStart w:id="0" w:name="_Toc31116353"/>
      <w:bookmarkStart w:id="1" w:name="_Toc314821338"/>
      <w:bookmarkStart w:id="2" w:name="_Toc314822260"/>
      <w:bookmarkStart w:id="3" w:name="_Toc315765090"/>
      <w:r>
        <w:lastRenderedPageBreak/>
        <w:t>Overview</w:t>
      </w:r>
      <w:bookmarkEnd w:id="0"/>
      <w:r>
        <w:t xml:space="preserve"> </w:t>
      </w:r>
      <w:bookmarkEnd w:id="1"/>
      <w:bookmarkEnd w:id="2"/>
      <w:bookmarkEnd w:id="3"/>
    </w:p>
    <w:p w14:paraId="1CFDB205" w14:textId="41E56D5A" w:rsidR="008727F2" w:rsidRDefault="00FD1854" w:rsidP="005118B4">
      <w:pPr>
        <w:numPr>
          <w:ilvl w:val="0"/>
          <w:numId w:val="11"/>
        </w:numPr>
        <w:spacing w:before="0"/>
        <w:ind w:left="360"/>
        <w:jc w:val="both"/>
        <w:rPr>
          <w:rFonts w:asciiTheme="minorHAnsi" w:hAnsiTheme="minorHAnsi" w:cstheme="minorHAnsi"/>
          <w:szCs w:val="18"/>
        </w:rPr>
      </w:pPr>
      <w:r>
        <w:rPr>
          <w:rFonts w:asciiTheme="minorHAnsi" w:hAnsiTheme="minorHAnsi" w:cstheme="minorHAnsi"/>
          <w:szCs w:val="18"/>
        </w:rPr>
        <w:t>The</w:t>
      </w:r>
      <w:r w:rsidR="008727F2" w:rsidRPr="0002578D">
        <w:rPr>
          <w:rFonts w:asciiTheme="minorHAnsi" w:hAnsiTheme="minorHAnsi" w:cstheme="minorHAnsi"/>
          <w:szCs w:val="18"/>
        </w:rPr>
        <w:t xml:space="preserve">se guidelines are issued by the Minister for Jobs, Innovation and Trade to </w:t>
      </w:r>
      <w:r w:rsidR="00B9188E" w:rsidRPr="0002578D">
        <w:rPr>
          <w:rFonts w:asciiTheme="minorHAnsi" w:hAnsiTheme="minorHAnsi" w:cstheme="minorHAnsi"/>
          <w:szCs w:val="18"/>
        </w:rPr>
        <w:t>help</w:t>
      </w:r>
      <w:r w:rsidR="008727F2" w:rsidRPr="0002578D">
        <w:rPr>
          <w:rFonts w:asciiTheme="minorHAnsi" w:hAnsiTheme="minorHAnsi" w:cstheme="minorHAnsi"/>
          <w:szCs w:val="18"/>
        </w:rPr>
        <w:t xml:space="preserve"> agencies in the application of the Local Jobs First Policy and </w:t>
      </w:r>
      <w:r w:rsidR="008727F2" w:rsidRPr="000E0A04">
        <w:rPr>
          <w:rFonts w:asciiTheme="minorHAnsi" w:hAnsiTheme="minorHAnsi" w:cstheme="minorHAnsi"/>
          <w:i/>
          <w:szCs w:val="18"/>
        </w:rPr>
        <w:t>Local Jobs First Act 2003</w:t>
      </w:r>
      <w:r w:rsidR="00D219C0">
        <w:rPr>
          <w:rFonts w:asciiTheme="minorHAnsi" w:hAnsiTheme="minorHAnsi" w:cstheme="minorHAnsi"/>
          <w:i/>
          <w:szCs w:val="18"/>
        </w:rPr>
        <w:t xml:space="preserve"> </w:t>
      </w:r>
      <w:r w:rsidR="00D219C0" w:rsidRPr="00CA299A">
        <w:rPr>
          <w:rFonts w:asciiTheme="minorHAnsi" w:hAnsiTheme="minorHAnsi" w:cstheme="minorHAnsi"/>
          <w:szCs w:val="18"/>
        </w:rPr>
        <w:t>(the Act)</w:t>
      </w:r>
      <w:r w:rsidR="008727F2" w:rsidRPr="0002578D">
        <w:rPr>
          <w:rFonts w:asciiTheme="minorHAnsi" w:hAnsiTheme="minorHAnsi" w:cstheme="minorHAnsi"/>
          <w:szCs w:val="18"/>
        </w:rPr>
        <w:t>.</w:t>
      </w:r>
      <w:r w:rsidR="00AB41F1" w:rsidRPr="0002578D">
        <w:rPr>
          <w:rFonts w:asciiTheme="minorHAnsi" w:hAnsiTheme="minorHAnsi" w:cstheme="minorHAnsi"/>
          <w:szCs w:val="18"/>
        </w:rPr>
        <w:t xml:space="preserve"> They are </w:t>
      </w:r>
      <w:r w:rsidR="001312F3" w:rsidRPr="0002578D">
        <w:rPr>
          <w:rFonts w:asciiTheme="minorHAnsi" w:hAnsiTheme="minorHAnsi" w:cstheme="minorHAnsi"/>
          <w:szCs w:val="18"/>
        </w:rPr>
        <w:t>mandatory</w:t>
      </w:r>
      <w:r w:rsidR="00AB41F1" w:rsidRPr="0002578D">
        <w:rPr>
          <w:rFonts w:asciiTheme="minorHAnsi" w:hAnsiTheme="minorHAnsi" w:cstheme="minorHAnsi"/>
          <w:szCs w:val="18"/>
        </w:rPr>
        <w:t xml:space="preserve"> to follow </w:t>
      </w:r>
      <w:r w:rsidR="00F66559" w:rsidRPr="0002578D">
        <w:rPr>
          <w:rFonts w:asciiTheme="minorHAnsi" w:hAnsiTheme="minorHAnsi" w:cstheme="minorHAnsi"/>
          <w:szCs w:val="18"/>
        </w:rPr>
        <w:t xml:space="preserve">if you are applying Local </w:t>
      </w:r>
      <w:r w:rsidR="00007650">
        <w:rPr>
          <w:rFonts w:asciiTheme="minorHAnsi" w:hAnsiTheme="minorHAnsi" w:cstheme="minorHAnsi"/>
          <w:szCs w:val="18"/>
        </w:rPr>
        <w:t>J</w:t>
      </w:r>
      <w:r w:rsidR="00F66559" w:rsidRPr="0002578D">
        <w:rPr>
          <w:rFonts w:asciiTheme="minorHAnsi" w:hAnsiTheme="minorHAnsi" w:cstheme="minorHAnsi"/>
          <w:szCs w:val="18"/>
        </w:rPr>
        <w:t>obs First to a project.</w:t>
      </w:r>
      <w:r w:rsidR="008727F2" w:rsidRPr="0002578D">
        <w:rPr>
          <w:rFonts w:asciiTheme="minorHAnsi" w:hAnsiTheme="minorHAnsi" w:cstheme="minorHAnsi"/>
          <w:szCs w:val="18"/>
        </w:rPr>
        <w:t xml:space="preserve"> </w:t>
      </w:r>
      <w:r w:rsidR="00007650">
        <w:rPr>
          <w:rFonts w:asciiTheme="minorHAnsi" w:hAnsiTheme="minorHAnsi" w:cstheme="minorHAnsi"/>
          <w:szCs w:val="18"/>
        </w:rPr>
        <w:t>These guidelines</w:t>
      </w:r>
      <w:r w:rsidR="008727F2" w:rsidRPr="0002578D">
        <w:rPr>
          <w:rFonts w:asciiTheme="minorHAnsi" w:hAnsiTheme="minorHAnsi" w:cstheme="minorHAnsi"/>
          <w:szCs w:val="18"/>
        </w:rPr>
        <w:t xml:space="preserve"> should be read in conjunction with the</w:t>
      </w:r>
      <w:r w:rsidR="001312F3" w:rsidRPr="00B222E8">
        <w:rPr>
          <w:rFonts w:asciiTheme="minorHAnsi" w:hAnsiTheme="minorHAnsi" w:cstheme="minorHAnsi"/>
          <w:szCs w:val="18"/>
        </w:rPr>
        <w:t xml:space="preserve"> </w:t>
      </w:r>
      <w:r w:rsidR="00D219C0" w:rsidRPr="00B222E8">
        <w:rPr>
          <w:rFonts w:asciiTheme="minorHAnsi" w:hAnsiTheme="minorHAnsi" w:cstheme="minorHAnsi"/>
          <w:szCs w:val="18"/>
        </w:rPr>
        <w:t>Act</w:t>
      </w:r>
      <w:r w:rsidR="001312F3" w:rsidRPr="00B222E8">
        <w:rPr>
          <w:rFonts w:asciiTheme="minorHAnsi" w:hAnsiTheme="minorHAnsi" w:cstheme="minorHAnsi"/>
          <w:szCs w:val="18"/>
        </w:rPr>
        <w:t xml:space="preserve">, </w:t>
      </w:r>
      <w:r>
        <w:rPr>
          <w:rFonts w:asciiTheme="minorHAnsi" w:hAnsiTheme="minorHAnsi" w:cstheme="minorHAnsi"/>
          <w:szCs w:val="18"/>
        </w:rPr>
        <w:t>L</w:t>
      </w:r>
      <w:r w:rsidR="008727F2" w:rsidRPr="0002578D">
        <w:rPr>
          <w:rFonts w:asciiTheme="minorHAnsi" w:hAnsiTheme="minorHAnsi" w:cstheme="minorHAnsi"/>
          <w:szCs w:val="18"/>
        </w:rPr>
        <w:t xml:space="preserve">ocal Jobs First Policy and Local Jobs First Supplier </w:t>
      </w:r>
      <w:r w:rsidR="009A04B1">
        <w:rPr>
          <w:rFonts w:asciiTheme="minorHAnsi" w:hAnsiTheme="minorHAnsi" w:cstheme="minorHAnsi"/>
          <w:szCs w:val="18"/>
        </w:rPr>
        <w:t>G</w:t>
      </w:r>
      <w:r w:rsidR="008727F2" w:rsidRPr="0002578D">
        <w:rPr>
          <w:rFonts w:asciiTheme="minorHAnsi" w:hAnsiTheme="minorHAnsi" w:cstheme="minorHAnsi"/>
          <w:szCs w:val="18"/>
        </w:rPr>
        <w:t xml:space="preserve">uidelines. </w:t>
      </w:r>
    </w:p>
    <w:p w14:paraId="32193BBA" w14:textId="77777777" w:rsidR="00DD4EEA" w:rsidRPr="00DD4EEA" w:rsidRDefault="00DD4EEA" w:rsidP="005118B4">
      <w:pPr>
        <w:numPr>
          <w:ilvl w:val="0"/>
          <w:numId w:val="11"/>
        </w:numPr>
        <w:spacing w:before="0"/>
        <w:ind w:left="360"/>
        <w:jc w:val="both"/>
        <w:rPr>
          <w:rFonts w:asciiTheme="minorHAnsi" w:hAnsiTheme="minorHAnsi" w:cstheme="minorHAnsi"/>
          <w:szCs w:val="18"/>
        </w:rPr>
      </w:pPr>
      <w:r w:rsidRPr="00DD4EEA">
        <w:rPr>
          <w:rFonts w:asciiTheme="minorHAnsi" w:hAnsiTheme="minorHAnsi" w:cstheme="minorHAnsi"/>
          <w:szCs w:val="18"/>
        </w:rPr>
        <w:t>Local Jobs First Projects are designated either Standard or Strategic, based off their value and/or ministerial determination. There are different processes for applying Local Jobs First to Standard Projects, Strategic Projects, and grants and loans.</w:t>
      </w:r>
    </w:p>
    <w:p w14:paraId="0D1516F4" w14:textId="77777777" w:rsidR="00DD4EEA" w:rsidRPr="00DD4EEA" w:rsidRDefault="00DD4EEA" w:rsidP="005118B4">
      <w:pPr>
        <w:spacing w:before="0"/>
        <w:ind w:left="218"/>
        <w:jc w:val="both"/>
        <w:rPr>
          <w:rFonts w:asciiTheme="minorHAnsi" w:hAnsiTheme="minorHAnsi" w:cstheme="minorHAnsi"/>
          <w:szCs w:val="18"/>
        </w:rPr>
      </w:pPr>
      <w:r w:rsidRPr="00DD4EEA">
        <w:rPr>
          <w:rFonts w:asciiTheme="minorHAnsi" w:hAnsiTheme="minorHAnsi" w:cstheme="minorHAnsi"/>
          <w:szCs w:val="18"/>
        </w:rPr>
        <w:t>A Local Jobs First Standard Project is a project:</w:t>
      </w:r>
    </w:p>
    <w:p w14:paraId="7D1E53F2" w14:textId="5AE47222" w:rsidR="00DD4EEA" w:rsidRPr="00DD4EEA" w:rsidRDefault="00DD4EEA" w:rsidP="005118B4">
      <w:pPr>
        <w:pStyle w:val="ListParagraph"/>
        <w:numPr>
          <w:ilvl w:val="0"/>
          <w:numId w:val="17"/>
        </w:numPr>
        <w:ind w:left="938"/>
        <w:jc w:val="both"/>
        <w:rPr>
          <w:rFonts w:asciiTheme="minorHAnsi" w:hAnsiTheme="minorHAnsi" w:cstheme="minorHAnsi"/>
          <w:sz w:val="18"/>
          <w:szCs w:val="18"/>
        </w:rPr>
      </w:pPr>
      <w:r w:rsidRPr="00DD4EEA">
        <w:rPr>
          <w:rFonts w:asciiTheme="minorHAnsi" w:hAnsiTheme="minorHAnsi" w:cstheme="minorHAnsi"/>
          <w:sz w:val="18"/>
          <w:szCs w:val="18"/>
        </w:rPr>
        <w:t>with a budget of $1 million or more in rural and regional Victoria</w:t>
      </w:r>
      <w:r w:rsidR="00EA2252">
        <w:rPr>
          <w:rFonts w:asciiTheme="minorHAnsi" w:hAnsiTheme="minorHAnsi" w:cstheme="minorHAnsi"/>
          <w:sz w:val="18"/>
          <w:szCs w:val="18"/>
        </w:rPr>
        <w:t>; or</w:t>
      </w:r>
    </w:p>
    <w:p w14:paraId="0F876BCB" w14:textId="3ABC71C2" w:rsidR="00DD4EEA" w:rsidRPr="00DD4EEA" w:rsidRDefault="00DD4EEA" w:rsidP="005118B4">
      <w:pPr>
        <w:pStyle w:val="ListParagraph"/>
        <w:numPr>
          <w:ilvl w:val="0"/>
          <w:numId w:val="17"/>
        </w:numPr>
        <w:ind w:left="938"/>
        <w:jc w:val="both"/>
        <w:rPr>
          <w:rFonts w:asciiTheme="minorHAnsi" w:hAnsiTheme="minorHAnsi" w:cstheme="minorHAnsi"/>
          <w:sz w:val="18"/>
          <w:szCs w:val="18"/>
        </w:rPr>
      </w:pPr>
      <w:r w:rsidRPr="00DD4EEA">
        <w:rPr>
          <w:rFonts w:asciiTheme="minorHAnsi" w:hAnsiTheme="minorHAnsi" w:cstheme="minorHAnsi"/>
          <w:sz w:val="18"/>
          <w:szCs w:val="18"/>
        </w:rPr>
        <w:t>with a budget of $3 million or more for state</w:t>
      </w:r>
      <w:r w:rsidR="00D9095A">
        <w:rPr>
          <w:rFonts w:asciiTheme="minorHAnsi" w:hAnsiTheme="minorHAnsi" w:cstheme="minorHAnsi"/>
          <w:sz w:val="18"/>
          <w:szCs w:val="18"/>
        </w:rPr>
        <w:t>-</w:t>
      </w:r>
      <w:r w:rsidRPr="00DD4EEA">
        <w:rPr>
          <w:rFonts w:asciiTheme="minorHAnsi" w:hAnsiTheme="minorHAnsi" w:cstheme="minorHAnsi"/>
          <w:sz w:val="18"/>
          <w:szCs w:val="18"/>
        </w:rPr>
        <w:t>wide projects or for projects in metropolitan Melbourne</w:t>
      </w:r>
      <w:r w:rsidR="00EA2252">
        <w:rPr>
          <w:rFonts w:asciiTheme="minorHAnsi" w:hAnsiTheme="minorHAnsi" w:cstheme="minorHAnsi"/>
          <w:sz w:val="18"/>
          <w:szCs w:val="18"/>
        </w:rPr>
        <w:t>; or</w:t>
      </w:r>
    </w:p>
    <w:p w14:paraId="593F0E68" w14:textId="5856D95A" w:rsidR="00DD4EEA" w:rsidRDefault="00DD4EEA" w:rsidP="005118B4">
      <w:pPr>
        <w:pStyle w:val="ListParagraph"/>
        <w:numPr>
          <w:ilvl w:val="0"/>
          <w:numId w:val="17"/>
        </w:numPr>
        <w:ind w:left="938"/>
        <w:jc w:val="both"/>
        <w:rPr>
          <w:rFonts w:asciiTheme="minorHAnsi" w:hAnsiTheme="minorHAnsi" w:cstheme="minorHAnsi"/>
          <w:sz w:val="18"/>
          <w:szCs w:val="18"/>
        </w:rPr>
      </w:pPr>
      <w:r w:rsidRPr="00DD4EEA">
        <w:rPr>
          <w:rFonts w:asciiTheme="minorHAnsi" w:hAnsiTheme="minorHAnsi" w:cstheme="minorHAnsi"/>
          <w:sz w:val="18"/>
          <w:szCs w:val="18"/>
        </w:rPr>
        <w:t>declared to be a Standard Project by the Minister under section 7A (1) of the Act.</w:t>
      </w:r>
    </w:p>
    <w:p w14:paraId="16DD3D25" w14:textId="77777777" w:rsidR="00DD4EEA" w:rsidRPr="00DD4EEA" w:rsidRDefault="00DD4EEA" w:rsidP="005118B4">
      <w:pPr>
        <w:pStyle w:val="ListParagraph"/>
        <w:ind w:left="938"/>
        <w:jc w:val="both"/>
        <w:rPr>
          <w:rFonts w:asciiTheme="minorHAnsi" w:hAnsiTheme="minorHAnsi" w:cstheme="minorHAnsi"/>
          <w:sz w:val="18"/>
          <w:szCs w:val="18"/>
        </w:rPr>
      </w:pPr>
    </w:p>
    <w:p w14:paraId="63188671" w14:textId="737F895A" w:rsidR="00DD4EEA" w:rsidRPr="00DD4EEA" w:rsidRDefault="00DD4EEA" w:rsidP="005118B4">
      <w:pPr>
        <w:spacing w:before="0"/>
        <w:ind w:left="218"/>
        <w:jc w:val="both"/>
        <w:rPr>
          <w:rFonts w:asciiTheme="minorHAnsi" w:hAnsiTheme="minorHAnsi" w:cstheme="minorHAnsi"/>
          <w:szCs w:val="18"/>
        </w:rPr>
      </w:pPr>
      <w:r w:rsidRPr="00DD4EEA">
        <w:rPr>
          <w:rFonts w:asciiTheme="minorHAnsi" w:hAnsiTheme="minorHAnsi" w:cstheme="minorHAnsi"/>
          <w:szCs w:val="18"/>
        </w:rPr>
        <w:t xml:space="preserve">A Local Jobs First Strategic Project is a project: </w:t>
      </w:r>
    </w:p>
    <w:p w14:paraId="3EEA9503" w14:textId="67941A61" w:rsidR="00DD4EEA" w:rsidRPr="00DD4EEA" w:rsidRDefault="00DD4EEA" w:rsidP="005118B4">
      <w:pPr>
        <w:pStyle w:val="ListParagraph"/>
        <w:numPr>
          <w:ilvl w:val="0"/>
          <w:numId w:val="16"/>
        </w:numPr>
        <w:ind w:left="938"/>
        <w:jc w:val="both"/>
        <w:rPr>
          <w:rFonts w:asciiTheme="minorHAnsi" w:hAnsiTheme="minorHAnsi" w:cstheme="minorHAnsi"/>
          <w:sz w:val="18"/>
          <w:szCs w:val="18"/>
        </w:rPr>
      </w:pPr>
      <w:r w:rsidRPr="00DD4EEA">
        <w:rPr>
          <w:rFonts w:asciiTheme="minorHAnsi" w:hAnsiTheme="minorHAnsi" w:cstheme="minorHAnsi"/>
          <w:sz w:val="18"/>
          <w:szCs w:val="18"/>
        </w:rPr>
        <w:t xml:space="preserve">with a budget </w:t>
      </w:r>
      <w:r w:rsidR="00B6152C">
        <w:rPr>
          <w:rFonts w:asciiTheme="minorHAnsi" w:hAnsiTheme="minorHAnsi" w:cstheme="minorHAnsi"/>
          <w:sz w:val="18"/>
          <w:szCs w:val="18"/>
        </w:rPr>
        <w:t xml:space="preserve">of </w:t>
      </w:r>
      <w:r w:rsidRPr="00DD4EEA">
        <w:rPr>
          <w:rFonts w:asciiTheme="minorHAnsi" w:hAnsiTheme="minorHAnsi" w:cstheme="minorHAnsi"/>
          <w:sz w:val="18"/>
          <w:szCs w:val="18"/>
        </w:rPr>
        <w:t>$50 million or more</w:t>
      </w:r>
      <w:r w:rsidR="00EA2252">
        <w:rPr>
          <w:rFonts w:asciiTheme="minorHAnsi" w:hAnsiTheme="minorHAnsi" w:cstheme="minorHAnsi"/>
          <w:sz w:val="18"/>
          <w:szCs w:val="18"/>
        </w:rPr>
        <w:t>; or</w:t>
      </w:r>
      <w:r w:rsidRPr="00DD4EEA">
        <w:rPr>
          <w:rFonts w:asciiTheme="minorHAnsi" w:hAnsiTheme="minorHAnsi" w:cstheme="minorHAnsi"/>
          <w:sz w:val="18"/>
          <w:szCs w:val="18"/>
        </w:rPr>
        <w:t xml:space="preserve"> </w:t>
      </w:r>
    </w:p>
    <w:p w14:paraId="15A239CE" w14:textId="6AA74D2C" w:rsidR="00DD4EEA" w:rsidRPr="00DD4EEA" w:rsidRDefault="00DD4EEA" w:rsidP="005118B4">
      <w:pPr>
        <w:pStyle w:val="ListParagraph"/>
        <w:numPr>
          <w:ilvl w:val="0"/>
          <w:numId w:val="16"/>
        </w:numPr>
        <w:ind w:left="938"/>
        <w:jc w:val="both"/>
        <w:rPr>
          <w:rFonts w:asciiTheme="minorHAnsi" w:hAnsiTheme="minorHAnsi" w:cstheme="minorHAnsi"/>
          <w:sz w:val="18"/>
          <w:szCs w:val="18"/>
        </w:rPr>
      </w:pPr>
      <w:r w:rsidRPr="00DD4EEA">
        <w:rPr>
          <w:rFonts w:asciiTheme="minorHAnsi" w:hAnsiTheme="minorHAnsi" w:cstheme="minorHAnsi"/>
          <w:sz w:val="18"/>
          <w:szCs w:val="18"/>
        </w:rPr>
        <w:t xml:space="preserve">declared to be a Strategic Project by the Minister under section 7a(2) of the Act. </w:t>
      </w:r>
    </w:p>
    <w:p w14:paraId="1F96197C" w14:textId="77777777" w:rsidR="005C4123" w:rsidRDefault="005C4123" w:rsidP="000B3A9C">
      <w:pPr>
        <w:pStyle w:val="Heading1"/>
        <w:spacing w:before="240" w:after="240" w:line="276" w:lineRule="auto"/>
        <w:ind w:left="431" w:hanging="431"/>
      </w:pPr>
      <w:bookmarkStart w:id="4" w:name="_Toc31116354"/>
      <w:r>
        <w:t>Application</w:t>
      </w:r>
      <w:bookmarkEnd w:id="4"/>
      <w:r>
        <w:t xml:space="preserve"> </w:t>
      </w:r>
    </w:p>
    <w:p w14:paraId="5C5C7A12" w14:textId="69374C83" w:rsidR="008A51EA" w:rsidRDefault="008A51EA" w:rsidP="001D4767">
      <w:pPr>
        <w:numPr>
          <w:ilvl w:val="0"/>
          <w:numId w:val="18"/>
        </w:numPr>
        <w:spacing w:before="0"/>
        <w:jc w:val="both"/>
        <w:rPr>
          <w:rFonts w:asciiTheme="minorHAnsi" w:hAnsiTheme="minorHAnsi" w:cstheme="minorHAnsi"/>
          <w:szCs w:val="18"/>
        </w:rPr>
      </w:pPr>
      <w:r w:rsidRPr="00A00B17">
        <w:rPr>
          <w:rFonts w:asciiTheme="minorHAnsi" w:hAnsiTheme="minorHAnsi" w:cstheme="minorHAnsi"/>
          <w:szCs w:val="18"/>
        </w:rPr>
        <w:t xml:space="preserve">The Local </w:t>
      </w:r>
      <w:r w:rsidRPr="00B10F82">
        <w:rPr>
          <w:rFonts w:cs="Arial"/>
          <w:szCs w:val="18"/>
        </w:rPr>
        <w:t>Jobs</w:t>
      </w:r>
      <w:r w:rsidRPr="00A00B17">
        <w:rPr>
          <w:rFonts w:asciiTheme="minorHAnsi" w:hAnsiTheme="minorHAnsi" w:cstheme="minorHAnsi"/>
          <w:szCs w:val="18"/>
        </w:rPr>
        <w:t xml:space="preserve"> First Policy and </w:t>
      </w:r>
      <w:r w:rsidR="00B41B87">
        <w:rPr>
          <w:rFonts w:asciiTheme="minorHAnsi" w:hAnsiTheme="minorHAnsi" w:cstheme="minorHAnsi"/>
          <w:szCs w:val="18"/>
        </w:rPr>
        <w:t xml:space="preserve">these </w:t>
      </w:r>
      <w:r w:rsidR="00007650">
        <w:rPr>
          <w:rFonts w:asciiTheme="minorHAnsi" w:hAnsiTheme="minorHAnsi" w:cstheme="minorHAnsi"/>
          <w:szCs w:val="18"/>
        </w:rPr>
        <w:t>g</w:t>
      </w:r>
      <w:r w:rsidRPr="00A00B17">
        <w:rPr>
          <w:rFonts w:asciiTheme="minorHAnsi" w:hAnsiTheme="minorHAnsi" w:cstheme="minorHAnsi"/>
          <w:szCs w:val="18"/>
        </w:rPr>
        <w:t xml:space="preserve">uidelines </w:t>
      </w:r>
      <w:r w:rsidR="00B41B87" w:rsidRPr="00A00B17">
        <w:rPr>
          <w:rFonts w:asciiTheme="minorHAnsi" w:hAnsiTheme="minorHAnsi" w:cstheme="minorHAnsi"/>
          <w:szCs w:val="18"/>
        </w:rPr>
        <w:t xml:space="preserve">apply </w:t>
      </w:r>
      <w:r w:rsidRPr="00A00B17">
        <w:rPr>
          <w:rFonts w:asciiTheme="minorHAnsi" w:hAnsiTheme="minorHAnsi" w:cstheme="minorHAnsi"/>
          <w:szCs w:val="18"/>
        </w:rPr>
        <w:t xml:space="preserve">to all entities defined as either a public body or a department under section 3 of the </w:t>
      </w:r>
      <w:r w:rsidRPr="00A00B17">
        <w:rPr>
          <w:rFonts w:asciiTheme="minorHAnsi" w:hAnsiTheme="minorHAnsi" w:cstheme="minorHAnsi"/>
          <w:i/>
          <w:szCs w:val="18"/>
        </w:rPr>
        <w:t>Financial Management Act 1994</w:t>
      </w:r>
      <w:r w:rsidRPr="00A00B17">
        <w:rPr>
          <w:rFonts w:asciiTheme="minorHAnsi" w:hAnsiTheme="minorHAnsi" w:cstheme="minorHAnsi"/>
          <w:szCs w:val="18"/>
        </w:rPr>
        <w:t xml:space="preserve">.  </w:t>
      </w:r>
    </w:p>
    <w:p w14:paraId="62C3DE14" w14:textId="404019AE" w:rsidR="00B41B87" w:rsidRPr="00A00B17" w:rsidRDefault="0065047F" w:rsidP="001D4767">
      <w:pPr>
        <w:numPr>
          <w:ilvl w:val="0"/>
          <w:numId w:val="18"/>
        </w:numPr>
        <w:spacing w:before="0"/>
        <w:jc w:val="both"/>
        <w:rPr>
          <w:rFonts w:asciiTheme="minorHAnsi" w:hAnsiTheme="minorHAnsi" w:cstheme="minorHAnsi"/>
          <w:szCs w:val="18"/>
        </w:rPr>
      </w:pPr>
      <w:r>
        <w:rPr>
          <w:rFonts w:asciiTheme="minorHAnsi" w:hAnsiTheme="minorHAnsi" w:cstheme="minorHAnsi"/>
          <w:szCs w:val="18"/>
        </w:rPr>
        <w:t>Advice regarding t</w:t>
      </w:r>
      <w:r w:rsidR="00B41B87">
        <w:rPr>
          <w:rFonts w:asciiTheme="minorHAnsi" w:hAnsiTheme="minorHAnsi" w:cstheme="minorHAnsi"/>
          <w:szCs w:val="18"/>
        </w:rPr>
        <w:t xml:space="preserve">ransitional </w:t>
      </w:r>
      <w:r w:rsidR="00B41B87" w:rsidRPr="00B10F82">
        <w:rPr>
          <w:rFonts w:cs="Arial"/>
          <w:szCs w:val="18"/>
        </w:rPr>
        <w:t>arrangements</w:t>
      </w:r>
      <w:r w:rsidR="00B41B87">
        <w:rPr>
          <w:rFonts w:asciiTheme="minorHAnsi" w:hAnsiTheme="minorHAnsi" w:cstheme="minorHAnsi"/>
          <w:szCs w:val="18"/>
        </w:rPr>
        <w:t xml:space="preserve"> </w:t>
      </w:r>
      <w:r w:rsidR="00F37231">
        <w:rPr>
          <w:rFonts w:asciiTheme="minorHAnsi" w:hAnsiTheme="minorHAnsi" w:cstheme="minorHAnsi"/>
          <w:szCs w:val="18"/>
        </w:rPr>
        <w:t xml:space="preserve">for projects started under the former </w:t>
      </w:r>
      <w:r w:rsidR="00F37231" w:rsidRPr="0002578D">
        <w:rPr>
          <w:rFonts w:asciiTheme="minorHAnsi" w:hAnsiTheme="minorHAnsi" w:cstheme="minorHAnsi"/>
          <w:i/>
          <w:szCs w:val="18"/>
        </w:rPr>
        <w:t>Victorian Industry Participation</w:t>
      </w:r>
      <w:r w:rsidR="00DC5F15">
        <w:rPr>
          <w:rFonts w:asciiTheme="minorHAnsi" w:hAnsiTheme="minorHAnsi" w:cstheme="minorHAnsi"/>
          <w:i/>
          <w:szCs w:val="18"/>
        </w:rPr>
        <w:t xml:space="preserve"> Policy</w:t>
      </w:r>
      <w:r w:rsidR="00F37231" w:rsidRPr="0002578D">
        <w:rPr>
          <w:rFonts w:asciiTheme="minorHAnsi" w:hAnsiTheme="minorHAnsi" w:cstheme="minorHAnsi"/>
          <w:i/>
          <w:szCs w:val="18"/>
        </w:rPr>
        <w:t xml:space="preserve"> Act 2003</w:t>
      </w:r>
      <w:r w:rsidR="00F37231">
        <w:rPr>
          <w:rFonts w:asciiTheme="minorHAnsi" w:hAnsiTheme="minorHAnsi" w:cstheme="minorHAnsi"/>
          <w:szCs w:val="18"/>
        </w:rPr>
        <w:t xml:space="preserve"> </w:t>
      </w:r>
      <w:r w:rsidR="00B41B87">
        <w:rPr>
          <w:rFonts w:asciiTheme="minorHAnsi" w:hAnsiTheme="minorHAnsi" w:cstheme="minorHAnsi"/>
          <w:szCs w:val="18"/>
        </w:rPr>
        <w:t xml:space="preserve">are outlined </w:t>
      </w:r>
      <w:r>
        <w:rPr>
          <w:rFonts w:asciiTheme="minorHAnsi" w:hAnsiTheme="minorHAnsi" w:cstheme="minorHAnsi"/>
          <w:szCs w:val="18"/>
        </w:rPr>
        <w:t>on</w:t>
      </w:r>
      <w:r w:rsidR="00B41B87">
        <w:rPr>
          <w:rFonts w:asciiTheme="minorHAnsi" w:hAnsiTheme="minorHAnsi" w:cstheme="minorHAnsi"/>
          <w:szCs w:val="18"/>
        </w:rPr>
        <w:t xml:space="preserve"> the </w:t>
      </w:r>
      <w:hyperlink r:id="rId15" w:history="1">
        <w:r w:rsidR="00B41B87" w:rsidRPr="0065047F">
          <w:rPr>
            <w:rStyle w:val="Hyperlink"/>
            <w:rFonts w:asciiTheme="minorHAnsi" w:hAnsiTheme="minorHAnsi" w:cstheme="minorHAnsi"/>
            <w:szCs w:val="18"/>
          </w:rPr>
          <w:t>Local Jobs First</w:t>
        </w:r>
      </w:hyperlink>
      <w:r>
        <w:rPr>
          <w:rFonts w:asciiTheme="minorHAnsi" w:hAnsiTheme="minorHAnsi" w:cstheme="minorHAnsi"/>
          <w:szCs w:val="18"/>
        </w:rPr>
        <w:t xml:space="preserve"> website. </w:t>
      </w:r>
    </w:p>
    <w:p w14:paraId="0F2B816E" w14:textId="25B0F80D" w:rsidR="0091151B" w:rsidRDefault="00B41B87" w:rsidP="000B3A9C">
      <w:pPr>
        <w:pStyle w:val="Heading1"/>
        <w:spacing w:before="240" w:after="240" w:line="276" w:lineRule="auto"/>
        <w:ind w:left="431" w:hanging="431"/>
      </w:pPr>
      <w:bookmarkStart w:id="5" w:name="_Toc522892279"/>
      <w:bookmarkEnd w:id="5"/>
      <w:r w:rsidRPr="00A00B17" w:rsidDel="00B41B87">
        <w:rPr>
          <w:rFonts w:asciiTheme="minorHAnsi" w:hAnsiTheme="minorHAnsi" w:cstheme="minorHAnsi"/>
          <w:szCs w:val="18"/>
        </w:rPr>
        <w:t xml:space="preserve"> </w:t>
      </w:r>
      <w:bookmarkStart w:id="6" w:name="_Toc522892285"/>
      <w:bookmarkStart w:id="7" w:name="_Toc522892297"/>
      <w:bookmarkStart w:id="8" w:name="_Toc522892301"/>
      <w:bookmarkStart w:id="9" w:name="_Toc522892302"/>
      <w:bookmarkStart w:id="10" w:name="_Toc522892303"/>
      <w:bookmarkStart w:id="11" w:name="_Toc522892304"/>
      <w:bookmarkStart w:id="12" w:name="_Toc522892307"/>
      <w:bookmarkStart w:id="13" w:name="_Toc522892311"/>
      <w:bookmarkStart w:id="14" w:name="_Toc522892314"/>
      <w:bookmarkStart w:id="15" w:name="_Toc522892315"/>
      <w:bookmarkStart w:id="16" w:name="_Toc522892320"/>
      <w:bookmarkStart w:id="17" w:name="_Toc522892321"/>
      <w:bookmarkStart w:id="18" w:name="_Toc522892323"/>
      <w:bookmarkStart w:id="19" w:name="_Toc522892324"/>
      <w:bookmarkStart w:id="20" w:name="_Toc522892328"/>
      <w:bookmarkStart w:id="21" w:name="_Toc522892335"/>
      <w:bookmarkStart w:id="22" w:name="_Toc522892336"/>
      <w:bookmarkStart w:id="23" w:name="_Toc3111635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91151B">
        <w:t xml:space="preserve">Starting </w:t>
      </w:r>
      <w:r w:rsidR="00351206">
        <w:t>a</w:t>
      </w:r>
      <w:r w:rsidR="0091151B">
        <w:t xml:space="preserve"> Project</w:t>
      </w:r>
      <w:bookmarkEnd w:id="23"/>
      <w:r w:rsidR="0091151B">
        <w:t xml:space="preserve"> </w:t>
      </w:r>
    </w:p>
    <w:p w14:paraId="13111C79" w14:textId="2CE34114" w:rsidR="0091151B" w:rsidRPr="00A00B17" w:rsidRDefault="0091151B" w:rsidP="001D4767">
      <w:pPr>
        <w:numPr>
          <w:ilvl w:val="0"/>
          <w:numId w:val="19"/>
        </w:numPr>
        <w:spacing w:before="0"/>
        <w:jc w:val="both"/>
        <w:rPr>
          <w:rFonts w:cs="Arial"/>
          <w:szCs w:val="18"/>
        </w:rPr>
      </w:pPr>
      <w:r w:rsidRPr="00A00B17">
        <w:rPr>
          <w:rFonts w:cs="Arial"/>
          <w:szCs w:val="18"/>
        </w:rPr>
        <w:t xml:space="preserve">The following steps apply to all Local Jobs First </w:t>
      </w:r>
      <w:r w:rsidR="00F27BC3">
        <w:rPr>
          <w:rFonts w:cs="Arial"/>
          <w:szCs w:val="18"/>
        </w:rPr>
        <w:t>S</w:t>
      </w:r>
      <w:r w:rsidRPr="00A00B17">
        <w:rPr>
          <w:rFonts w:cs="Arial"/>
          <w:szCs w:val="18"/>
        </w:rPr>
        <w:t xml:space="preserve">tandard and </w:t>
      </w:r>
      <w:r w:rsidR="00F27BC3">
        <w:rPr>
          <w:rFonts w:cs="Arial"/>
          <w:szCs w:val="18"/>
        </w:rPr>
        <w:t>S</w:t>
      </w:r>
      <w:r w:rsidRPr="00A00B17">
        <w:rPr>
          <w:rFonts w:cs="Arial"/>
          <w:szCs w:val="18"/>
        </w:rPr>
        <w:t xml:space="preserve">trategic </w:t>
      </w:r>
      <w:r w:rsidR="00BE35B0">
        <w:rPr>
          <w:rFonts w:cs="Arial"/>
          <w:szCs w:val="18"/>
        </w:rPr>
        <w:t>P</w:t>
      </w:r>
      <w:r w:rsidRPr="00A00B17">
        <w:rPr>
          <w:rFonts w:cs="Arial"/>
          <w:szCs w:val="18"/>
        </w:rPr>
        <w:t>rojects</w:t>
      </w:r>
      <w:r w:rsidR="00F27BC3">
        <w:rPr>
          <w:rFonts w:cs="Arial"/>
          <w:szCs w:val="18"/>
        </w:rPr>
        <w:t xml:space="preserve"> </w:t>
      </w:r>
      <w:r w:rsidR="00B41B87">
        <w:rPr>
          <w:rFonts w:cs="Arial"/>
          <w:szCs w:val="18"/>
        </w:rPr>
        <w:t>as outlined in the Local Jobs First Policy</w:t>
      </w:r>
      <w:r w:rsidR="008727F2">
        <w:rPr>
          <w:rFonts w:cs="Arial"/>
          <w:szCs w:val="18"/>
        </w:rPr>
        <w:t>.</w:t>
      </w:r>
      <w:r w:rsidRPr="00A00B17">
        <w:rPr>
          <w:rFonts w:cs="Arial"/>
          <w:szCs w:val="18"/>
        </w:rPr>
        <w:t xml:space="preserve"> There are different processes for applying Local Jobs First </w:t>
      </w:r>
      <w:r w:rsidR="00AA439D">
        <w:rPr>
          <w:rFonts w:cs="Arial"/>
          <w:szCs w:val="18"/>
        </w:rPr>
        <w:t xml:space="preserve">(LJF) </w:t>
      </w:r>
      <w:r w:rsidRPr="00A00B17">
        <w:rPr>
          <w:rFonts w:cs="Arial"/>
          <w:szCs w:val="18"/>
        </w:rPr>
        <w:t xml:space="preserve">to </w:t>
      </w:r>
      <w:r w:rsidR="00B10F82">
        <w:rPr>
          <w:rFonts w:cs="Arial"/>
          <w:szCs w:val="18"/>
        </w:rPr>
        <w:t xml:space="preserve">market led proposals and </w:t>
      </w:r>
      <w:r w:rsidRPr="00A00B17">
        <w:rPr>
          <w:rFonts w:cs="Arial"/>
          <w:szCs w:val="18"/>
        </w:rPr>
        <w:t>grants</w:t>
      </w:r>
      <w:r w:rsidR="00351B63">
        <w:rPr>
          <w:rFonts w:cs="Arial"/>
          <w:szCs w:val="18"/>
        </w:rPr>
        <w:t xml:space="preserve"> and loans</w:t>
      </w:r>
      <w:r w:rsidRPr="00A00B17">
        <w:rPr>
          <w:rFonts w:cs="Arial"/>
          <w:szCs w:val="18"/>
        </w:rPr>
        <w:t xml:space="preserve"> </w:t>
      </w:r>
      <w:r w:rsidR="00A7461A">
        <w:rPr>
          <w:rFonts w:cs="Arial"/>
          <w:szCs w:val="18"/>
        </w:rPr>
        <w:t>projects</w:t>
      </w:r>
      <w:r w:rsidR="00617565">
        <w:rPr>
          <w:rFonts w:cs="Arial"/>
          <w:szCs w:val="18"/>
        </w:rPr>
        <w:t xml:space="preserve">. </w:t>
      </w:r>
    </w:p>
    <w:p w14:paraId="127E1AB0" w14:textId="3408F19A" w:rsidR="0091151B" w:rsidRDefault="00B41B87" w:rsidP="00521288">
      <w:pPr>
        <w:pStyle w:val="Heading1"/>
        <w:spacing w:before="240" w:after="240" w:line="276" w:lineRule="auto"/>
        <w:ind w:left="431" w:hanging="431"/>
      </w:pPr>
      <w:bookmarkStart w:id="24" w:name="_Toc31116356"/>
      <w:r>
        <w:t>Applying Local</w:t>
      </w:r>
      <w:r w:rsidR="0091151B">
        <w:t xml:space="preserve"> Jobs First</w:t>
      </w:r>
      <w:bookmarkEnd w:id="24"/>
      <w:r w:rsidR="0091151B">
        <w:t xml:space="preserve"> </w:t>
      </w:r>
    </w:p>
    <w:p w14:paraId="0AD2856B" w14:textId="77777777" w:rsidR="00F27BC3" w:rsidRDefault="008F788B" w:rsidP="005118B4">
      <w:pPr>
        <w:numPr>
          <w:ilvl w:val="0"/>
          <w:numId w:val="20"/>
        </w:numPr>
        <w:spacing w:before="0"/>
        <w:ind w:left="360"/>
        <w:jc w:val="both"/>
        <w:rPr>
          <w:rFonts w:cs="Arial"/>
          <w:szCs w:val="18"/>
        </w:rPr>
      </w:pPr>
      <w:r>
        <w:rPr>
          <w:rFonts w:cs="Arial"/>
          <w:szCs w:val="18"/>
        </w:rPr>
        <w:t xml:space="preserve">Application of </w:t>
      </w:r>
      <w:r w:rsidR="00124C31">
        <w:rPr>
          <w:rFonts w:cs="Arial"/>
          <w:szCs w:val="18"/>
        </w:rPr>
        <w:t>LJF</w:t>
      </w:r>
      <w:r w:rsidR="0091151B" w:rsidRPr="00A00B17">
        <w:rPr>
          <w:rFonts w:cs="Arial"/>
          <w:szCs w:val="18"/>
        </w:rPr>
        <w:t xml:space="preserve"> must be considered at the earliest practical stage of project </w:t>
      </w:r>
      <w:r w:rsidR="00F27BC3">
        <w:rPr>
          <w:rFonts w:cs="Arial"/>
          <w:szCs w:val="18"/>
        </w:rPr>
        <w:t xml:space="preserve">initiation and </w:t>
      </w:r>
      <w:r w:rsidR="0091151B" w:rsidRPr="00A00B17">
        <w:rPr>
          <w:rFonts w:cs="Arial"/>
          <w:szCs w:val="18"/>
        </w:rPr>
        <w:t xml:space="preserve">development, as the pre-step to all others listed below.  </w:t>
      </w:r>
    </w:p>
    <w:p w14:paraId="0E5A5856" w14:textId="47776009" w:rsidR="002335FB" w:rsidRDefault="0091151B" w:rsidP="005118B4">
      <w:pPr>
        <w:numPr>
          <w:ilvl w:val="0"/>
          <w:numId w:val="20"/>
        </w:numPr>
        <w:spacing w:before="0"/>
        <w:ind w:left="360"/>
        <w:jc w:val="both"/>
        <w:rPr>
          <w:rFonts w:cs="Arial"/>
          <w:szCs w:val="18"/>
        </w:rPr>
      </w:pPr>
      <w:r w:rsidRPr="00A00B17">
        <w:rPr>
          <w:rFonts w:cs="Arial"/>
          <w:szCs w:val="18"/>
        </w:rPr>
        <w:t xml:space="preserve">If a project is likely to meet the </w:t>
      </w:r>
      <w:r w:rsidR="003E3110">
        <w:rPr>
          <w:rFonts w:cs="Arial"/>
          <w:szCs w:val="18"/>
        </w:rPr>
        <w:t>LJF</w:t>
      </w:r>
      <w:r w:rsidR="00F27BC3">
        <w:rPr>
          <w:rFonts w:cs="Arial"/>
          <w:szCs w:val="18"/>
        </w:rPr>
        <w:t xml:space="preserve"> financial</w:t>
      </w:r>
      <w:r w:rsidRPr="00A00B17">
        <w:rPr>
          <w:rFonts w:cs="Arial"/>
          <w:szCs w:val="18"/>
        </w:rPr>
        <w:t xml:space="preserve"> threshold then </w:t>
      </w:r>
      <w:r w:rsidR="003E3110">
        <w:rPr>
          <w:rFonts w:cs="Arial"/>
          <w:szCs w:val="18"/>
        </w:rPr>
        <w:t>LJF</w:t>
      </w:r>
      <w:r w:rsidRPr="00A00B17">
        <w:rPr>
          <w:rFonts w:cs="Arial"/>
          <w:szCs w:val="18"/>
        </w:rPr>
        <w:t xml:space="preserve"> </w:t>
      </w:r>
      <w:r w:rsidR="00F27BC3">
        <w:rPr>
          <w:rFonts w:cs="Arial"/>
          <w:szCs w:val="18"/>
        </w:rPr>
        <w:t xml:space="preserve">must </w:t>
      </w:r>
      <w:r w:rsidRPr="00A00B17">
        <w:rPr>
          <w:rFonts w:cs="Arial"/>
          <w:szCs w:val="18"/>
        </w:rPr>
        <w:t>be consider</w:t>
      </w:r>
      <w:r w:rsidR="00F27BC3">
        <w:rPr>
          <w:rFonts w:cs="Arial"/>
          <w:szCs w:val="18"/>
        </w:rPr>
        <w:t>ed</w:t>
      </w:r>
      <w:r w:rsidRPr="00A00B17">
        <w:rPr>
          <w:rFonts w:cs="Arial"/>
          <w:szCs w:val="18"/>
        </w:rPr>
        <w:t xml:space="preserve"> in the business case </w:t>
      </w:r>
      <w:r w:rsidR="00F27BC3">
        <w:rPr>
          <w:rFonts w:cs="Arial"/>
          <w:szCs w:val="18"/>
        </w:rPr>
        <w:t xml:space="preserve">and subsequent project design </w:t>
      </w:r>
      <w:r w:rsidR="002C371D">
        <w:rPr>
          <w:rFonts w:cs="Arial"/>
          <w:szCs w:val="18"/>
        </w:rPr>
        <w:t xml:space="preserve">(including if administered through a competition) </w:t>
      </w:r>
      <w:r w:rsidR="00F27BC3">
        <w:rPr>
          <w:rFonts w:cs="Arial"/>
          <w:szCs w:val="18"/>
        </w:rPr>
        <w:t xml:space="preserve">and </w:t>
      </w:r>
      <w:r w:rsidRPr="00A00B17">
        <w:rPr>
          <w:rFonts w:cs="Arial"/>
          <w:szCs w:val="18"/>
        </w:rPr>
        <w:t xml:space="preserve">development. </w:t>
      </w:r>
      <w:r w:rsidR="007A583D">
        <w:rPr>
          <w:rFonts w:cs="Arial"/>
          <w:szCs w:val="18"/>
        </w:rPr>
        <w:t>Projects may undergo development for a period of months or years</w:t>
      </w:r>
      <w:r w:rsidR="00D219C0">
        <w:rPr>
          <w:rFonts w:cs="Arial"/>
          <w:szCs w:val="18"/>
        </w:rPr>
        <w:t>, LJF</w:t>
      </w:r>
      <w:r w:rsidR="007A583D">
        <w:rPr>
          <w:rFonts w:cs="Arial"/>
          <w:szCs w:val="18"/>
        </w:rPr>
        <w:t xml:space="preserve"> </w:t>
      </w:r>
      <w:r w:rsidR="00983485">
        <w:rPr>
          <w:rFonts w:cs="Arial"/>
          <w:szCs w:val="18"/>
        </w:rPr>
        <w:t xml:space="preserve">must be considered during this development, </w:t>
      </w:r>
      <w:r w:rsidR="00F31BDA">
        <w:rPr>
          <w:rFonts w:cs="Arial"/>
          <w:szCs w:val="18"/>
        </w:rPr>
        <w:t>wi</w:t>
      </w:r>
      <w:r w:rsidR="00A13EA5">
        <w:rPr>
          <w:rFonts w:cs="Arial"/>
          <w:szCs w:val="18"/>
        </w:rPr>
        <w:t xml:space="preserve">th each package of work requiring engagement with the </w:t>
      </w:r>
      <w:r w:rsidR="00C4110C">
        <w:rPr>
          <w:rFonts w:cs="Arial"/>
          <w:szCs w:val="18"/>
        </w:rPr>
        <w:t xml:space="preserve">Industry Capability </w:t>
      </w:r>
      <w:r w:rsidR="00D55492">
        <w:rPr>
          <w:rFonts w:cs="Arial"/>
          <w:szCs w:val="18"/>
        </w:rPr>
        <w:t>N</w:t>
      </w:r>
      <w:r w:rsidR="00C4110C">
        <w:rPr>
          <w:rFonts w:cs="Arial"/>
          <w:szCs w:val="18"/>
        </w:rPr>
        <w:t>etwork Victoria (</w:t>
      </w:r>
      <w:r w:rsidR="00A13EA5">
        <w:rPr>
          <w:rFonts w:cs="Arial"/>
          <w:szCs w:val="18"/>
        </w:rPr>
        <w:t>ICN</w:t>
      </w:r>
      <w:r w:rsidR="00C4110C">
        <w:rPr>
          <w:rFonts w:cs="Arial"/>
          <w:szCs w:val="18"/>
        </w:rPr>
        <w:t>)</w:t>
      </w:r>
      <w:r w:rsidR="00A13EA5">
        <w:rPr>
          <w:rFonts w:cs="Arial"/>
          <w:szCs w:val="18"/>
        </w:rPr>
        <w:t>.</w:t>
      </w:r>
    </w:p>
    <w:p w14:paraId="49AC0B9E" w14:textId="79550A0B" w:rsidR="00DB4AB7" w:rsidRDefault="00DB4AB7" w:rsidP="005118B4">
      <w:pPr>
        <w:pStyle w:val="ListParagraph"/>
        <w:numPr>
          <w:ilvl w:val="0"/>
          <w:numId w:val="20"/>
        </w:numPr>
        <w:ind w:left="360"/>
        <w:rPr>
          <w:rFonts w:ascii="Arial" w:hAnsi="Arial" w:cs="Arial"/>
          <w:sz w:val="18"/>
          <w:szCs w:val="18"/>
          <w:lang w:eastAsia="en-US"/>
        </w:rPr>
      </w:pPr>
      <w:r w:rsidRPr="00DB4AB7">
        <w:rPr>
          <w:rFonts w:ascii="Arial" w:hAnsi="Arial" w:cs="Arial"/>
          <w:sz w:val="18"/>
          <w:szCs w:val="18"/>
          <w:lang w:eastAsia="en-US"/>
        </w:rPr>
        <w:t>LJF applies to all projects that meet the thresholds, regardless of the procurement strategy implemented by an agency. This includes instances where agencies may directly procure each individual minor works that contribute to a project or through a work order to an existing panel.</w:t>
      </w:r>
    </w:p>
    <w:p w14:paraId="4E6F40B4" w14:textId="77777777" w:rsidR="00DB4AB7" w:rsidRPr="00DB4AB7" w:rsidRDefault="00DB4AB7" w:rsidP="005118B4">
      <w:pPr>
        <w:pStyle w:val="ListParagraph"/>
        <w:ind w:left="360"/>
        <w:rPr>
          <w:rFonts w:ascii="Arial" w:hAnsi="Arial" w:cs="Arial"/>
          <w:sz w:val="18"/>
          <w:szCs w:val="18"/>
          <w:lang w:eastAsia="en-US"/>
        </w:rPr>
      </w:pPr>
    </w:p>
    <w:p w14:paraId="5DB48F19" w14:textId="70E17CD2" w:rsidR="00F27BC3" w:rsidRDefault="0091151B" w:rsidP="005118B4">
      <w:pPr>
        <w:numPr>
          <w:ilvl w:val="0"/>
          <w:numId w:val="20"/>
        </w:numPr>
        <w:spacing w:before="0"/>
        <w:ind w:left="360"/>
        <w:jc w:val="both"/>
        <w:rPr>
          <w:rFonts w:cs="Arial"/>
          <w:szCs w:val="18"/>
        </w:rPr>
      </w:pPr>
      <w:r w:rsidRPr="00F27BC3">
        <w:rPr>
          <w:rFonts w:cs="Arial"/>
          <w:szCs w:val="18"/>
        </w:rPr>
        <w:t xml:space="preserve">If </w:t>
      </w:r>
      <w:r w:rsidR="00F27BC3" w:rsidRPr="00F27BC3">
        <w:rPr>
          <w:rFonts w:cs="Arial"/>
          <w:szCs w:val="18"/>
        </w:rPr>
        <w:t>the</w:t>
      </w:r>
      <w:r w:rsidRPr="00F27BC3">
        <w:rPr>
          <w:rFonts w:cs="Arial"/>
          <w:szCs w:val="18"/>
        </w:rPr>
        <w:t xml:space="preserve"> estimated </w:t>
      </w:r>
      <w:r w:rsidR="00F27BC3" w:rsidRPr="00F27BC3">
        <w:rPr>
          <w:rFonts w:cs="Arial"/>
          <w:szCs w:val="18"/>
        </w:rPr>
        <w:t xml:space="preserve">project </w:t>
      </w:r>
      <w:r w:rsidRPr="00F27BC3">
        <w:rPr>
          <w:rFonts w:cs="Arial"/>
          <w:szCs w:val="18"/>
        </w:rPr>
        <w:t xml:space="preserve">value is close to the </w:t>
      </w:r>
      <w:r w:rsidR="00F27BC3" w:rsidRPr="00F27BC3">
        <w:rPr>
          <w:rFonts w:cs="Arial"/>
          <w:szCs w:val="18"/>
        </w:rPr>
        <w:t xml:space="preserve">financial threshold, then </w:t>
      </w:r>
      <w:r w:rsidRPr="00F27BC3">
        <w:rPr>
          <w:rFonts w:cs="Arial"/>
          <w:szCs w:val="18"/>
        </w:rPr>
        <w:t xml:space="preserve">consideration </w:t>
      </w:r>
      <w:r w:rsidR="00F27BC3" w:rsidRPr="00F27BC3">
        <w:rPr>
          <w:rFonts w:cs="Arial"/>
          <w:szCs w:val="18"/>
        </w:rPr>
        <w:t xml:space="preserve">should </w:t>
      </w:r>
      <w:r w:rsidRPr="00F27BC3">
        <w:rPr>
          <w:rFonts w:cs="Arial"/>
          <w:szCs w:val="18"/>
        </w:rPr>
        <w:t xml:space="preserve">be given to applying </w:t>
      </w:r>
      <w:r w:rsidR="003E3110">
        <w:rPr>
          <w:rFonts w:cs="Arial"/>
          <w:szCs w:val="18"/>
        </w:rPr>
        <w:t>LJF</w:t>
      </w:r>
      <w:r w:rsidR="00F27BC3" w:rsidRPr="00F27BC3">
        <w:rPr>
          <w:rFonts w:cs="Arial"/>
          <w:szCs w:val="18"/>
        </w:rPr>
        <w:t xml:space="preserve"> </w:t>
      </w:r>
      <w:r w:rsidRPr="00F27BC3">
        <w:rPr>
          <w:rFonts w:cs="Arial"/>
          <w:szCs w:val="18"/>
        </w:rPr>
        <w:t xml:space="preserve">to avoid issues with non-compliance and </w:t>
      </w:r>
      <w:r w:rsidR="00F27BC3" w:rsidRPr="00F27BC3">
        <w:rPr>
          <w:rFonts w:cs="Arial"/>
          <w:szCs w:val="18"/>
        </w:rPr>
        <w:t xml:space="preserve">delays to </w:t>
      </w:r>
      <w:r w:rsidRPr="00F27BC3">
        <w:rPr>
          <w:rFonts w:cs="Arial"/>
          <w:szCs w:val="18"/>
        </w:rPr>
        <w:t>procurement process</w:t>
      </w:r>
      <w:r w:rsidR="00F27BC3" w:rsidRPr="00F27BC3">
        <w:rPr>
          <w:rFonts w:cs="Arial"/>
          <w:szCs w:val="18"/>
        </w:rPr>
        <w:t>es</w:t>
      </w:r>
      <w:r w:rsidRPr="00F27BC3">
        <w:rPr>
          <w:rFonts w:cs="Arial"/>
          <w:szCs w:val="18"/>
        </w:rPr>
        <w:t xml:space="preserve"> caused by late application</w:t>
      </w:r>
      <w:r w:rsidR="00F27BC3" w:rsidRPr="00F27BC3">
        <w:rPr>
          <w:rFonts w:cs="Arial"/>
          <w:szCs w:val="18"/>
        </w:rPr>
        <w:t xml:space="preserve"> of </w:t>
      </w:r>
      <w:r w:rsidR="003E3110">
        <w:rPr>
          <w:rFonts w:cs="Arial"/>
          <w:szCs w:val="18"/>
        </w:rPr>
        <w:t>LJF</w:t>
      </w:r>
      <w:r w:rsidR="00F27BC3" w:rsidRPr="00F27BC3">
        <w:rPr>
          <w:rFonts w:cs="Arial"/>
          <w:szCs w:val="18"/>
        </w:rPr>
        <w:t xml:space="preserve"> requirements</w:t>
      </w:r>
      <w:r w:rsidRPr="00F27BC3">
        <w:rPr>
          <w:rFonts w:cs="Arial"/>
          <w:szCs w:val="18"/>
        </w:rPr>
        <w:t>.</w:t>
      </w:r>
      <w:r w:rsidR="00F27BC3" w:rsidRPr="00F27BC3">
        <w:rPr>
          <w:rFonts w:cs="Arial"/>
          <w:szCs w:val="18"/>
        </w:rPr>
        <w:t xml:space="preserve"> </w:t>
      </w:r>
      <w:r w:rsidR="00285A20">
        <w:rPr>
          <w:rFonts w:cs="Arial"/>
          <w:szCs w:val="18"/>
        </w:rPr>
        <w:t xml:space="preserve">For example, if a </w:t>
      </w:r>
      <w:r w:rsidR="00992050">
        <w:rPr>
          <w:rFonts w:cs="Arial"/>
          <w:szCs w:val="18"/>
        </w:rPr>
        <w:t>package of construction work</w:t>
      </w:r>
      <w:r w:rsidR="00B80459">
        <w:rPr>
          <w:rFonts w:cs="Arial"/>
          <w:szCs w:val="18"/>
        </w:rPr>
        <w:t>s</w:t>
      </w:r>
      <w:r w:rsidR="00992050">
        <w:rPr>
          <w:rFonts w:cs="Arial"/>
          <w:szCs w:val="18"/>
        </w:rPr>
        <w:t xml:space="preserve"> </w:t>
      </w:r>
      <w:r w:rsidR="00DB4AB7">
        <w:rPr>
          <w:rFonts w:cs="Arial"/>
          <w:szCs w:val="18"/>
        </w:rPr>
        <w:t xml:space="preserve">in metropolitan Melbourne </w:t>
      </w:r>
      <w:r w:rsidR="00992050">
        <w:rPr>
          <w:rFonts w:cs="Arial"/>
          <w:szCs w:val="18"/>
        </w:rPr>
        <w:t xml:space="preserve">is </w:t>
      </w:r>
      <w:r w:rsidR="00CE64B3">
        <w:rPr>
          <w:rFonts w:cs="Arial"/>
          <w:szCs w:val="18"/>
        </w:rPr>
        <w:t>announced and is valued at</w:t>
      </w:r>
      <w:r w:rsidR="00DB4AB7">
        <w:rPr>
          <w:rFonts w:cs="Arial"/>
          <w:szCs w:val="18"/>
        </w:rPr>
        <w:t xml:space="preserve"> $2.9 million</w:t>
      </w:r>
      <w:r w:rsidR="00CE64B3">
        <w:rPr>
          <w:rFonts w:cs="Arial"/>
          <w:szCs w:val="18"/>
        </w:rPr>
        <w:t>, it is advisable to apply</w:t>
      </w:r>
      <w:r w:rsidR="00D219C0">
        <w:rPr>
          <w:rFonts w:cs="Arial"/>
          <w:szCs w:val="18"/>
        </w:rPr>
        <w:t xml:space="preserve"> LJF</w:t>
      </w:r>
      <w:r w:rsidR="00CE64B3">
        <w:rPr>
          <w:rFonts w:cs="Arial"/>
          <w:szCs w:val="18"/>
        </w:rPr>
        <w:t xml:space="preserve">. This </w:t>
      </w:r>
      <w:r w:rsidR="00895BAE">
        <w:rPr>
          <w:rFonts w:cs="Arial"/>
          <w:szCs w:val="18"/>
        </w:rPr>
        <w:t>also includes</w:t>
      </w:r>
      <w:r w:rsidR="00CE64B3">
        <w:rPr>
          <w:rFonts w:cs="Arial"/>
          <w:szCs w:val="18"/>
        </w:rPr>
        <w:t xml:space="preserve"> </w:t>
      </w:r>
      <w:r w:rsidR="00895BAE">
        <w:rPr>
          <w:rFonts w:cs="Arial"/>
          <w:szCs w:val="18"/>
        </w:rPr>
        <w:t>contingency</w:t>
      </w:r>
      <w:r w:rsidR="00CE64B3">
        <w:rPr>
          <w:rFonts w:cs="Arial"/>
          <w:szCs w:val="18"/>
        </w:rPr>
        <w:t xml:space="preserve"> </w:t>
      </w:r>
      <w:r w:rsidR="00895BAE">
        <w:rPr>
          <w:rFonts w:cs="Arial"/>
          <w:szCs w:val="18"/>
        </w:rPr>
        <w:t>spending</w:t>
      </w:r>
      <w:r w:rsidR="00CE64B3">
        <w:rPr>
          <w:rFonts w:cs="Arial"/>
          <w:szCs w:val="18"/>
        </w:rPr>
        <w:t xml:space="preserve"> that may </w:t>
      </w:r>
      <w:r w:rsidR="00895BAE">
        <w:rPr>
          <w:rFonts w:cs="Arial"/>
          <w:szCs w:val="18"/>
        </w:rPr>
        <w:t xml:space="preserve">send a project over the threshold. </w:t>
      </w:r>
    </w:p>
    <w:p w14:paraId="59419236" w14:textId="77777777" w:rsidR="00DB4AB7" w:rsidRDefault="00DB4AB7" w:rsidP="00DB4AB7">
      <w:pPr>
        <w:pStyle w:val="ListParagraph"/>
        <w:rPr>
          <w:rFonts w:cs="Arial"/>
          <w:szCs w:val="18"/>
        </w:rPr>
      </w:pPr>
    </w:p>
    <w:p w14:paraId="5D1066B8" w14:textId="77777777" w:rsidR="00DB4AB7" w:rsidRDefault="00DB4AB7" w:rsidP="00DB4AB7">
      <w:pPr>
        <w:spacing w:before="0"/>
        <w:jc w:val="both"/>
        <w:rPr>
          <w:rFonts w:cs="Arial"/>
          <w:szCs w:val="18"/>
        </w:rPr>
      </w:pPr>
    </w:p>
    <w:p w14:paraId="0DCE0A96" w14:textId="586FB50C" w:rsidR="00DB4AB7" w:rsidRDefault="00610E97" w:rsidP="005118B4">
      <w:pPr>
        <w:numPr>
          <w:ilvl w:val="0"/>
          <w:numId w:val="20"/>
        </w:numPr>
        <w:spacing w:before="0"/>
        <w:ind w:left="360"/>
        <w:jc w:val="both"/>
        <w:rPr>
          <w:rFonts w:cs="Arial"/>
          <w:szCs w:val="18"/>
        </w:rPr>
      </w:pPr>
      <w:bookmarkStart w:id="25" w:name="_Hlk527397434"/>
      <w:r w:rsidRPr="0002578D">
        <w:rPr>
          <w:rFonts w:cs="Arial"/>
          <w:szCs w:val="18"/>
        </w:rPr>
        <w:lastRenderedPageBreak/>
        <w:t>The value of the project refers to the total budget allocated over the life of the project and not the value of individual contracts, excluding GST</w:t>
      </w:r>
      <w:r w:rsidRPr="00610E97">
        <w:rPr>
          <w:rFonts w:cs="Arial"/>
          <w:szCs w:val="18"/>
        </w:rPr>
        <w:t xml:space="preserve">. </w:t>
      </w:r>
      <w:r w:rsidRPr="0002578D">
        <w:rPr>
          <w:rFonts w:cs="Arial"/>
          <w:szCs w:val="18"/>
        </w:rPr>
        <w:t>This ensures opportunities for industry development and workers are maximised under Local Jobs First.</w:t>
      </w:r>
      <w:bookmarkEnd w:id="25"/>
      <w:r w:rsidR="00A74E6C">
        <w:rPr>
          <w:rFonts w:cs="Arial"/>
          <w:szCs w:val="18"/>
        </w:rPr>
        <w:t xml:space="preserve"> </w:t>
      </w:r>
      <w:r w:rsidRPr="00A74E6C">
        <w:rPr>
          <w:rFonts w:cs="Arial"/>
          <w:szCs w:val="18"/>
        </w:rPr>
        <w:t>For example</w:t>
      </w:r>
      <w:r w:rsidR="00DB4AB7">
        <w:rPr>
          <w:rFonts w:cs="Arial"/>
          <w:szCs w:val="18"/>
        </w:rPr>
        <w:t>:</w:t>
      </w:r>
    </w:p>
    <w:p w14:paraId="16C71FBE" w14:textId="5D14074D" w:rsidR="00DB4AB7" w:rsidRDefault="00D463A0" w:rsidP="005118B4">
      <w:pPr>
        <w:pStyle w:val="ListParagraph"/>
        <w:numPr>
          <w:ilvl w:val="0"/>
          <w:numId w:val="6"/>
        </w:numPr>
        <w:ind w:left="1080"/>
        <w:jc w:val="both"/>
        <w:rPr>
          <w:rFonts w:asciiTheme="minorHAnsi" w:hAnsiTheme="minorHAnsi" w:cstheme="minorHAnsi"/>
          <w:sz w:val="18"/>
          <w:szCs w:val="18"/>
        </w:rPr>
      </w:pPr>
      <w:r>
        <w:rPr>
          <w:rFonts w:asciiTheme="minorHAnsi" w:hAnsiTheme="minorHAnsi" w:cstheme="minorHAnsi"/>
          <w:sz w:val="18"/>
          <w:szCs w:val="18"/>
        </w:rPr>
        <w:t>I</w:t>
      </w:r>
      <w:r w:rsidR="00610E97" w:rsidRPr="002646D0">
        <w:rPr>
          <w:rFonts w:asciiTheme="minorHAnsi" w:hAnsiTheme="minorHAnsi" w:cstheme="minorHAnsi"/>
          <w:sz w:val="18"/>
          <w:szCs w:val="18"/>
        </w:rPr>
        <w:t>f a construction project involves stages such as early works, design, construction activities, maintenance, with a combined total value of $50 million or more, then the project must be treated as a Local Jobs First Strategic Project, with minimum local content requirements to be applied as specified by the Act and</w:t>
      </w:r>
      <w:r w:rsidR="00C4110C" w:rsidRPr="002646D0">
        <w:rPr>
          <w:rFonts w:asciiTheme="minorHAnsi" w:hAnsiTheme="minorHAnsi" w:cstheme="minorHAnsi"/>
          <w:sz w:val="18"/>
          <w:szCs w:val="18"/>
        </w:rPr>
        <w:t xml:space="preserve"> Minister </w:t>
      </w:r>
      <w:r w:rsidR="001F088E" w:rsidRPr="002646D0">
        <w:rPr>
          <w:rFonts w:asciiTheme="minorHAnsi" w:hAnsiTheme="minorHAnsi" w:cstheme="minorHAnsi"/>
          <w:sz w:val="18"/>
          <w:szCs w:val="18"/>
        </w:rPr>
        <w:t>for</w:t>
      </w:r>
      <w:r w:rsidR="00610E97" w:rsidRPr="002646D0">
        <w:rPr>
          <w:rFonts w:asciiTheme="minorHAnsi" w:hAnsiTheme="minorHAnsi" w:cstheme="minorHAnsi"/>
          <w:sz w:val="18"/>
          <w:szCs w:val="18"/>
        </w:rPr>
        <w:t xml:space="preserve"> </w:t>
      </w:r>
      <w:r w:rsidR="00472592" w:rsidRPr="002646D0">
        <w:rPr>
          <w:rFonts w:asciiTheme="minorHAnsi" w:hAnsiTheme="minorHAnsi" w:cstheme="minorHAnsi"/>
          <w:sz w:val="18"/>
          <w:szCs w:val="18"/>
        </w:rPr>
        <w:t>Jobs, Innovation and Trade</w:t>
      </w:r>
      <w:r w:rsidR="00610E97" w:rsidRPr="002646D0">
        <w:rPr>
          <w:rFonts w:asciiTheme="minorHAnsi" w:hAnsiTheme="minorHAnsi" w:cstheme="minorHAnsi"/>
          <w:sz w:val="18"/>
          <w:szCs w:val="18"/>
        </w:rPr>
        <w:t>.</w:t>
      </w:r>
      <w:r w:rsidR="00A74E6C" w:rsidRPr="002646D0">
        <w:rPr>
          <w:rFonts w:asciiTheme="minorHAnsi" w:hAnsiTheme="minorHAnsi" w:cstheme="minorHAnsi"/>
          <w:sz w:val="18"/>
          <w:szCs w:val="18"/>
        </w:rPr>
        <w:t xml:space="preserve"> </w:t>
      </w:r>
    </w:p>
    <w:p w14:paraId="64690B0F" w14:textId="77777777" w:rsidR="00D463A0" w:rsidRDefault="00D463A0" w:rsidP="00D463A0">
      <w:pPr>
        <w:pStyle w:val="ListParagraph"/>
        <w:ind w:left="1080"/>
        <w:jc w:val="both"/>
        <w:rPr>
          <w:rFonts w:asciiTheme="minorHAnsi" w:hAnsiTheme="minorHAnsi" w:cstheme="minorHAnsi"/>
          <w:sz w:val="18"/>
          <w:szCs w:val="18"/>
        </w:rPr>
      </w:pPr>
    </w:p>
    <w:p w14:paraId="47698EF7" w14:textId="27AAC44A" w:rsidR="00D463A0" w:rsidRDefault="00947E12" w:rsidP="00D463A0">
      <w:pPr>
        <w:pStyle w:val="ListParagraph"/>
        <w:numPr>
          <w:ilvl w:val="0"/>
          <w:numId w:val="6"/>
        </w:numPr>
        <w:ind w:left="1080"/>
        <w:jc w:val="both"/>
        <w:rPr>
          <w:rFonts w:asciiTheme="minorHAnsi" w:hAnsiTheme="minorHAnsi" w:cstheme="minorHAnsi"/>
          <w:sz w:val="18"/>
          <w:szCs w:val="18"/>
        </w:rPr>
      </w:pPr>
      <w:r>
        <w:rPr>
          <w:rFonts w:asciiTheme="minorHAnsi" w:hAnsiTheme="minorHAnsi" w:cstheme="minorHAnsi"/>
          <w:sz w:val="18"/>
          <w:szCs w:val="18"/>
        </w:rPr>
        <w:t>I</w:t>
      </w:r>
      <w:r w:rsidR="00610E97" w:rsidRPr="002646D0">
        <w:rPr>
          <w:rFonts w:asciiTheme="minorHAnsi" w:hAnsiTheme="minorHAnsi" w:cstheme="minorHAnsi"/>
          <w:sz w:val="18"/>
          <w:szCs w:val="18"/>
        </w:rPr>
        <w:t xml:space="preserve">f a services project </w:t>
      </w:r>
      <w:r w:rsidR="00260D95">
        <w:rPr>
          <w:rFonts w:asciiTheme="minorHAnsi" w:hAnsiTheme="minorHAnsi" w:cstheme="minorHAnsi"/>
          <w:sz w:val="18"/>
          <w:szCs w:val="18"/>
        </w:rPr>
        <w:t xml:space="preserve">in regional Victoria </w:t>
      </w:r>
      <w:r w:rsidR="00610E97" w:rsidRPr="002646D0">
        <w:rPr>
          <w:rFonts w:asciiTheme="minorHAnsi" w:hAnsiTheme="minorHAnsi" w:cstheme="minorHAnsi"/>
          <w:sz w:val="18"/>
          <w:szCs w:val="18"/>
        </w:rPr>
        <w:t xml:space="preserve">involves annual delivery activities to the value of $500,000 per year for each </w:t>
      </w:r>
      <w:r w:rsidR="00D219C0" w:rsidRPr="002646D0">
        <w:rPr>
          <w:rFonts w:asciiTheme="minorHAnsi" w:hAnsiTheme="minorHAnsi" w:cstheme="minorHAnsi"/>
          <w:sz w:val="18"/>
          <w:szCs w:val="18"/>
        </w:rPr>
        <w:t xml:space="preserve">over </w:t>
      </w:r>
      <w:r w:rsidR="00610E97" w:rsidRPr="002646D0">
        <w:rPr>
          <w:rFonts w:asciiTheme="minorHAnsi" w:hAnsiTheme="minorHAnsi" w:cstheme="minorHAnsi"/>
          <w:sz w:val="18"/>
          <w:szCs w:val="18"/>
        </w:rPr>
        <w:t>four years</w:t>
      </w:r>
      <w:r w:rsidR="00260D95">
        <w:rPr>
          <w:rFonts w:asciiTheme="minorHAnsi" w:hAnsiTheme="minorHAnsi" w:cstheme="minorHAnsi"/>
          <w:sz w:val="18"/>
          <w:szCs w:val="18"/>
        </w:rPr>
        <w:t>, t</w:t>
      </w:r>
      <w:r w:rsidR="00610E97" w:rsidRPr="002646D0">
        <w:rPr>
          <w:rFonts w:asciiTheme="minorHAnsi" w:hAnsiTheme="minorHAnsi" w:cstheme="minorHAnsi"/>
          <w:sz w:val="18"/>
          <w:szCs w:val="18"/>
        </w:rPr>
        <w:t xml:space="preserve">his project would have a total value of $2 million and as such it would be treated as a Local Jobs First Standard Project. </w:t>
      </w:r>
    </w:p>
    <w:p w14:paraId="5D3921CC" w14:textId="77777777" w:rsidR="00D463A0" w:rsidRPr="00D463A0" w:rsidRDefault="00D463A0" w:rsidP="00D463A0">
      <w:pPr>
        <w:pStyle w:val="ListParagraph"/>
        <w:ind w:left="1080"/>
        <w:jc w:val="both"/>
        <w:rPr>
          <w:rFonts w:asciiTheme="minorHAnsi" w:hAnsiTheme="minorHAnsi" w:cstheme="minorHAnsi"/>
          <w:sz w:val="18"/>
          <w:szCs w:val="18"/>
        </w:rPr>
      </w:pPr>
    </w:p>
    <w:p w14:paraId="3FAFC48D" w14:textId="7C47367E" w:rsidR="00610E97" w:rsidRDefault="00947E12" w:rsidP="005118B4">
      <w:pPr>
        <w:pStyle w:val="ListParagraph"/>
        <w:numPr>
          <w:ilvl w:val="0"/>
          <w:numId w:val="6"/>
        </w:numPr>
        <w:ind w:left="1080"/>
        <w:jc w:val="both"/>
        <w:rPr>
          <w:rFonts w:asciiTheme="minorHAnsi" w:hAnsiTheme="minorHAnsi" w:cstheme="minorHAnsi"/>
          <w:sz w:val="18"/>
          <w:szCs w:val="18"/>
        </w:rPr>
      </w:pPr>
      <w:r>
        <w:rPr>
          <w:rFonts w:asciiTheme="minorHAnsi" w:hAnsiTheme="minorHAnsi" w:cstheme="minorHAnsi"/>
          <w:sz w:val="18"/>
          <w:szCs w:val="18"/>
        </w:rPr>
        <w:t>I</w:t>
      </w:r>
      <w:r w:rsidR="00610E97" w:rsidRPr="002646D0">
        <w:rPr>
          <w:rFonts w:asciiTheme="minorHAnsi" w:hAnsiTheme="minorHAnsi" w:cstheme="minorHAnsi"/>
          <w:sz w:val="18"/>
          <w:szCs w:val="18"/>
        </w:rPr>
        <w:t>f the</w:t>
      </w:r>
      <w:r w:rsidR="00DD56EA">
        <w:rPr>
          <w:rFonts w:asciiTheme="minorHAnsi" w:hAnsiTheme="minorHAnsi" w:cstheme="minorHAnsi"/>
          <w:sz w:val="18"/>
          <w:szCs w:val="18"/>
        </w:rPr>
        <w:t xml:space="preserve"> above</w:t>
      </w:r>
      <w:r w:rsidR="00610E97" w:rsidRPr="002646D0">
        <w:rPr>
          <w:rFonts w:asciiTheme="minorHAnsi" w:hAnsiTheme="minorHAnsi" w:cstheme="minorHAnsi"/>
          <w:sz w:val="18"/>
          <w:szCs w:val="18"/>
        </w:rPr>
        <w:t xml:space="preserve"> project had an option to renew for a further four years, its total value would be $4 million</w:t>
      </w:r>
      <w:r w:rsidR="00DD56EA">
        <w:rPr>
          <w:rFonts w:asciiTheme="minorHAnsi" w:hAnsiTheme="minorHAnsi" w:cstheme="minorHAnsi"/>
          <w:sz w:val="18"/>
          <w:szCs w:val="18"/>
        </w:rPr>
        <w:t xml:space="preserve"> </w:t>
      </w:r>
      <w:r w:rsidR="00610E97" w:rsidRPr="002646D0">
        <w:rPr>
          <w:rFonts w:asciiTheme="minorHAnsi" w:hAnsiTheme="minorHAnsi" w:cstheme="minorHAnsi"/>
          <w:sz w:val="18"/>
          <w:szCs w:val="18"/>
        </w:rPr>
        <w:t xml:space="preserve">and as such it would be treated as a Local Jobs First Standard Project irrespective of location. </w:t>
      </w:r>
    </w:p>
    <w:p w14:paraId="02060B32" w14:textId="77777777" w:rsidR="002646D0" w:rsidRPr="002646D0" w:rsidRDefault="002646D0" w:rsidP="005118B4">
      <w:pPr>
        <w:pStyle w:val="ListParagraph"/>
        <w:ind w:left="1080"/>
        <w:jc w:val="both"/>
        <w:rPr>
          <w:rFonts w:asciiTheme="minorHAnsi" w:hAnsiTheme="minorHAnsi" w:cstheme="minorHAnsi"/>
          <w:sz w:val="18"/>
          <w:szCs w:val="18"/>
        </w:rPr>
      </w:pPr>
    </w:p>
    <w:p w14:paraId="5514234C" w14:textId="7ACDFEB3" w:rsidR="00610E97" w:rsidRPr="00B222E8" w:rsidRDefault="00610E97" w:rsidP="005118B4">
      <w:pPr>
        <w:numPr>
          <w:ilvl w:val="0"/>
          <w:numId w:val="20"/>
        </w:numPr>
        <w:spacing w:before="0"/>
        <w:ind w:left="360"/>
        <w:jc w:val="both"/>
        <w:rPr>
          <w:rFonts w:cs="Arial"/>
          <w:szCs w:val="18"/>
        </w:rPr>
      </w:pPr>
      <w:r w:rsidRPr="00B222E8">
        <w:rPr>
          <w:rFonts w:cs="Arial"/>
          <w:szCs w:val="18"/>
        </w:rPr>
        <w:t>The source of a project budget does not impact the application of the Local Jobs First Policy. For example, a project budget may be sourced from State Government appropriations, internal agency resources, grants</w:t>
      </w:r>
      <w:r w:rsidR="00D637D7" w:rsidRPr="00B222E8">
        <w:rPr>
          <w:rFonts w:cs="Arial"/>
          <w:szCs w:val="18"/>
        </w:rPr>
        <w:t>, loans</w:t>
      </w:r>
      <w:r w:rsidRPr="00B222E8">
        <w:rPr>
          <w:rFonts w:cs="Arial"/>
          <w:szCs w:val="18"/>
        </w:rPr>
        <w:t xml:space="preserve"> or other contributions, which together make up the project value for Local Jobs First Policy purposes.</w:t>
      </w:r>
    </w:p>
    <w:p w14:paraId="7C20E03C" w14:textId="77777777" w:rsidR="00387ED4" w:rsidRPr="00A00B17" w:rsidRDefault="0091151B" w:rsidP="005118B4">
      <w:pPr>
        <w:numPr>
          <w:ilvl w:val="0"/>
          <w:numId w:val="20"/>
        </w:numPr>
        <w:spacing w:before="0"/>
        <w:ind w:left="360"/>
        <w:jc w:val="both"/>
        <w:rPr>
          <w:rFonts w:asciiTheme="minorHAnsi" w:hAnsiTheme="minorHAnsi" w:cstheme="minorHAnsi"/>
          <w:szCs w:val="18"/>
        </w:rPr>
      </w:pPr>
      <w:r w:rsidRPr="00A00B17">
        <w:rPr>
          <w:rFonts w:cs="Arial"/>
          <w:szCs w:val="18"/>
        </w:rPr>
        <w:t>To determine if</w:t>
      </w:r>
      <w:r w:rsidRPr="00A00B17">
        <w:rPr>
          <w:rFonts w:asciiTheme="minorHAnsi" w:hAnsiTheme="minorHAnsi" w:cstheme="minorHAnsi"/>
          <w:szCs w:val="18"/>
        </w:rPr>
        <w:t xml:space="preserve"> your project is </w:t>
      </w:r>
      <w:r w:rsidR="003E3110">
        <w:rPr>
          <w:rFonts w:asciiTheme="minorHAnsi" w:hAnsiTheme="minorHAnsi" w:cstheme="minorHAnsi"/>
          <w:szCs w:val="18"/>
        </w:rPr>
        <w:t>LJF</w:t>
      </w:r>
      <w:r w:rsidRPr="00A00B17">
        <w:rPr>
          <w:rFonts w:asciiTheme="minorHAnsi" w:hAnsiTheme="minorHAnsi" w:cstheme="minorHAnsi"/>
          <w:szCs w:val="18"/>
        </w:rPr>
        <w:t xml:space="preserve"> applicable consider the following:</w:t>
      </w:r>
    </w:p>
    <w:p w14:paraId="14475037" w14:textId="3B1FBD73" w:rsidR="0091151B" w:rsidRPr="00A00B17" w:rsidRDefault="0091151B" w:rsidP="005118B4">
      <w:pPr>
        <w:pStyle w:val="ListParagraph"/>
        <w:numPr>
          <w:ilvl w:val="1"/>
          <w:numId w:val="20"/>
        </w:numPr>
        <w:ind w:left="1080"/>
        <w:rPr>
          <w:rFonts w:asciiTheme="minorHAnsi" w:hAnsiTheme="minorHAnsi" w:cstheme="minorHAnsi"/>
          <w:sz w:val="18"/>
          <w:szCs w:val="18"/>
        </w:rPr>
      </w:pPr>
      <w:r w:rsidRPr="00A00B17">
        <w:rPr>
          <w:rFonts w:asciiTheme="minorHAnsi" w:hAnsiTheme="minorHAnsi" w:cstheme="minorHAnsi"/>
          <w:sz w:val="18"/>
          <w:szCs w:val="18"/>
        </w:rPr>
        <w:t xml:space="preserve">Is your </w:t>
      </w:r>
      <w:r w:rsidR="00F27BC3">
        <w:rPr>
          <w:rFonts w:asciiTheme="minorHAnsi" w:hAnsiTheme="minorHAnsi" w:cstheme="minorHAnsi"/>
          <w:sz w:val="18"/>
          <w:szCs w:val="18"/>
        </w:rPr>
        <w:t xml:space="preserve">project a </w:t>
      </w:r>
      <w:r w:rsidRPr="00A00B17">
        <w:rPr>
          <w:rFonts w:asciiTheme="minorHAnsi" w:hAnsiTheme="minorHAnsi" w:cstheme="minorHAnsi"/>
          <w:sz w:val="18"/>
          <w:szCs w:val="18"/>
        </w:rPr>
        <w:t>goods</w:t>
      </w:r>
      <w:r w:rsidR="00F27BC3">
        <w:rPr>
          <w:rFonts w:asciiTheme="minorHAnsi" w:hAnsiTheme="minorHAnsi" w:cstheme="minorHAnsi"/>
          <w:sz w:val="18"/>
          <w:szCs w:val="18"/>
        </w:rPr>
        <w:t>,</w:t>
      </w:r>
      <w:r w:rsidRPr="00A00B17">
        <w:rPr>
          <w:rFonts w:asciiTheme="minorHAnsi" w:hAnsiTheme="minorHAnsi" w:cstheme="minorHAnsi"/>
          <w:sz w:val="18"/>
          <w:szCs w:val="18"/>
        </w:rPr>
        <w:t xml:space="preserve"> service</w:t>
      </w:r>
      <w:r w:rsidR="00F27BC3">
        <w:rPr>
          <w:rFonts w:asciiTheme="minorHAnsi" w:hAnsiTheme="minorHAnsi" w:cstheme="minorHAnsi"/>
          <w:sz w:val="18"/>
          <w:szCs w:val="18"/>
        </w:rPr>
        <w:t xml:space="preserve"> or construction activity that involves:</w:t>
      </w:r>
    </w:p>
    <w:p w14:paraId="0EDD0F8C" w14:textId="0FAD662E" w:rsidR="0091151B" w:rsidRPr="00A00B17" w:rsidRDefault="0091151B" w:rsidP="005118B4">
      <w:pPr>
        <w:pStyle w:val="ListParagraph"/>
        <w:numPr>
          <w:ilvl w:val="2"/>
          <w:numId w:val="21"/>
        </w:numPr>
        <w:ind w:left="1800"/>
        <w:jc w:val="both"/>
        <w:rPr>
          <w:rFonts w:asciiTheme="minorHAnsi" w:hAnsiTheme="minorHAnsi" w:cstheme="minorHAnsi"/>
          <w:sz w:val="18"/>
          <w:szCs w:val="18"/>
        </w:rPr>
      </w:pPr>
      <w:r w:rsidRPr="00A00B17">
        <w:rPr>
          <w:rFonts w:asciiTheme="minorHAnsi" w:hAnsiTheme="minorHAnsi" w:cstheme="minorHAnsi"/>
          <w:sz w:val="18"/>
          <w:szCs w:val="18"/>
        </w:rPr>
        <w:t xml:space="preserve">A </w:t>
      </w:r>
      <w:r w:rsidR="00F27BC3" w:rsidRPr="00593E5E">
        <w:rPr>
          <w:rFonts w:asciiTheme="minorHAnsi" w:hAnsiTheme="minorHAnsi" w:cstheme="minorHAnsi"/>
          <w:b/>
          <w:sz w:val="18"/>
          <w:szCs w:val="18"/>
        </w:rPr>
        <w:t>m</w:t>
      </w:r>
      <w:r w:rsidRPr="00593E5E">
        <w:rPr>
          <w:rFonts w:asciiTheme="minorHAnsi" w:hAnsiTheme="minorHAnsi" w:cstheme="minorHAnsi"/>
          <w:b/>
          <w:sz w:val="18"/>
          <w:szCs w:val="18"/>
        </w:rPr>
        <w:t xml:space="preserve">etropolitan or </w:t>
      </w:r>
      <w:r w:rsidR="00F27BC3" w:rsidRPr="00593E5E">
        <w:rPr>
          <w:rFonts w:asciiTheme="minorHAnsi" w:hAnsiTheme="minorHAnsi" w:cstheme="minorHAnsi"/>
          <w:b/>
          <w:sz w:val="18"/>
          <w:szCs w:val="18"/>
        </w:rPr>
        <w:t>s</w:t>
      </w:r>
      <w:r w:rsidRPr="00593E5E">
        <w:rPr>
          <w:rFonts w:asciiTheme="minorHAnsi" w:hAnsiTheme="minorHAnsi" w:cstheme="minorHAnsi"/>
          <w:b/>
          <w:sz w:val="18"/>
          <w:szCs w:val="18"/>
        </w:rPr>
        <w:t>tate</w:t>
      </w:r>
      <w:r w:rsidR="00EF5AF1" w:rsidRPr="00593E5E">
        <w:rPr>
          <w:rFonts w:asciiTheme="minorHAnsi" w:hAnsiTheme="minorHAnsi" w:cstheme="minorHAnsi"/>
          <w:b/>
          <w:sz w:val="18"/>
          <w:szCs w:val="18"/>
        </w:rPr>
        <w:t>-</w:t>
      </w:r>
      <w:r w:rsidRPr="00593E5E">
        <w:rPr>
          <w:rFonts w:asciiTheme="minorHAnsi" w:hAnsiTheme="minorHAnsi" w:cstheme="minorHAnsi"/>
          <w:b/>
          <w:sz w:val="18"/>
          <w:szCs w:val="18"/>
        </w:rPr>
        <w:t xml:space="preserve">wide </w:t>
      </w:r>
      <w:r w:rsidR="00156D3E" w:rsidRPr="00593E5E">
        <w:rPr>
          <w:rFonts w:asciiTheme="minorHAnsi" w:hAnsiTheme="minorHAnsi" w:cstheme="minorHAnsi"/>
          <w:b/>
          <w:sz w:val="18"/>
          <w:szCs w:val="18"/>
        </w:rPr>
        <w:t>activity</w:t>
      </w:r>
      <w:r w:rsidRPr="00A00B17">
        <w:rPr>
          <w:rFonts w:asciiTheme="minorHAnsi" w:hAnsiTheme="minorHAnsi" w:cstheme="minorHAnsi"/>
          <w:sz w:val="18"/>
          <w:szCs w:val="18"/>
        </w:rPr>
        <w:t xml:space="preserve"> valued at </w:t>
      </w:r>
      <w:r w:rsidRPr="00593E5E">
        <w:rPr>
          <w:rFonts w:asciiTheme="minorHAnsi" w:hAnsiTheme="minorHAnsi" w:cstheme="minorHAnsi"/>
          <w:b/>
          <w:sz w:val="18"/>
          <w:szCs w:val="18"/>
        </w:rPr>
        <w:t>$3 million or more, but less than $50 million?</w:t>
      </w:r>
      <w:r w:rsidRPr="00A00B17">
        <w:rPr>
          <w:rFonts w:asciiTheme="minorHAnsi" w:hAnsiTheme="minorHAnsi" w:cstheme="minorHAnsi"/>
          <w:sz w:val="18"/>
          <w:szCs w:val="18"/>
        </w:rPr>
        <w:t xml:space="preserve"> If yes, your project may be a</w:t>
      </w:r>
      <w:r w:rsidR="005D2501">
        <w:rPr>
          <w:rFonts w:asciiTheme="minorHAnsi" w:hAnsiTheme="minorHAnsi" w:cstheme="minorHAnsi"/>
          <w:sz w:val="18"/>
          <w:szCs w:val="18"/>
        </w:rPr>
        <w:t>n</w:t>
      </w:r>
      <w:r w:rsidRPr="00A00B17">
        <w:rPr>
          <w:rFonts w:asciiTheme="minorHAnsi" w:hAnsiTheme="minorHAnsi" w:cstheme="minorHAnsi"/>
          <w:sz w:val="18"/>
          <w:szCs w:val="18"/>
        </w:rPr>
        <w:t xml:space="preserve"> </w:t>
      </w:r>
      <w:r w:rsidR="00F27BC3" w:rsidRPr="00593E5E">
        <w:rPr>
          <w:rFonts w:asciiTheme="minorHAnsi" w:hAnsiTheme="minorHAnsi" w:cstheme="minorHAnsi"/>
          <w:b/>
          <w:sz w:val="18"/>
          <w:szCs w:val="18"/>
        </w:rPr>
        <w:t>LJF</w:t>
      </w:r>
      <w:r w:rsidRPr="00593E5E">
        <w:rPr>
          <w:rFonts w:asciiTheme="minorHAnsi" w:hAnsiTheme="minorHAnsi" w:cstheme="minorHAnsi"/>
          <w:b/>
          <w:sz w:val="18"/>
          <w:szCs w:val="18"/>
        </w:rPr>
        <w:t xml:space="preserve"> Standard Project</w:t>
      </w:r>
      <w:r w:rsidRPr="00A00B17">
        <w:rPr>
          <w:rFonts w:asciiTheme="minorHAnsi" w:hAnsiTheme="minorHAnsi" w:cstheme="minorHAnsi"/>
          <w:sz w:val="18"/>
          <w:szCs w:val="18"/>
        </w:rPr>
        <w:t xml:space="preserve">. Please refer to the </w:t>
      </w:r>
      <w:r w:rsidR="00F27BC3">
        <w:rPr>
          <w:rFonts w:asciiTheme="minorHAnsi" w:hAnsiTheme="minorHAnsi" w:cstheme="minorHAnsi"/>
          <w:sz w:val="18"/>
          <w:szCs w:val="18"/>
        </w:rPr>
        <w:t>LJF</w:t>
      </w:r>
      <w:r w:rsidRPr="00A00B17">
        <w:rPr>
          <w:rFonts w:asciiTheme="minorHAnsi" w:hAnsiTheme="minorHAnsi" w:cstheme="minorHAnsi"/>
          <w:sz w:val="18"/>
          <w:szCs w:val="18"/>
        </w:rPr>
        <w:t xml:space="preserve"> Standard process </w:t>
      </w:r>
      <w:r w:rsidR="002E5472">
        <w:rPr>
          <w:rFonts w:asciiTheme="minorHAnsi" w:hAnsiTheme="minorHAnsi" w:cstheme="minorHAnsi"/>
          <w:sz w:val="18"/>
          <w:szCs w:val="18"/>
        </w:rPr>
        <w:t xml:space="preserve">at </w:t>
      </w:r>
      <w:r w:rsidR="00227B5E">
        <w:rPr>
          <w:rFonts w:asciiTheme="minorHAnsi" w:hAnsiTheme="minorHAnsi" w:cstheme="minorHAnsi"/>
          <w:sz w:val="18"/>
          <w:szCs w:val="18"/>
        </w:rPr>
        <w:t>S</w:t>
      </w:r>
      <w:r w:rsidR="002E5472">
        <w:rPr>
          <w:rFonts w:asciiTheme="minorHAnsi" w:hAnsiTheme="minorHAnsi" w:cstheme="minorHAnsi"/>
          <w:sz w:val="18"/>
          <w:szCs w:val="18"/>
        </w:rPr>
        <w:t xml:space="preserve">ection </w:t>
      </w:r>
      <w:r w:rsidR="00954BB8">
        <w:rPr>
          <w:rFonts w:asciiTheme="minorHAnsi" w:hAnsiTheme="minorHAnsi" w:cstheme="minorHAnsi"/>
          <w:sz w:val="18"/>
          <w:szCs w:val="18"/>
        </w:rPr>
        <w:t>5</w:t>
      </w:r>
      <w:r w:rsidR="001B5061">
        <w:rPr>
          <w:rFonts w:asciiTheme="minorHAnsi" w:hAnsiTheme="minorHAnsi" w:cstheme="minorHAnsi"/>
          <w:sz w:val="18"/>
          <w:szCs w:val="18"/>
        </w:rPr>
        <w:t xml:space="preserve"> </w:t>
      </w:r>
      <w:r w:rsidRPr="00A00B17">
        <w:rPr>
          <w:rFonts w:asciiTheme="minorHAnsi" w:hAnsiTheme="minorHAnsi" w:cstheme="minorHAnsi"/>
          <w:sz w:val="18"/>
          <w:szCs w:val="18"/>
        </w:rPr>
        <w:t>for more information and next steps.</w:t>
      </w:r>
    </w:p>
    <w:p w14:paraId="51AA1EDD" w14:textId="0A35B09B" w:rsidR="0091151B" w:rsidRDefault="0091151B" w:rsidP="005118B4">
      <w:pPr>
        <w:pStyle w:val="ListParagraph"/>
        <w:numPr>
          <w:ilvl w:val="2"/>
          <w:numId w:val="21"/>
        </w:numPr>
        <w:ind w:left="1800"/>
        <w:jc w:val="both"/>
        <w:rPr>
          <w:rFonts w:asciiTheme="minorHAnsi" w:hAnsiTheme="minorHAnsi" w:cstheme="minorHAnsi"/>
          <w:sz w:val="18"/>
          <w:szCs w:val="18"/>
        </w:rPr>
      </w:pPr>
      <w:r w:rsidRPr="00A00B17">
        <w:rPr>
          <w:rFonts w:asciiTheme="minorHAnsi" w:hAnsiTheme="minorHAnsi" w:cstheme="minorHAnsi"/>
          <w:sz w:val="18"/>
          <w:szCs w:val="18"/>
        </w:rPr>
        <w:t xml:space="preserve">A </w:t>
      </w:r>
      <w:r w:rsidR="00F27BC3" w:rsidRPr="00593E5E">
        <w:rPr>
          <w:rFonts w:asciiTheme="minorHAnsi" w:hAnsiTheme="minorHAnsi" w:cstheme="minorHAnsi"/>
          <w:b/>
          <w:sz w:val="18"/>
          <w:szCs w:val="18"/>
        </w:rPr>
        <w:t>r</w:t>
      </w:r>
      <w:r w:rsidRPr="00593E5E">
        <w:rPr>
          <w:rFonts w:asciiTheme="minorHAnsi" w:hAnsiTheme="minorHAnsi" w:cstheme="minorHAnsi"/>
          <w:b/>
          <w:sz w:val="18"/>
          <w:szCs w:val="18"/>
        </w:rPr>
        <w:t>egional activity valued at $1 mil</w:t>
      </w:r>
      <w:r w:rsidR="00387ED4" w:rsidRPr="00593E5E">
        <w:rPr>
          <w:rFonts w:asciiTheme="minorHAnsi" w:hAnsiTheme="minorHAnsi" w:cstheme="minorHAnsi"/>
          <w:b/>
          <w:sz w:val="18"/>
          <w:szCs w:val="18"/>
        </w:rPr>
        <w:t>lion or more, but less than $50</w:t>
      </w:r>
      <w:r w:rsidRPr="00593E5E">
        <w:rPr>
          <w:rFonts w:asciiTheme="minorHAnsi" w:hAnsiTheme="minorHAnsi" w:cstheme="minorHAnsi"/>
          <w:b/>
          <w:sz w:val="18"/>
          <w:szCs w:val="18"/>
        </w:rPr>
        <w:t xml:space="preserve"> million?</w:t>
      </w:r>
      <w:r w:rsidRPr="00A00B17">
        <w:rPr>
          <w:rFonts w:asciiTheme="minorHAnsi" w:hAnsiTheme="minorHAnsi" w:cstheme="minorHAnsi"/>
          <w:sz w:val="18"/>
          <w:szCs w:val="18"/>
        </w:rPr>
        <w:t xml:space="preserve"> If yes, your project may be a</w:t>
      </w:r>
      <w:r w:rsidR="005D2501">
        <w:rPr>
          <w:rFonts w:asciiTheme="minorHAnsi" w:hAnsiTheme="minorHAnsi" w:cstheme="minorHAnsi"/>
          <w:sz w:val="18"/>
          <w:szCs w:val="18"/>
        </w:rPr>
        <w:t>n</w:t>
      </w:r>
      <w:r w:rsidRPr="00A00B17">
        <w:rPr>
          <w:rFonts w:asciiTheme="minorHAnsi" w:hAnsiTheme="minorHAnsi" w:cstheme="minorHAnsi"/>
          <w:sz w:val="18"/>
          <w:szCs w:val="18"/>
        </w:rPr>
        <w:t xml:space="preserve"> </w:t>
      </w:r>
      <w:r w:rsidR="00F27BC3" w:rsidRPr="00593E5E">
        <w:rPr>
          <w:rFonts w:asciiTheme="minorHAnsi" w:hAnsiTheme="minorHAnsi" w:cstheme="minorHAnsi"/>
          <w:b/>
          <w:sz w:val="18"/>
          <w:szCs w:val="18"/>
        </w:rPr>
        <w:t>LJF</w:t>
      </w:r>
      <w:r w:rsidRPr="00593E5E">
        <w:rPr>
          <w:rFonts w:asciiTheme="minorHAnsi" w:hAnsiTheme="minorHAnsi" w:cstheme="minorHAnsi"/>
          <w:b/>
          <w:sz w:val="18"/>
          <w:szCs w:val="18"/>
        </w:rPr>
        <w:t xml:space="preserve"> Standard Project</w:t>
      </w:r>
      <w:r w:rsidRPr="00A00B17">
        <w:rPr>
          <w:rFonts w:asciiTheme="minorHAnsi" w:hAnsiTheme="minorHAnsi" w:cstheme="minorHAnsi"/>
          <w:sz w:val="18"/>
          <w:szCs w:val="18"/>
        </w:rPr>
        <w:t xml:space="preserve">. Please refer to the </w:t>
      </w:r>
      <w:r w:rsidR="00F27BC3">
        <w:rPr>
          <w:rFonts w:asciiTheme="minorHAnsi" w:hAnsiTheme="minorHAnsi" w:cstheme="minorHAnsi"/>
          <w:sz w:val="18"/>
          <w:szCs w:val="18"/>
        </w:rPr>
        <w:t>LJF</w:t>
      </w:r>
      <w:r w:rsidRPr="00A00B17">
        <w:rPr>
          <w:rFonts w:asciiTheme="minorHAnsi" w:hAnsiTheme="minorHAnsi" w:cstheme="minorHAnsi"/>
          <w:sz w:val="18"/>
          <w:szCs w:val="18"/>
        </w:rPr>
        <w:t xml:space="preserve"> Standard process </w:t>
      </w:r>
      <w:r w:rsidR="00227B5E">
        <w:rPr>
          <w:rFonts w:asciiTheme="minorHAnsi" w:hAnsiTheme="minorHAnsi" w:cstheme="minorHAnsi"/>
          <w:sz w:val="18"/>
          <w:szCs w:val="18"/>
        </w:rPr>
        <w:t xml:space="preserve">at Section </w:t>
      </w:r>
      <w:r w:rsidR="00780D48">
        <w:rPr>
          <w:rFonts w:asciiTheme="minorHAnsi" w:hAnsiTheme="minorHAnsi" w:cstheme="minorHAnsi"/>
          <w:sz w:val="18"/>
          <w:szCs w:val="18"/>
        </w:rPr>
        <w:t>5</w:t>
      </w:r>
      <w:r w:rsidRPr="00A00B17">
        <w:rPr>
          <w:rFonts w:asciiTheme="minorHAnsi" w:hAnsiTheme="minorHAnsi" w:cstheme="minorHAnsi"/>
          <w:sz w:val="18"/>
          <w:szCs w:val="18"/>
        </w:rPr>
        <w:t xml:space="preserve"> for more information and next steps.</w:t>
      </w:r>
    </w:p>
    <w:p w14:paraId="64084A5E" w14:textId="77777777" w:rsidR="008953EE" w:rsidRPr="00A00B17" w:rsidRDefault="008953EE" w:rsidP="005118B4">
      <w:pPr>
        <w:pStyle w:val="ListParagraph"/>
        <w:ind w:left="1800"/>
        <w:jc w:val="both"/>
        <w:rPr>
          <w:rFonts w:asciiTheme="minorHAnsi" w:hAnsiTheme="minorHAnsi" w:cstheme="minorHAnsi"/>
          <w:sz w:val="18"/>
          <w:szCs w:val="18"/>
        </w:rPr>
      </w:pPr>
    </w:p>
    <w:p w14:paraId="1786CF22" w14:textId="67FF299B" w:rsidR="000D7942" w:rsidRPr="000D7942" w:rsidRDefault="000D7942" w:rsidP="005118B4">
      <w:pPr>
        <w:pStyle w:val="ListParagraph"/>
        <w:numPr>
          <w:ilvl w:val="1"/>
          <w:numId w:val="20"/>
        </w:numPr>
        <w:ind w:left="1080"/>
        <w:rPr>
          <w:rFonts w:asciiTheme="minorHAnsi" w:hAnsiTheme="minorHAnsi" w:cstheme="minorHAnsi"/>
          <w:sz w:val="18"/>
          <w:szCs w:val="18"/>
        </w:rPr>
      </w:pPr>
      <w:r w:rsidRPr="00593E5E">
        <w:rPr>
          <w:rFonts w:asciiTheme="minorHAnsi" w:hAnsiTheme="minorHAnsi" w:cstheme="minorHAnsi"/>
          <w:b/>
          <w:sz w:val="18"/>
          <w:szCs w:val="18"/>
        </w:rPr>
        <w:t>Is it a construction project valued at $20 million or more?</w:t>
      </w:r>
      <w:r w:rsidRPr="000D7942">
        <w:rPr>
          <w:rFonts w:asciiTheme="minorHAnsi" w:hAnsiTheme="minorHAnsi" w:cstheme="minorHAnsi"/>
          <w:sz w:val="18"/>
          <w:szCs w:val="18"/>
        </w:rPr>
        <w:t xml:space="preserve"> Then the Major Projects Skills Guarantee (MPSG) applies. Please refer to the LJF Strategic Project process at Section </w:t>
      </w:r>
      <w:r w:rsidR="00780D48">
        <w:rPr>
          <w:rFonts w:asciiTheme="minorHAnsi" w:hAnsiTheme="minorHAnsi" w:cstheme="minorHAnsi"/>
          <w:sz w:val="18"/>
          <w:szCs w:val="18"/>
        </w:rPr>
        <w:t>6</w:t>
      </w:r>
      <w:r w:rsidRPr="000D7942">
        <w:rPr>
          <w:rFonts w:asciiTheme="minorHAnsi" w:hAnsiTheme="minorHAnsi" w:cstheme="minorHAnsi"/>
          <w:sz w:val="18"/>
          <w:szCs w:val="18"/>
        </w:rPr>
        <w:t xml:space="preserve"> for more information and next steps.</w:t>
      </w:r>
    </w:p>
    <w:p w14:paraId="554E696A" w14:textId="77777777" w:rsidR="008953EE" w:rsidRDefault="008953EE" w:rsidP="005118B4">
      <w:pPr>
        <w:pStyle w:val="ListParagraph"/>
        <w:ind w:left="1080"/>
        <w:rPr>
          <w:rFonts w:asciiTheme="minorHAnsi" w:hAnsiTheme="minorHAnsi" w:cstheme="minorHAnsi"/>
          <w:sz w:val="18"/>
          <w:szCs w:val="18"/>
        </w:rPr>
      </w:pPr>
    </w:p>
    <w:p w14:paraId="066ED630" w14:textId="2D19E40C" w:rsidR="0091151B" w:rsidRDefault="0091151B" w:rsidP="005118B4">
      <w:pPr>
        <w:pStyle w:val="ListParagraph"/>
        <w:numPr>
          <w:ilvl w:val="1"/>
          <w:numId w:val="20"/>
        </w:numPr>
        <w:ind w:left="1080"/>
        <w:rPr>
          <w:rFonts w:asciiTheme="minorHAnsi" w:hAnsiTheme="minorHAnsi" w:cstheme="minorHAnsi"/>
          <w:sz w:val="18"/>
          <w:szCs w:val="18"/>
        </w:rPr>
      </w:pPr>
      <w:r w:rsidRPr="00593E5E">
        <w:rPr>
          <w:rFonts w:asciiTheme="minorHAnsi" w:hAnsiTheme="minorHAnsi" w:cstheme="minorHAnsi"/>
          <w:b/>
          <w:sz w:val="18"/>
          <w:szCs w:val="18"/>
        </w:rPr>
        <w:t>Is it valued at $50 million or more?</w:t>
      </w:r>
      <w:r w:rsidRPr="00A00B17">
        <w:rPr>
          <w:rFonts w:asciiTheme="minorHAnsi" w:hAnsiTheme="minorHAnsi" w:cstheme="minorHAnsi"/>
          <w:sz w:val="18"/>
          <w:szCs w:val="18"/>
        </w:rPr>
        <w:t xml:space="preserve"> If yes, your project is automatically deemed a </w:t>
      </w:r>
      <w:r w:rsidRPr="00CA299A">
        <w:rPr>
          <w:rFonts w:asciiTheme="minorHAnsi" w:hAnsiTheme="minorHAnsi" w:cstheme="minorHAnsi"/>
          <w:b/>
          <w:sz w:val="18"/>
          <w:szCs w:val="18"/>
        </w:rPr>
        <w:t>Strategic Project</w:t>
      </w:r>
      <w:r w:rsidRPr="00A00B17">
        <w:rPr>
          <w:rFonts w:asciiTheme="minorHAnsi" w:hAnsiTheme="minorHAnsi" w:cstheme="minorHAnsi"/>
          <w:sz w:val="18"/>
          <w:szCs w:val="18"/>
        </w:rPr>
        <w:t xml:space="preserve"> </w:t>
      </w:r>
      <w:r w:rsidR="00F27BC3">
        <w:rPr>
          <w:rFonts w:asciiTheme="minorHAnsi" w:hAnsiTheme="minorHAnsi" w:cstheme="minorHAnsi"/>
          <w:sz w:val="18"/>
          <w:szCs w:val="18"/>
        </w:rPr>
        <w:t xml:space="preserve">under the </w:t>
      </w:r>
      <w:r w:rsidR="00D219C0" w:rsidRPr="000E0A04">
        <w:rPr>
          <w:rFonts w:asciiTheme="minorHAnsi" w:hAnsiTheme="minorHAnsi" w:cstheme="minorHAnsi"/>
          <w:sz w:val="18"/>
          <w:szCs w:val="18"/>
        </w:rPr>
        <w:t>Act</w:t>
      </w:r>
      <w:r w:rsidRPr="00A00B17">
        <w:rPr>
          <w:rFonts w:asciiTheme="minorHAnsi" w:hAnsiTheme="minorHAnsi" w:cstheme="minorHAnsi"/>
          <w:sz w:val="18"/>
          <w:szCs w:val="18"/>
        </w:rPr>
        <w:t xml:space="preserve">. Please refer to the </w:t>
      </w:r>
      <w:r w:rsidR="00F27BC3">
        <w:rPr>
          <w:rFonts w:asciiTheme="minorHAnsi" w:hAnsiTheme="minorHAnsi" w:cstheme="minorHAnsi"/>
          <w:sz w:val="18"/>
          <w:szCs w:val="18"/>
        </w:rPr>
        <w:t xml:space="preserve">LJF </w:t>
      </w:r>
      <w:r w:rsidRPr="00A00B17">
        <w:rPr>
          <w:rFonts w:asciiTheme="minorHAnsi" w:hAnsiTheme="minorHAnsi" w:cstheme="minorHAnsi"/>
          <w:sz w:val="18"/>
          <w:szCs w:val="18"/>
        </w:rPr>
        <w:t>Strategic Project</w:t>
      </w:r>
      <w:r w:rsidR="00F27BC3">
        <w:rPr>
          <w:rFonts w:asciiTheme="minorHAnsi" w:hAnsiTheme="minorHAnsi" w:cstheme="minorHAnsi"/>
          <w:sz w:val="18"/>
          <w:szCs w:val="18"/>
        </w:rPr>
        <w:t xml:space="preserve"> process</w:t>
      </w:r>
      <w:r w:rsidRPr="00A00B17">
        <w:rPr>
          <w:rFonts w:asciiTheme="minorHAnsi" w:hAnsiTheme="minorHAnsi" w:cstheme="minorHAnsi"/>
          <w:sz w:val="18"/>
          <w:szCs w:val="18"/>
        </w:rPr>
        <w:t xml:space="preserve"> </w:t>
      </w:r>
      <w:r w:rsidR="000D7942">
        <w:rPr>
          <w:rFonts w:asciiTheme="minorHAnsi" w:hAnsiTheme="minorHAnsi" w:cstheme="minorHAnsi"/>
          <w:sz w:val="18"/>
          <w:szCs w:val="18"/>
        </w:rPr>
        <w:t xml:space="preserve">at Section </w:t>
      </w:r>
      <w:r w:rsidR="00780D48">
        <w:rPr>
          <w:rFonts w:asciiTheme="minorHAnsi" w:hAnsiTheme="minorHAnsi" w:cstheme="minorHAnsi"/>
          <w:sz w:val="18"/>
          <w:szCs w:val="18"/>
        </w:rPr>
        <w:t>7</w:t>
      </w:r>
      <w:r w:rsidRPr="00A00B17">
        <w:rPr>
          <w:rFonts w:asciiTheme="minorHAnsi" w:hAnsiTheme="minorHAnsi" w:cstheme="minorHAnsi"/>
          <w:sz w:val="18"/>
          <w:szCs w:val="18"/>
        </w:rPr>
        <w:t xml:space="preserve"> for more information and next steps.</w:t>
      </w:r>
    </w:p>
    <w:p w14:paraId="6E1A7E68" w14:textId="77777777" w:rsidR="008953EE" w:rsidRDefault="008953EE" w:rsidP="005118B4">
      <w:pPr>
        <w:pStyle w:val="ListParagraph"/>
        <w:ind w:left="1080"/>
        <w:rPr>
          <w:rFonts w:asciiTheme="minorHAnsi" w:hAnsiTheme="minorHAnsi" w:cstheme="minorHAnsi"/>
          <w:sz w:val="18"/>
          <w:szCs w:val="18"/>
        </w:rPr>
      </w:pPr>
    </w:p>
    <w:p w14:paraId="46F2A41C" w14:textId="3C2EE52B" w:rsidR="00617565" w:rsidRDefault="00617565" w:rsidP="005118B4">
      <w:pPr>
        <w:pStyle w:val="ListParagraph"/>
        <w:numPr>
          <w:ilvl w:val="1"/>
          <w:numId w:val="20"/>
        </w:numPr>
        <w:ind w:left="1080"/>
        <w:rPr>
          <w:rFonts w:asciiTheme="minorHAnsi" w:hAnsiTheme="minorHAnsi" w:cstheme="minorHAnsi"/>
          <w:sz w:val="18"/>
          <w:szCs w:val="18"/>
        </w:rPr>
      </w:pPr>
      <w:r w:rsidRPr="00593E5E">
        <w:rPr>
          <w:rFonts w:asciiTheme="minorHAnsi" w:hAnsiTheme="minorHAnsi" w:cstheme="minorHAnsi"/>
          <w:b/>
          <w:sz w:val="18"/>
          <w:szCs w:val="18"/>
        </w:rPr>
        <w:t xml:space="preserve">Are you giving a grant </w:t>
      </w:r>
      <w:r w:rsidR="001B5061" w:rsidRPr="00593E5E">
        <w:rPr>
          <w:rFonts w:asciiTheme="minorHAnsi" w:hAnsiTheme="minorHAnsi" w:cstheme="minorHAnsi"/>
          <w:b/>
          <w:sz w:val="18"/>
          <w:szCs w:val="18"/>
        </w:rPr>
        <w:t xml:space="preserve">or loan </w:t>
      </w:r>
      <w:r w:rsidRPr="00593E5E">
        <w:rPr>
          <w:rFonts w:asciiTheme="minorHAnsi" w:hAnsiTheme="minorHAnsi" w:cstheme="minorHAnsi"/>
          <w:b/>
          <w:sz w:val="18"/>
          <w:szCs w:val="18"/>
        </w:rPr>
        <w:t xml:space="preserve">that is valued at </w:t>
      </w:r>
      <w:r w:rsidR="004C4750" w:rsidRPr="00593E5E">
        <w:rPr>
          <w:rFonts w:asciiTheme="minorHAnsi" w:hAnsiTheme="minorHAnsi" w:cstheme="minorHAnsi"/>
          <w:b/>
          <w:sz w:val="18"/>
          <w:szCs w:val="18"/>
        </w:rPr>
        <w:t xml:space="preserve">the </w:t>
      </w:r>
      <w:r w:rsidR="001A31A4" w:rsidRPr="00593E5E">
        <w:rPr>
          <w:rFonts w:asciiTheme="minorHAnsi" w:hAnsiTheme="minorHAnsi" w:cstheme="minorHAnsi"/>
          <w:b/>
          <w:sz w:val="18"/>
          <w:szCs w:val="18"/>
        </w:rPr>
        <w:t>LJF thresholds?</w:t>
      </w:r>
      <w:r w:rsidR="001A31A4" w:rsidRPr="00C3492F">
        <w:rPr>
          <w:rFonts w:asciiTheme="minorHAnsi" w:hAnsiTheme="minorHAnsi" w:cstheme="minorHAnsi"/>
          <w:sz w:val="18"/>
          <w:szCs w:val="18"/>
        </w:rPr>
        <w:t xml:space="preserve"> </w:t>
      </w:r>
      <w:r>
        <w:rPr>
          <w:rFonts w:asciiTheme="minorHAnsi" w:hAnsiTheme="minorHAnsi" w:cstheme="minorHAnsi"/>
          <w:sz w:val="18"/>
          <w:szCs w:val="18"/>
        </w:rPr>
        <w:t xml:space="preserve">Then you must apply the grants process outlined in </w:t>
      </w:r>
      <w:r w:rsidR="000D7942">
        <w:rPr>
          <w:rFonts w:asciiTheme="minorHAnsi" w:hAnsiTheme="minorHAnsi" w:cstheme="minorHAnsi"/>
          <w:sz w:val="18"/>
          <w:szCs w:val="18"/>
        </w:rPr>
        <w:t>S</w:t>
      </w:r>
      <w:r>
        <w:rPr>
          <w:rFonts w:asciiTheme="minorHAnsi" w:hAnsiTheme="minorHAnsi" w:cstheme="minorHAnsi"/>
          <w:sz w:val="18"/>
          <w:szCs w:val="18"/>
        </w:rPr>
        <w:t xml:space="preserve">ection </w:t>
      </w:r>
      <w:r w:rsidR="00780D48">
        <w:rPr>
          <w:rFonts w:asciiTheme="minorHAnsi" w:hAnsiTheme="minorHAnsi" w:cstheme="minorHAnsi"/>
          <w:sz w:val="18"/>
          <w:szCs w:val="18"/>
        </w:rPr>
        <w:t>9</w:t>
      </w:r>
      <w:r w:rsidR="001B5061">
        <w:rPr>
          <w:rFonts w:asciiTheme="minorHAnsi" w:hAnsiTheme="minorHAnsi" w:cstheme="minorHAnsi"/>
          <w:sz w:val="18"/>
          <w:szCs w:val="18"/>
        </w:rPr>
        <w:t>.</w:t>
      </w:r>
      <w:r>
        <w:rPr>
          <w:rFonts w:asciiTheme="minorHAnsi" w:hAnsiTheme="minorHAnsi" w:cstheme="minorHAnsi"/>
          <w:sz w:val="18"/>
          <w:szCs w:val="18"/>
        </w:rPr>
        <w:t xml:space="preserve"> </w:t>
      </w:r>
    </w:p>
    <w:p w14:paraId="5A3C81E5" w14:textId="2816B4BB" w:rsidR="0070782E" w:rsidRPr="005118B4" w:rsidRDefault="00AB5552" w:rsidP="0070782E">
      <w:pPr>
        <w:pStyle w:val="ListParagraph"/>
        <w:numPr>
          <w:ilvl w:val="0"/>
          <w:numId w:val="20"/>
        </w:numPr>
        <w:spacing w:before="120"/>
        <w:ind w:left="360"/>
        <w:contextualSpacing w:val="0"/>
        <w:rPr>
          <w:rFonts w:asciiTheme="minorHAnsi" w:hAnsiTheme="minorHAnsi" w:cstheme="minorHAnsi"/>
          <w:sz w:val="18"/>
          <w:szCs w:val="18"/>
        </w:rPr>
      </w:pPr>
      <w:r w:rsidRPr="003E3110">
        <w:rPr>
          <w:rFonts w:asciiTheme="minorHAnsi" w:hAnsiTheme="minorHAnsi" w:cstheme="minorHAnsi"/>
          <w:noProof/>
          <w:szCs w:val="18"/>
        </w:rPr>
        <mc:AlternateContent>
          <mc:Choice Requires="wps">
            <w:drawing>
              <wp:anchor distT="45720" distB="45720" distL="114300" distR="114300" simplePos="0" relativeHeight="251659264" behindDoc="0" locked="0" layoutInCell="1" allowOverlap="1" wp14:anchorId="5B5A469C" wp14:editId="0366157D">
                <wp:simplePos x="0" y="0"/>
                <wp:positionH relativeFrom="margin">
                  <wp:align>left</wp:align>
                </wp:positionH>
                <wp:positionV relativeFrom="paragraph">
                  <wp:posOffset>525145</wp:posOffset>
                </wp:positionV>
                <wp:extent cx="6010275" cy="17411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41336"/>
                        </a:xfrm>
                        <a:prstGeom prst="rect">
                          <a:avLst/>
                        </a:prstGeom>
                        <a:solidFill>
                          <a:srgbClr val="FFFFFF"/>
                        </a:solidFill>
                        <a:ln w="9525">
                          <a:solidFill>
                            <a:srgbClr val="000000"/>
                          </a:solidFill>
                          <a:miter lim="800000"/>
                          <a:headEnd/>
                          <a:tailEnd/>
                        </a:ln>
                      </wps:spPr>
                      <wps:txbx>
                        <w:txbxContent>
                          <w:p w14:paraId="683B8707" w14:textId="5D1E2B30" w:rsidR="00DE4B66" w:rsidRDefault="00DE4B66" w:rsidP="00060EFA">
                            <w:pPr>
                              <w:jc w:val="center"/>
                            </w:pPr>
                            <w:r w:rsidRPr="00D41C29">
                              <w:t xml:space="preserve">Agencies need to consider the </w:t>
                            </w:r>
                            <w:r w:rsidRPr="00774EBF">
                              <w:t xml:space="preserve">application </w:t>
                            </w:r>
                            <w:r w:rsidRPr="001237D0">
                              <w:t xml:space="preserve">of </w:t>
                            </w:r>
                            <w:r>
                              <w:t xml:space="preserve">LJF </w:t>
                            </w:r>
                            <w:r w:rsidRPr="00C1407E">
                              <w:t>at the earliest practic</w:t>
                            </w:r>
                            <w:r w:rsidRPr="00CF4F4D">
                              <w:t>al stage of project init</w:t>
                            </w:r>
                            <w:r w:rsidRPr="00046733">
                              <w:t>ia</w:t>
                            </w:r>
                            <w:r w:rsidRPr="00F449A4">
                              <w:t>tion and development to prevent the risk of non-compliance</w:t>
                            </w:r>
                            <w:r w:rsidRPr="00A644FF">
                              <w:t xml:space="preserve"> with the Local Jobs First Policy.</w:t>
                            </w:r>
                            <w:r w:rsidRPr="00060EFA">
                              <w:t xml:space="preserve"> </w:t>
                            </w:r>
                          </w:p>
                          <w:p w14:paraId="3D8D8FF8" w14:textId="4F1E45D7" w:rsidR="00DE4B66" w:rsidRDefault="00DE4B66" w:rsidP="00060EFA">
                            <w:pPr>
                              <w:jc w:val="center"/>
                            </w:pPr>
                            <w:r w:rsidRPr="00B93B0D">
                              <w:t>LJF applies to all projects that meet the thresholds, regardless of the procurement strategy implemented by an agency.</w:t>
                            </w:r>
                          </w:p>
                          <w:p w14:paraId="60BAFAC7" w14:textId="510F3182" w:rsidR="00DE4B66" w:rsidRPr="00060EFA" w:rsidRDefault="00DE4B66" w:rsidP="00060EFA">
                            <w:pPr>
                              <w:jc w:val="center"/>
                            </w:pPr>
                            <w:r w:rsidRPr="008573E3">
                              <w:t>The value of the project refers to the total budget allocated over the life of the project and not the value of individual contracts, excluding GST. This ensures opportunities for industry development and workers are maximised under the Local Jobs First Policy.</w:t>
                            </w:r>
                          </w:p>
                          <w:p w14:paraId="4EB7FA4C" w14:textId="4EEB24C3" w:rsidR="00DE4B66" w:rsidRPr="00D41C29" w:rsidRDefault="00DE4B66" w:rsidP="00060EFA">
                            <w:pPr>
                              <w:jc w:val="center"/>
                            </w:pPr>
                            <w:r w:rsidRPr="00060EFA">
                              <w:t xml:space="preserve">Agencies should review the criteria for Local Jobs First applicability to determine whether it needs to be applied to a project. For any clarification, agencies should contact the </w:t>
                            </w:r>
                            <w:r>
                              <w:t>Department of Jobs, Precincts and Regions</w:t>
                            </w:r>
                            <w:r w:rsidRPr="00060EF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A469C" id="_x0000_t202" coordsize="21600,21600" o:spt="202" path="m,l,21600r21600,l21600,xe">
                <v:stroke joinstyle="miter"/>
                <v:path gradientshapeok="t" o:connecttype="rect"/>
              </v:shapetype>
              <v:shape id="_x0000_s1026" type="#_x0000_t202" style="position:absolute;left:0;text-align:left;margin-left:0;margin-top:41.35pt;width:473.25pt;height:13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">
                <v:textbox>
                  <w:txbxContent>
                    <w:p w14:paraId="683B8707" w14:textId="5D1E2B30" w:rsidR="00DE4B66" w:rsidRDefault="00DE4B66" w:rsidP="00060EFA">
                      <w:pPr>
                        <w:jc w:val="center"/>
                      </w:pPr>
                      <w:r w:rsidRPr="00D41C29">
                        <w:t xml:space="preserve">Agencies need to consider the </w:t>
                      </w:r>
                      <w:r w:rsidRPr="00774EBF">
                        <w:t xml:space="preserve">application </w:t>
                      </w:r>
                      <w:r w:rsidRPr="001237D0">
                        <w:t xml:space="preserve">of </w:t>
                      </w:r>
                      <w:r>
                        <w:t xml:space="preserve">LJF </w:t>
                      </w:r>
                      <w:r w:rsidRPr="00C1407E">
                        <w:t>at the earliest practic</w:t>
                      </w:r>
                      <w:r w:rsidRPr="00CF4F4D">
                        <w:t>al stage of project init</w:t>
                      </w:r>
                      <w:r w:rsidRPr="00046733">
                        <w:t>ia</w:t>
                      </w:r>
                      <w:r w:rsidRPr="00F449A4">
                        <w:t>tion and development to prevent the risk of non-compliance</w:t>
                      </w:r>
                      <w:r w:rsidRPr="00A644FF">
                        <w:t xml:space="preserve"> with the Local Jobs First Policy.</w:t>
                      </w:r>
                      <w:r w:rsidRPr="00060EFA">
                        <w:t xml:space="preserve"> </w:t>
                      </w:r>
                    </w:p>
                    <w:p w14:paraId="3D8D8FF8" w14:textId="4F1E45D7" w:rsidR="00DE4B66" w:rsidRDefault="00DE4B66" w:rsidP="00060EFA">
                      <w:pPr>
                        <w:jc w:val="center"/>
                      </w:pPr>
                      <w:r w:rsidRPr="00B93B0D">
                        <w:t>LJF applies to all projects that meet the thresholds, regardless of the procurement strategy implemented by an agency.</w:t>
                      </w:r>
                    </w:p>
                    <w:p w14:paraId="60BAFAC7" w14:textId="510F3182" w:rsidR="00DE4B66" w:rsidRPr="00060EFA" w:rsidRDefault="00DE4B66" w:rsidP="00060EFA">
                      <w:pPr>
                        <w:jc w:val="center"/>
                      </w:pPr>
                      <w:r w:rsidRPr="008573E3">
                        <w:t>The value of the project refers to the total budget allocated over the life of the project and not the value of individual contracts, excluding GST. This ensures opportunities for industry development and workers are maximised under the Local Jobs First Policy.</w:t>
                      </w:r>
                    </w:p>
                    <w:p w14:paraId="4EB7FA4C" w14:textId="4EEB24C3" w:rsidR="00DE4B66" w:rsidRPr="00D41C29" w:rsidRDefault="00DE4B66" w:rsidP="00060EFA">
                      <w:pPr>
                        <w:jc w:val="center"/>
                      </w:pPr>
                      <w:r w:rsidRPr="00060EFA">
                        <w:t xml:space="preserve">Agencies should review the criteria for Local Jobs First applicability to determine whether it needs to be applied to a project. For any clarification, agencies should contact the </w:t>
                      </w:r>
                      <w:r>
                        <w:t>Department of Jobs, Precincts and Regions</w:t>
                      </w:r>
                      <w:r w:rsidRPr="00060EFA">
                        <w:t xml:space="preserve">. </w:t>
                      </w:r>
                    </w:p>
                  </w:txbxContent>
                </v:textbox>
                <w10:wrap type="square" anchorx="margin"/>
              </v:shape>
            </w:pict>
          </mc:Fallback>
        </mc:AlternateContent>
      </w:r>
      <w:r w:rsidR="00F27BC3">
        <w:rPr>
          <w:rFonts w:asciiTheme="minorHAnsi" w:hAnsiTheme="minorHAnsi" w:cstheme="minorHAnsi"/>
          <w:sz w:val="18"/>
          <w:szCs w:val="18"/>
        </w:rPr>
        <w:t xml:space="preserve">If you answered no to </w:t>
      </w:r>
      <w:r w:rsidR="00124A17">
        <w:rPr>
          <w:rFonts w:asciiTheme="minorHAnsi" w:hAnsiTheme="minorHAnsi" w:cstheme="minorHAnsi"/>
          <w:sz w:val="18"/>
          <w:szCs w:val="18"/>
        </w:rPr>
        <w:t xml:space="preserve">all of </w:t>
      </w:r>
      <w:r w:rsidR="00F27BC3">
        <w:rPr>
          <w:rFonts w:asciiTheme="minorHAnsi" w:hAnsiTheme="minorHAnsi" w:cstheme="minorHAnsi"/>
          <w:sz w:val="18"/>
          <w:szCs w:val="18"/>
        </w:rPr>
        <w:t xml:space="preserve">the above, then your project </w:t>
      </w:r>
      <w:r w:rsidR="0091151B" w:rsidRPr="00A00B17">
        <w:rPr>
          <w:rFonts w:asciiTheme="minorHAnsi" w:hAnsiTheme="minorHAnsi" w:cstheme="minorHAnsi"/>
          <w:sz w:val="18"/>
          <w:szCs w:val="18"/>
        </w:rPr>
        <w:t xml:space="preserve">falls outside of </w:t>
      </w:r>
      <w:r w:rsidR="00F27BC3">
        <w:rPr>
          <w:rFonts w:asciiTheme="minorHAnsi" w:hAnsiTheme="minorHAnsi" w:cstheme="minorHAnsi"/>
          <w:sz w:val="18"/>
          <w:szCs w:val="18"/>
        </w:rPr>
        <w:t xml:space="preserve">the </w:t>
      </w:r>
      <w:r w:rsidR="0091151B" w:rsidRPr="00A00B17">
        <w:rPr>
          <w:rFonts w:asciiTheme="minorHAnsi" w:hAnsiTheme="minorHAnsi" w:cstheme="minorHAnsi"/>
          <w:sz w:val="18"/>
          <w:szCs w:val="18"/>
        </w:rPr>
        <w:t xml:space="preserve">Local Jobs First </w:t>
      </w:r>
      <w:r w:rsidR="00F27BC3">
        <w:rPr>
          <w:rFonts w:asciiTheme="minorHAnsi" w:hAnsiTheme="minorHAnsi" w:cstheme="minorHAnsi"/>
          <w:sz w:val="18"/>
          <w:szCs w:val="18"/>
        </w:rPr>
        <w:t xml:space="preserve">Policy </w:t>
      </w:r>
      <w:r w:rsidR="0091151B" w:rsidRPr="00A00B17">
        <w:rPr>
          <w:rFonts w:asciiTheme="minorHAnsi" w:hAnsiTheme="minorHAnsi" w:cstheme="minorHAnsi"/>
          <w:sz w:val="18"/>
          <w:szCs w:val="18"/>
        </w:rPr>
        <w:t xml:space="preserve">and no further action in relation to </w:t>
      </w:r>
      <w:r w:rsidR="00F27BC3">
        <w:rPr>
          <w:rFonts w:asciiTheme="minorHAnsi" w:hAnsiTheme="minorHAnsi" w:cstheme="minorHAnsi"/>
          <w:sz w:val="18"/>
          <w:szCs w:val="18"/>
        </w:rPr>
        <w:t xml:space="preserve">LJF </w:t>
      </w:r>
      <w:r w:rsidR="0091151B" w:rsidRPr="00A00B17">
        <w:rPr>
          <w:rFonts w:asciiTheme="minorHAnsi" w:hAnsiTheme="minorHAnsi" w:cstheme="minorHAnsi"/>
          <w:sz w:val="18"/>
          <w:szCs w:val="18"/>
        </w:rPr>
        <w:t>is required.</w:t>
      </w:r>
      <w:r w:rsidR="00F4688C">
        <w:rPr>
          <w:rFonts w:asciiTheme="minorHAnsi" w:hAnsiTheme="minorHAnsi" w:cstheme="minorHAnsi"/>
          <w:sz w:val="18"/>
          <w:szCs w:val="18"/>
        </w:rPr>
        <w:t xml:space="preserve"> </w:t>
      </w:r>
    </w:p>
    <w:p w14:paraId="45DB2D69" w14:textId="0A20317E" w:rsidR="0070782E" w:rsidRDefault="0070782E" w:rsidP="0070782E">
      <w:pPr>
        <w:rPr>
          <w:rFonts w:asciiTheme="minorHAnsi" w:hAnsiTheme="minorHAnsi" w:cstheme="minorHAnsi"/>
          <w:szCs w:val="18"/>
        </w:rPr>
      </w:pPr>
    </w:p>
    <w:p w14:paraId="10177429" w14:textId="6ED00403" w:rsidR="005118B4" w:rsidRDefault="005118B4" w:rsidP="0070782E">
      <w:pPr>
        <w:rPr>
          <w:rFonts w:asciiTheme="minorHAnsi" w:hAnsiTheme="minorHAnsi" w:cstheme="minorHAnsi"/>
          <w:szCs w:val="18"/>
        </w:rPr>
      </w:pPr>
    </w:p>
    <w:p w14:paraId="3D36CCFE" w14:textId="3194C527" w:rsidR="005118B4" w:rsidRDefault="005118B4" w:rsidP="0070782E">
      <w:pPr>
        <w:rPr>
          <w:rFonts w:asciiTheme="minorHAnsi" w:hAnsiTheme="minorHAnsi" w:cstheme="minorHAnsi"/>
          <w:szCs w:val="18"/>
        </w:rPr>
      </w:pPr>
    </w:p>
    <w:p w14:paraId="335C410F" w14:textId="77777777" w:rsidR="005118B4" w:rsidRPr="0070782E" w:rsidRDefault="005118B4" w:rsidP="0070782E">
      <w:pPr>
        <w:rPr>
          <w:rFonts w:asciiTheme="minorHAnsi" w:hAnsiTheme="minorHAnsi" w:cstheme="minorHAnsi"/>
          <w:szCs w:val="18"/>
        </w:rPr>
      </w:pPr>
    </w:p>
    <w:p w14:paraId="298A31FF" w14:textId="1BE34097" w:rsidR="00A0178F" w:rsidRPr="00A31F03" w:rsidRDefault="005A718C" w:rsidP="00A74E6C">
      <w:pPr>
        <w:pStyle w:val="Heading1"/>
        <w:spacing w:before="240" w:after="240" w:line="276" w:lineRule="auto"/>
        <w:ind w:left="431" w:hanging="431"/>
      </w:pPr>
      <w:bookmarkStart w:id="26" w:name="_Toc31116357"/>
      <w:bookmarkStart w:id="27" w:name="_Hlk524331904"/>
      <w:r w:rsidRPr="00A31F03">
        <w:lastRenderedPageBreak/>
        <w:t>Applying Local Jobs First to Standard Projects</w:t>
      </w:r>
      <w:bookmarkEnd w:id="26"/>
      <w:r w:rsidRPr="00A31F03">
        <w:t xml:space="preserve"> </w:t>
      </w:r>
    </w:p>
    <w:p w14:paraId="119D59DD" w14:textId="5D674D31" w:rsidR="00701534" w:rsidRPr="00865235" w:rsidRDefault="00701534" w:rsidP="00865235">
      <w:pPr>
        <w:rPr>
          <w:b/>
          <w:sz w:val="20"/>
        </w:rPr>
      </w:pPr>
      <w:bookmarkStart w:id="28" w:name="_Toc516042386"/>
      <w:bookmarkStart w:id="29" w:name="_Hlk30001739"/>
      <w:bookmarkStart w:id="30" w:name="_Hlk29553010"/>
      <w:bookmarkEnd w:id="27"/>
      <w:r w:rsidRPr="00865235">
        <w:rPr>
          <w:b/>
          <w:sz w:val="20"/>
        </w:rPr>
        <w:t xml:space="preserve">Step </w:t>
      </w:r>
      <w:r w:rsidR="00015FE1" w:rsidRPr="00865235">
        <w:rPr>
          <w:b/>
          <w:sz w:val="20"/>
        </w:rPr>
        <w:t>1</w:t>
      </w:r>
      <w:r w:rsidRPr="00865235">
        <w:rPr>
          <w:b/>
          <w:sz w:val="20"/>
        </w:rPr>
        <w:t xml:space="preserve"> – </w:t>
      </w:r>
      <w:r w:rsidR="00653F74" w:rsidRPr="00865235">
        <w:rPr>
          <w:b/>
          <w:sz w:val="20"/>
        </w:rPr>
        <w:t xml:space="preserve">Local Jobs First </w:t>
      </w:r>
      <w:r w:rsidR="00617565">
        <w:rPr>
          <w:b/>
          <w:sz w:val="20"/>
        </w:rPr>
        <w:t xml:space="preserve">Standard </w:t>
      </w:r>
      <w:r w:rsidRPr="00865235">
        <w:rPr>
          <w:b/>
          <w:sz w:val="20"/>
        </w:rPr>
        <w:t>Project Registration</w:t>
      </w:r>
      <w:bookmarkEnd w:id="28"/>
    </w:p>
    <w:p w14:paraId="5C8D2449" w14:textId="535C1DB2" w:rsidR="00701534" w:rsidRDefault="006F588D" w:rsidP="005118B4">
      <w:pPr>
        <w:numPr>
          <w:ilvl w:val="0"/>
          <w:numId w:val="8"/>
        </w:numPr>
        <w:spacing w:before="0"/>
        <w:ind w:left="360"/>
        <w:jc w:val="both"/>
        <w:rPr>
          <w:rFonts w:cs="Arial"/>
        </w:rPr>
      </w:pPr>
      <w:r>
        <w:rPr>
          <w:rFonts w:cs="Arial"/>
        </w:rPr>
        <w:t>Before</w:t>
      </w:r>
      <w:r w:rsidR="00701534" w:rsidRPr="0024377E">
        <w:rPr>
          <w:rFonts w:cs="Arial"/>
        </w:rPr>
        <w:t xml:space="preserve"> the release of the tender documents</w:t>
      </w:r>
      <w:r w:rsidR="00D93BBF">
        <w:rPr>
          <w:rFonts w:cs="Arial"/>
        </w:rPr>
        <w:t>, agencies need to</w:t>
      </w:r>
      <w:r w:rsidR="00701534" w:rsidRPr="0024377E">
        <w:rPr>
          <w:rFonts w:cs="Arial"/>
        </w:rPr>
        <w:t xml:space="preserve"> register the project including project specifications</w:t>
      </w:r>
      <w:r w:rsidR="0070782E">
        <w:rPr>
          <w:rFonts w:cs="Arial"/>
        </w:rPr>
        <w:t>, scope of works and cost breakdown</w:t>
      </w:r>
      <w:r w:rsidR="00701534" w:rsidRPr="0024377E">
        <w:rPr>
          <w:rFonts w:cs="Arial"/>
        </w:rPr>
        <w:t xml:space="preserve"> with the </w:t>
      </w:r>
      <w:bookmarkStart w:id="31" w:name="_Hlk27728204"/>
      <w:r w:rsidR="0024377E" w:rsidRPr="0024377E">
        <w:rPr>
          <w:rFonts w:cs="Arial"/>
        </w:rPr>
        <w:t>Victorian</w:t>
      </w:r>
      <w:r w:rsidR="00701534" w:rsidRPr="0024377E">
        <w:rPr>
          <w:rFonts w:cs="Arial"/>
        </w:rPr>
        <w:t xml:space="preserve"> </w:t>
      </w:r>
      <w:r w:rsidR="00015FE1">
        <w:rPr>
          <w:rFonts w:cs="Arial"/>
        </w:rPr>
        <w:t>L</w:t>
      </w:r>
      <w:r w:rsidR="001D0E01">
        <w:rPr>
          <w:rFonts w:cs="Arial"/>
        </w:rPr>
        <w:t xml:space="preserve">ocal </w:t>
      </w:r>
      <w:r w:rsidR="00015FE1">
        <w:rPr>
          <w:rFonts w:cs="Arial"/>
        </w:rPr>
        <w:t>J</w:t>
      </w:r>
      <w:r w:rsidR="001D0E01">
        <w:rPr>
          <w:rFonts w:cs="Arial"/>
        </w:rPr>
        <w:t xml:space="preserve">obs </w:t>
      </w:r>
      <w:r w:rsidR="00015FE1">
        <w:rPr>
          <w:rFonts w:cs="Arial"/>
        </w:rPr>
        <w:t>F</w:t>
      </w:r>
      <w:r w:rsidR="001D0E01">
        <w:rPr>
          <w:rFonts w:cs="Arial"/>
        </w:rPr>
        <w:t>irst</w:t>
      </w:r>
      <w:r w:rsidR="00015FE1">
        <w:rPr>
          <w:rFonts w:cs="Arial"/>
        </w:rPr>
        <w:t xml:space="preserve"> </w:t>
      </w:r>
      <w:r w:rsidR="00701534" w:rsidRPr="0024377E">
        <w:rPr>
          <w:rFonts w:cs="Arial"/>
        </w:rPr>
        <w:t xml:space="preserve">Management </w:t>
      </w:r>
      <w:r w:rsidR="00060EFA" w:rsidRPr="00060EFA">
        <w:rPr>
          <w:rFonts w:cs="Arial"/>
        </w:rPr>
        <w:t>Centre</w:t>
      </w:r>
      <w:r w:rsidR="001D0E01">
        <w:rPr>
          <w:rFonts w:cs="Arial"/>
        </w:rPr>
        <w:t xml:space="preserve"> (VMC)</w:t>
      </w:r>
      <w:r w:rsidR="00060EFA" w:rsidRPr="00060EFA">
        <w:rPr>
          <w:rFonts w:cs="Arial"/>
        </w:rPr>
        <w:t xml:space="preserve"> </w:t>
      </w:r>
      <w:bookmarkEnd w:id="31"/>
      <w:r w:rsidR="00060EFA" w:rsidRPr="00060EFA">
        <w:rPr>
          <w:rFonts w:cs="Arial"/>
        </w:rPr>
        <w:t>(at</w:t>
      </w:r>
      <w:r w:rsidR="002E63A2">
        <w:t xml:space="preserve"> </w:t>
      </w:r>
      <w:hyperlink r:id="rId16" w:history="1">
        <w:r w:rsidR="002E63A2" w:rsidRPr="002E63A2">
          <w:rPr>
            <w:rStyle w:val="Hyperlink"/>
          </w:rPr>
          <w:t>www.icnforce.com</w:t>
        </w:r>
      </w:hyperlink>
      <w:r w:rsidR="001D0E01">
        <w:t>)</w:t>
      </w:r>
      <w:r w:rsidR="00701534" w:rsidRPr="00060EFA">
        <w:rPr>
          <w:rFonts w:cs="Arial"/>
        </w:rPr>
        <w:t>.</w:t>
      </w:r>
      <w:r w:rsidR="00156D3E" w:rsidRPr="00060EFA">
        <w:rPr>
          <w:rFonts w:cs="Arial"/>
        </w:rPr>
        <w:t xml:space="preserve"> </w:t>
      </w:r>
      <w:r w:rsidR="0024377E" w:rsidRPr="00060EFA">
        <w:rPr>
          <w:rFonts w:cs="Arial"/>
        </w:rPr>
        <w:t>Project</w:t>
      </w:r>
      <w:r w:rsidR="0024377E" w:rsidRPr="0024377E">
        <w:rPr>
          <w:rFonts w:cs="Arial"/>
        </w:rPr>
        <w:t xml:space="preserve"> registration </w:t>
      </w:r>
      <w:r w:rsidR="00156D3E" w:rsidRPr="0024377E">
        <w:rPr>
          <w:rFonts w:cs="Arial"/>
        </w:rPr>
        <w:t xml:space="preserve">should </w:t>
      </w:r>
      <w:r w:rsidR="0024377E" w:rsidRPr="0024377E">
        <w:rPr>
          <w:rFonts w:cs="Arial"/>
        </w:rPr>
        <w:t xml:space="preserve">occur </w:t>
      </w:r>
      <w:r w:rsidR="00156D3E" w:rsidRPr="0024377E">
        <w:rPr>
          <w:rFonts w:cs="Arial"/>
        </w:rPr>
        <w:t xml:space="preserve">no less than </w:t>
      </w:r>
      <w:r w:rsidR="00FE61FB" w:rsidRPr="000E0A04">
        <w:rPr>
          <w:rFonts w:cs="Arial"/>
        </w:rPr>
        <w:t>30</w:t>
      </w:r>
      <w:r w:rsidR="00617565">
        <w:rPr>
          <w:rFonts w:cs="Arial"/>
        </w:rPr>
        <w:t xml:space="preserve"> </w:t>
      </w:r>
      <w:r w:rsidR="00156D3E" w:rsidRPr="0024377E">
        <w:rPr>
          <w:rFonts w:cs="Arial"/>
        </w:rPr>
        <w:t xml:space="preserve">days before the release of </w:t>
      </w:r>
      <w:r w:rsidR="00DB6D46">
        <w:rPr>
          <w:rFonts w:cs="Arial"/>
        </w:rPr>
        <w:t>documents</w:t>
      </w:r>
      <w:r w:rsidR="0024377E">
        <w:rPr>
          <w:rFonts w:cs="Arial"/>
        </w:rPr>
        <w:t xml:space="preserve"> to bidders</w:t>
      </w:r>
      <w:r w:rsidR="00156D3E" w:rsidRPr="0024377E">
        <w:rPr>
          <w:rFonts w:cs="Arial"/>
        </w:rPr>
        <w:t xml:space="preserve">. </w:t>
      </w:r>
      <w:r w:rsidR="002C4576" w:rsidRPr="002C4576">
        <w:rPr>
          <w:rFonts w:cs="Arial"/>
        </w:rPr>
        <w:t xml:space="preserve">If you do not have an account, you will be required to create one. If you require assistance, please contact the ICN Policy Implementation Team on </w:t>
      </w:r>
      <w:r w:rsidR="00A31F03">
        <w:rPr>
          <w:rFonts w:cs="Arial"/>
        </w:rPr>
        <w:t>(</w:t>
      </w:r>
      <w:r w:rsidR="002C4576" w:rsidRPr="002C4576">
        <w:rPr>
          <w:rFonts w:cs="Arial"/>
        </w:rPr>
        <w:t>03</w:t>
      </w:r>
      <w:r w:rsidR="00A31F03">
        <w:rPr>
          <w:rFonts w:cs="Arial"/>
        </w:rPr>
        <w:t>)</w:t>
      </w:r>
      <w:r w:rsidR="002C4576" w:rsidRPr="002C4576">
        <w:rPr>
          <w:rFonts w:cs="Arial"/>
        </w:rPr>
        <w:t xml:space="preserve"> 9864 6700.</w:t>
      </w:r>
    </w:p>
    <w:p w14:paraId="189739FB" w14:textId="55D04211" w:rsidR="001D0553" w:rsidRPr="00A74E6C" w:rsidRDefault="001D0553" w:rsidP="005118B4">
      <w:pPr>
        <w:numPr>
          <w:ilvl w:val="0"/>
          <w:numId w:val="8"/>
        </w:numPr>
        <w:spacing w:before="0"/>
        <w:ind w:left="360"/>
        <w:jc w:val="both"/>
        <w:rPr>
          <w:rFonts w:cs="Arial"/>
        </w:rPr>
      </w:pPr>
      <w:r w:rsidRPr="001D0553">
        <w:rPr>
          <w:rFonts w:cs="Arial"/>
        </w:rPr>
        <w:t xml:space="preserve">To register the project, </w:t>
      </w:r>
      <w:r>
        <w:rPr>
          <w:rFonts w:cs="Arial"/>
        </w:rPr>
        <w:t xml:space="preserve">agencies are required </w:t>
      </w:r>
      <w:r w:rsidR="009A7729">
        <w:rPr>
          <w:rFonts w:cs="Arial"/>
        </w:rPr>
        <w:t xml:space="preserve">to </w:t>
      </w:r>
      <w:r w:rsidRPr="001D0553">
        <w:rPr>
          <w:rFonts w:cs="Arial"/>
        </w:rPr>
        <w:t>provide the specifications, scope of works, project phasing information</w:t>
      </w:r>
      <w:r>
        <w:rPr>
          <w:rFonts w:cs="Arial"/>
        </w:rPr>
        <w:t xml:space="preserve"> </w:t>
      </w:r>
      <w:r w:rsidRPr="001D0553">
        <w:rPr>
          <w:rFonts w:cs="Arial"/>
        </w:rPr>
        <w:t xml:space="preserve">to </w:t>
      </w:r>
      <w:r>
        <w:rPr>
          <w:rFonts w:cs="Arial"/>
        </w:rPr>
        <w:t xml:space="preserve">the </w:t>
      </w:r>
      <w:r w:rsidRPr="001D0553">
        <w:rPr>
          <w:rFonts w:cs="Arial"/>
        </w:rPr>
        <w:t xml:space="preserve">ICN. </w:t>
      </w:r>
      <w:r w:rsidR="00A74E6C">
        <w:rPr>
          <w:rFonts w:cs="Arial"/>
        </w:rPr>
        <w:t>P</w:t>
      </w:r>
      <w:r w:rsidRPr="00A74E6C">
        <w:rPr>
          <w:rFonts w:cs="Arial"/>
        </w:rPr>
        <w:t xml:space="preserve">lease specify: </w:t>
      </w:r>
    </w:p>
    <w:p w14:paraId="7C981A30" w14:textId="77777777" w:rsidR="001D0553" w:rsidRPr="00EF1B92" w:rsidRDefault="001D0553" w:rsidP="005118B4">
      <w:pPr>
        <w:pStyle w:val="ListParagraph"/>
        <w:numPr>
          <w:ilvl w:val="0"/>
          <w:numId w:val="6"/>
        </w:numPr>
        <w:ind w:left="1080"/>
        <w:jc w:val="both"/>
        <w:rPr>
          <w:rFonts w:asciiTheme="minorHAnsi" w:hAnsiTheme="minorHAnsi" w:cstheme="minorHAnsi"/>
          <w:sz w:val="18"/>
          <w:szCs w:val="18"/>
        </w:rPr>
      </w:pPr>
      <w:r w:rsidRPr="00EF1B92">
        <w:rPr>
          <w:rFonts w:asciiTheme="minorHAnsi" w:hAnsiTheme="minorHAnsi" w:cstheme="minorHAnsi"/>
          <w:sz w:val="18"/>
          <w:szCs w:val="18"/>
        </w:rPr>
        <w:t>if the project is part of a larger one, e.g. a quantity surveyor project which is part of a strategic design and construction project, and provide details of the overall project</w:t>
      </w:r>
    </w:p>
    <w:p w14:paraId="723192A1" w14:textId="00BA1372" w:rsidR="001D0553" w:rsidRPr="00EF1B92" w:rsidRDefault="001D0553" w:rsidP="005118B4">
      <w:pPr>
        <w:pStyle w:val="ListParagraph"/>
        <w:numPr>
          <w:ilvl w:val="0"/>
          <w:numId w:val="6"/>
        </w:numPr>
        <w:ind w:left="1080"/>
        <w:jc w:val="both"/>
        <w:rPr>
          <w:rFonts w:asciiTheme="minorHAnsi" w:hAnsiTheme="minorHAnsi" w:cstheme="minorHAnsi"/>
          <w:sz w:val="18"/>
          <w:szCs w:val="18"/>
        </w:rPr>
      </w:pPr>
      <w:r w:rsidRPr="00EF1B92">
        <w:rPr>
          <w:rFonts w:asciiTheme="minorHAnsi" w:hAnsiTheme="minorHAnsi" w:cstheme="minorHAnsi"/>
          <w:sz w:val="18"/>
          <w:szCs w:val="18"/>
        </w:rPr>
        <w:t xml:space="preserve">if the project is a panel contract by selecting the </w:t>
      </w:r>
      <w:r w:rsidR="009A7729" w:rsidRPr="00EF1B92">
        <w:rPr>
          <w:rFonts w:asciiTheme="minorHAnsi" w:hAnsiTheme="minorHAnsi" w:cstheme="minorHAnsi"/>
          <w:sz w:val="18"/>
          <w:szCs w:val="18"/>
        </w:rPr>
        <w:t>p</w:t>
      </w:r>
      <w:r w:rsidRPr="00EF1B92">
        <w:rPr>
          <w:rFonts w:asciiTheme="minorHAnsi" w:hAnsiTheme="minorHAnsi" w:cstheme="minorHAnsi"/>
          <w:sz w:val="18"/>
          <w:szCs w:val="18"/>
        </w:rPr>
        <w:t>anel box</w:t>
      </w:r>
    </w:p>
    <w:p w14:paraId="72D3199B" w14:textId="77777777" w:rsidR="001D0553" w:rsidRPr="00EF1B92" w:rsidRDefault="001D0553" w:rsidP="005118B4">
      <w:pPr>
        <w:pStyle w:val="ListParagraph"/>
        <w:numPr>
          <w:ilvl w:val="0"/>
          <w:numId w:val="6"/>
        </w:numPr>
        <w:ind w:left="1080"/>
        <w:jc w:val="both"/>
        <w:rPr>
          <w:rFonts w:asciiTheme="minorHAnsi" w:hAnsiTheme="minorHAnsi" w:cstheme="minorHAnsi"/>
          <w:sz w:val="18"/>
          <w:szCs w:val="18"/>
        </w:rPr>
      </w:pPr>
      <w:r w:rsidRPr="00EF1B92">
        <w:rPr>
          <w:rFonts w:asciiTheme="minorHAnsi" w:hAnsiTheme="minorHAnsi" w:cstheme="minorHAnsi"/>
          <w:sz w:val="18"/>
          <w:szCs w:val="18"/>
        </w:rPr>
        <w:t>the project type and category</w:t>
      </w:r>
    </w:p>
    <w:p w14:paraId="278A3789" w14:textId="77777777" w:rsidR="001D0553" w:rsidRPr="00EF1B92" w:rsidRDefault="001D0553" w:rsidP="005118B4">
      <w:pPr>
        <w:pStyle w:val="ListParagraph"/>
        <w:numPr>
          <w:ilvl w:val="0"/>
          <w:numId w:val="6"/>
        </w:numPr>
        <w:ind w:left="1080"/>
        <w:jc w:val="both"/>
        <w:rPr>
          <w:rFonts w:asciiTheme="minorHAnsi" w:hAnsiTheme="minorHAnsi" w:cstheme="minorHAnsi"/>
          <w:sz w:val="18"/>
          <w:szCs w:val="18"/>
        </w:rPr>
      </w:pPr>
      <w:r w:rsidRPr="00EF1B92">
        <w:rPr>
          <w:rFonts w:asciiTheme="minorHAnsi" w:hAnsiTheme="minorHAnsi" w:cstheme="minorHAnsi"/>
          <w:sz w:val="18"/>
          <w:szCs w:val="18"/>
        </w:rPr>
        <w:t>ensure all fields are completed before submitting the tender.</w:t>
      </w:r>
    </w:p>
    <w:p w14:paraId="39AF4C97" w14:textId="32594983" w:rsidR="00701534" w:rsidRPr="00865235" w:rsidRDefault="005923A4" w:rsidP="00865235">
      <w:pPr>
        <w:rPr>
          <w:b/>
          <w:sz w:val="20"/>
        </w:rPr>
      </w:pPr>
      <w:bookmarkStart w:id="32" w:name="_Toc516042387"/>
      <w:bookmarkEnd w:id="29"/>
      <w:r>
        <w:rPr>
          <w:b/>
          <w:sz w:val="20"/>
        </w:rPr>
        <w:t xml:space="preserve">Step </w:t>
      </w:r>
      <w:r w:rsidR="004B3D2E">
        <w:rPr>
          <w:b/>
          <w:sz w:val="20"/>
        </w:rPr>
        <w:t>2</w:t>
      </w:r>
      <w:r w:rsidR="005118B4">
        <w:rPr>
          <w:b/>
          <w:sz w:val="20"/>
        </w:rPr>
        <w:t xml:space="preserve"> -</w:t>
      </w:r>
      <w:r>
        <w:rPr>
          <w:b/>
          <w:sz w:val="20"/>
        </w:rPr>
        <w:t xml:space="preserve"> </w:t>
      </w:r>
      <w:bookmarkEnd w:id="32"/>
      <w:r w:rsidR="002138FB">
        <w:rPr>
          <w:b/>
          <w:sz w:val="20"/>
        </w:rPr>
        <w:t>Contestability assessment</w:t>
      </w:r>
      <w:r w:rsidR="000D029C" w:rsidRPr="00865235">
        <w:rPr>
          <w:b/>
          <w:sz w:val="20"/>
        </w:rPr>
        <w:t>– Standard Projects only</w:t>
      </w:r>
    </w:p>
    <w:p w14:paraId="27DF52B1" w14:textId="7F1F57E1" w:rsidR="00862F8F" w:rsidRPr="0002578D" w:rsidRDefault="005923A4" w:rsidP="005118B4">
      <w:pPr>
        <w:numPr>
          <w:ilvl w:val="0"/>
          <w:numId w:val="8"/>
        </w:numPr>
        <w:spacing w:before="0"/>
        <w:ind w:left="360"/>
        <w:jc w:val="both"/>
        <w:rPr>
          <w:rFonts w:cs="Arial"/>
          <w:lang w:val="en-US"/>
        </w:rPr>
      </w:pPr>
      <w:bookmarkStart w:id="33" w:name="_Hlk522892255"/>
      <w:r>
        <w:rPr>
          <w:rFonts w:cs="Arial"/>
          <w:lang w:val="en-US"/>
        </w:rPr>
        <w:t xml:space="preserve">After you have registered the project </w:t>
      </w:r>
      <w:r w:rsidR="00DC5F15">
        <w:rPr>
          <w:rFonts w:cs="Arial"/>
          <w:lang w:val="en-US"/>
        </w:rPr>
        <w:t xml:space="preserve">on </w:t>
      </w:r>
      <w:r>
        <w:rPr>
          <w:rFonts w:cs="Arial"/>
          <w:lang w:val="en-US"/>
        </w:rPr>
        <w:t>the VMC</w:t>
      </w:r>
      <w:r w:rsidR="00DC5F15">
        <w:rPr>
          <w:rFonts w:cs="Arial"/>
          <w:lang w:val="en-US"/>
        </w:rPr>
        <w:t>,</w:t>
      </w:r>
      <w:r w:rsidR="00A74E6C">
        <w:rPr>
          <w:rFonts w:cs="Arial"/>
          <w:lang w:val="en-US"/>
        </w:rPr>
        <w:t xml:space="preserve"> t</w:t>
      </w:r>
      <w:r w:rsidR="00653F74" w:rsidRPr="0002578D">
        <w:rPr>
          <w:rFonts w:cs="Arial"/>
          <w:lang w:val="en-US"/>
        </w:rPr>
        <w:t>he</w:t>
      </w:r>
      <w:r w:rsidR="00150700" w:rsidRPr="0002578D">
        <w:rPr>
          <w:rFonts w:cs="Arial"/>
          <w:lang w:val="en-US"/>
        </w:rPr>
        <w:t xml:space="preserve"> </w:t>
      </w:r>
      <w:r w:rsidR="00701534" w:rsidRPr="0002578D">
        <w:rPr>
          <w:rFonts w:cs="Arial"/>
          <w:lang w:val="en-US"/>
        </w:rPr>
        <w:t xml:space="preserve">ICN will review the project specifications and </w:t>
      </w:r>
      <w:r w:rsidR="00156D3E" w:rsidRPr="0002578D">
        <w:rPr>
          <w:rFonts w:cs="Arial"/>
          <w:lang w:val="en-US"/>
        </w:rPr>
        <w:t xml:space="preserve">assess </w:t>
      </w:r>
      <w:r w:rsidR="001966FB">
        <w:rPr>
          <w:rFonts w:cs="Arial"/>
          <w:lang w:val="en-US"/>
        </w:rPr>
        <w:t xml:space="preserve">contestable and non-contestable items </w:t>
      </w:r>
      <w:r w:rsidR="00701534" w:rsidRPr="0002578D">
        <w:rPr>
          <w:rFonts w:cs="Arial"/>
          <w:lang w:val="en-US"/>
        </w:rPr>
        <w:t>and capable local suppliers.</w:t>
      </w:r>
      <w:r w:rsidR="007C5F47" w:rsidRPr="0002578D">
        <w:rPr>
          <w:rFonts w:cs="Arial"/>
          <w:lang w:val="en-US"/>
        </w:rPr>
        <w:t xml:space="preserve"> A contestable item is something that can be </w:t>
      </w:r>
      <w:r w:rsidR="009C2F36" w:rsidRPr="0002578D">
        <w:rPr>
          <w:rFonts w:cs="Arial"/>
          <w:lang w:val="en-US"/>
        </w:rPr>
        <w:t>manufactured</w:t>
      </w:r>
      <w:r w:rsidR="007C5F47" w:rsidRPr="0002578D">
        <w:rPr>
          <w:rFonts w:cs="Arial"/>
          <w:lang w:val="en-US"/>
        </w:rPr>
        <w:t xml:space="preserve"> or provid</w:t>
      </w:r>
      <w:r w:rsidR="009C2F36" w:rsidRPr="0002578D">
        <w:rPr>
          <w:rFonts w:cs="Arial"/>
          <w:lang w:val="en-US"/>
        </w:rPr>
        <w:t>ed</w:t>
      </w:r>
      <w:r w:rsidR="00927715" w:rsidRPr="0002578D">
        <w:rPr>
          <w:rFonts w:cs="Arial"/>
          <w:lang w:val="en-US"/>
        </w:rPr>
        <w:t xml:space="preserve"> competitively</w:t>
      </w:r>
      <w:r w:rsidR="009C2F36" w:rsidRPr="0002578D">
        <w:rPr>
          <w:rFonts w:cs="Arial"/>
          <w:lang w:val="en-US"/>
        </w:rPr>
        <w:t xml:space="preserve"> both locally and </w:t>
      </w:r>
      <w:r w:rsidR="00975634" w:rsidRPr="0002578D">
        <w:rPr>
          <w:rFonts w:cs="Arial"/>
          <w:lang w:val="en-US"/>
        </w:rPr>
        <w:t>internationally.</w:t>
      </w:r>
      <w:r w:rsidR="00701534" w:rsidRPr="0002578D">
        <w:rPr>
          <w:rFonts w:cs="Arial"/>
          <w:lang w:val="en-US"/>
        </w:rPr>
        <w:t xml:space="preserve"> </w:t>
      </w:r>
      <w:r w:rsidR="00862F8F" w:rsidRPr="0002578D">
        <w:rPr>
          <w:rFonts w:cs="Arial"/>
          <w:lang w:val="en-US"/>
        </w:rPr>
        <w:t>Non-contestable goods and services are those that are</w:t>
      </w:r>
      <w:r w:rsidR="001966FB">
        <w:rPr>
          <w:rFonts w:cs="Arial"/>
          <w:lang w:val="en-US"/>
        </w:rPr>
        <w:t xml:space="preserve"> e</w:t>
      </w:r>
      <w:r w:rsidR="00042034">
        <w:rPr>
          <w:rFonts w:cs="Arial"/>
          <w:lang w:val="en-US"/>
        </w:rPr>
        <w:t>ither</w:t>
      </w:r>
      <w:r w:rsidR="00862F8F" w:rsidRPr="0002578D">
        <w:rPr>
          <w:rFonts w:cs="Arial"/>
          <w:lang w:val="en-US"/>
        </w:rPr>
        <w:t xml:space="preserve"> local</w:t>
      </w:r>
      <w:r w:rsidR="00042034">
        <w:rPr>
          <w:rFonts w:cs="Arial"/>
          <w:lang w:val="en-US"/>
        </w:rPr>
        <w:t xml:space="preserve"> or international</w:t>
      </w:r>
      <w:r w:rsidR="00862F8F" w:rsidRPr="0002578D">
        <w:rPr>
          <w:rFonts w:cs="Arial"/>
          <w:lang w:val="en-US"/>
        </w:rPr>
        <w:t xml:space="preserve"> by nature, or those goods and services that can only be sourced internationally.</w:t>
      </w:r>
    </w:p>
    <w:p w14:paraId="506FA3FC" w14:textId="53477B61" w:rsidR="00E141B6" w:rsidRPr="00E141B6" w:rsidRDefault="00862F8F" w:rsidP="005118B4">
      <w:pPr>
        <w:numPr>
          <w:ilvl w:val="0"/>
          <w:numId w:val="8"/>
        </w:numPr>
        <w:spacing w:before="0"/>
        <w:ind w:left="360"/>
        <w:jc w:val="both"/>
        <w:rPr>
          <w:rFonts w:cs="Arial"/>
          <w:b/>
          <w:lang w:val="en-US"/>
        </w:rPr>
      </w:pPr>
      <w:r w:rsidRPr="00117FBA">
        <w:rPr>
          <w:rFonts w:cs="Arial"/>
          <w:lang w:val="en-US"/>
        </w:rPr>
        <w:t>T</w:t>
      </w:r>
      <w:r w:rsidR="00701534" w:rsidRPr="00117FBA">
        <w:rPr>
          <w:rFonts w:cs="Arial"/>
          <w:lang w:val="en-US"/>
        </w:rPr>
        <w:t xml:space="preserve">he ICN will </w:t>
      </w:r>
      <w:r w:rsidR="00156D3E" w:rsidRPr="00117FBA">
        <w:rPr>
          <w:rFonts w:cs="Arial"/>
          <w:lang w:val="en-US"/>
        </w:rPr>
        <w:t>i</w:t>
      </w:r>
      <w:r w:rsidR="00701534" w:rsidRPr="00117FBA">
        <w:rPr>
          <w:rFonts w:cs="Arial"/>
          <w:lang w:val="en-US"/>
        </w:rPr>
        <w:t xml:space="preserve">ssue the agency with a </w:t>
      </w:r>
      <w:r w:rsidR="003910DD" w:rsidRPr="00117FBA">
        <w:rPr>
          <w:rFonts w:cs="Arial"/>
          <w:lang w:val="en-US"/>
        </w:rPr>
        <w:t>c</w:t>
      </w:r>
      <w:r w:rsidR="002138FB" w:rsidRPr="00117FBA">
        <w:rPr>
          <w:rFonts w:cs="Arial"/>
          <w:lang w:val="en-US"/>
        </w:rPr>
        <w:t xml:space="preserve">ontestability assessment </w:t>
      </w:r>
      <w:r w:rsidR="004B3D2E" w:rsidRPr="00117FBA">
        <w:rPr>
          <w:rFonts w:cs="Arial"/>
          <w:lang w:val="en-US"/>
        </w:rPr>
        <w:t>letter</w:t>
      </w:r>
      <w:r w:rsidR="00701534" w:rsidRPr="00117FBA">
        <w:rPr>
          <w:rFonts w:cs="Arial"/>
          <w:lang w:val="en-US"/>
        </w:rPr>
        <w:t xml:space="preserve"> with a list of contestable </w:t>
      </w:r>
      <w:r w:rsidRPr="00117FBA">
        <w:rPr>
          <w:rFonts w:cs="Arial"/>
          <w:lang w:val="en-US"/>
        </w:rPr>
        <w:t xml:space="preserve">and non-contestable </w:t>
      </w:r>
      <w:r w:rsidR="00701534" w:rsidRPr="00117FBA">
        <w:rPr>
          <w:rFonts w:cs="Arial"/>
          <w:lang w:val="en-US"/>
        </w:rPr>
        <w:t>items</w:t>
      </w:r>
      <w:r w:rsidR="00156D3E" w:rsidRPr="00117FBA">
        <w:rPr>
          <w:rFonts w:cs="Arial"/>
          <w:lang w:val="en-US"/>
        </w:rPr>
        <w:t>.</w:t>
      </w:r>
      <w:r w:rsidR="003910DD" w:rsidRPr="00117FBA">
        <w:rPr>
          <w:rFonts w:cs="Arial"/>
          <w:lang w:val="en-US"/>
        </w:rPr>
        <w:t xml:space="preserve"> </w:t>
      </w:r>
      <w:r w:rsidR="00053FCD">
        <w:rPr>
          <w:rFonts w:cs="Arial"/>
          <w:lang w:val="en-US"/>
        </w:rPr>
        <w:t xml:space="preserve"> </w:t>
      </w:r>
    </w:p>
    <w:p w14:paraId="1C3B1185" w14:textId="0EFE64D9" w:rsidR="00F87133" w:rsidRPr="00EC041B" w:rsidRDefault="003910DD" w:rsidP="005118B4">
      <w:pPr>
        <w:numPr>
          <w:ilvl w:val="0"/>
          <w:numId w:val="8"/>
        </w:numPr>
        <w:spacing w:before="0"/>
        <w:ind w:left="360"/>
        <w:jc w:val="both"/>
        <w:rPr>
          <w:rFonts w:cs="Arial"/>
          <w:b/>
          <w:lang w:val="en-US"/>
        </w:rPr>
      </w:pPr>
      <w:r w:rsidRPr="00117FBA">
        <w:rPr>
          <w:rFonts w:cs="Arial"/>
          <w:lang w:val="en-US"/>
        </w:rPr>
        <w:t xml:space="preserve">The agency must review the list of contestable and non-contestable items before they are </w:t>
      </w:r>
      <w:r w:rsidR="00617565" w:rsidRPr="00117FBA">
        <w:rPr>
          <w:rFonts w:cs="Arial"/>
          <w:lang w:val="en-US"/>
        </w:rPr>
        <w:t xml:space="preserve">included in the Local Industry Development Plan </w:t>
      </w:r>
      <w:r w:rsidR="00CE478E">
        <w:rPr>
          <w:rFonts w:cs="Arial"/>
          <w:lang w:val="en-US"/>
        </w:rPr>
        <w:t xml:space="preserve">(LIDP) </w:t>
      </w:r>
      <w:r w:rsidR="00617565" w:rsidRPr="00117FBA">
        <w:rPr>
          <w:rFonts w:cs="Arial"/>
          <w:lang w:val="en-US"/>
        </w:rPr>
        <w:t xml:space="preserve">for </w:t>
      </w:r>
      <w:r w:rsidR="005644AD" w:rsidRPr="00117FBA">
        <w:rPr>
          <w:rFonts w:cs="Arial"/>
          <w:lang w:val="en-US"/>
        </w:rPr>
        <w:t>bidders.</w:t>
      </w:r>
      <w:r w:rsidR="00380191" w:rsidRPr="00117FBA">
        <w:rPr>
          <w:rFonts w:cs="Arial"/>
          <w:lang w:val="en-US"/>
        </w:rPr>
        <w:t xml:space="preserve"> A copy of this letter will be available to the Department of Jobs, Precincts and Regions (DJPR</w:t>
      </w:r>
      <w:r w:rsidR="00380191" w:rsidRPr="00EC041B">
        <w:rPr>
          <w:rFonts w:cs="Arial"/>
          <w:b/>
          <w:lang w:val="en-US"/>
        </w:rPr>
        <w:t>).</w:t>
      </w:r>
      <w:r w:rsidR="00117FBA" w:rsidRPr="00EC041B">
        <w:rPr>
          <w:rFonts w:cs="Arial"/>
          <w:b/>
          <w:lang w:val="en-US"/>
        </w:rPr>
        <w:t xml:space="preserve"> If the ICN determine a project has limited or nil contestability, then Local Jobs First still applies. </w:t>
      </w:r>
    </w:p>
    <w:p w14:paraId="47933CF9" w14:textId="7383E51A" w:rsidR="00F87133" w:rsidRPr="0002578D" w:rsidRDefault="00F87133" w:rsidP="005118B4">
      <w:pPr>
        <w:numPr>
          <w:ilvl w:val="0"/>
          <w:numId w:val="8"/>
        </w:numPr>
        <w:spacing w:before="0"/>
        <w:ind w:left="360"/>
        <w:jc w:val="both"/>
        <w:rPr>
          <w:rFonts w:asciiTheme="minorHAnsi" w:hAnsiTheme="minorHAnsi" w:cstheme="minorHAnsi"/>
          <w:szCs w:val="18"/>
          <w:lang w:val="en-US"/>
        </w:rPr>
      </w:pPr>
      <w:r>
        <w:rPr>
          <w:rFonts w:cs="Arial"/>
          <w:lang w:val="en-US"/>
        </w:rPr>
        <w:t xml:space="preserve">The </w:t>
      </w:r>
      <w:r w:rsidR="00CA223D">
        <w:rPr>
          <w:rFonts w:cs="Arial"/>
          <w:lang w:val="en-US"/>
        </w:rPr>
        <w:t>c</w:t>
      </w:r>
      <w:r w:rsidR="002138FB">
        <w:rPr>
          <w:rFonts w:cs="Arial"/>
          <w:lang w:val="en-US"/>
        </w:rPr>
        <w:t xml:space="preserve">ontestability assessment </w:t>
      </w:r>
      <w:r w:rsidR="004B3D2E">
        <w:rPr>
          <w:rFonts w:cs="Arial"/>
          <w:lang w:val="en-US"/>
        </w:rPr>
        <w:t>determines</w:t>
      </w:r>
      <w:r>
        <w:rPr>
          <w:rFonts w:cs="Arial"/>
          <w:lang w:val="en-US"/>
        </w:rPr>
        <w:t xml:space="preserve"> the type of </w:t>
      </w:r>
      <w:r w:rsidR="009A7729">
        <w:rPr>
          <w:rFonts w:cs="Arial"/>
          <w:lang w:val="en-US"/>
        </w:rPr>
        <w:t>LIDP</w:t>
      </w:r>
      <w:r>
        <w:rPr>
          <w:rFonts w:cs="Arial"/>
          <w:lang w:val="en-US"/>
        </w:rPr>
        <w:t xml:space="preserve"> that is required to be prepared by the bidder. </w:t>
      </w:r>
      <w:r w:rsidR="00CD5E4B">
        <w:rPr>
          <w:rFonts w:cs="Arial"/>
          <w:lang w:val="en-US"/>
        </w:rPr>
        <w:t xml:space="preserve">There are different types of LIDPs that reflect the size and complexity </w:t>
      </w:r>
      <w:r w:rsidR="00CD5E4B" w:rsidRPr="0002578D">
        <w:rPr>
          <w:rFonts w:asciiTheme="minorHAnsi" w:hAnsiTheme="minorHAnsi" w:cstheme="minorHAnsi"/>
          <w:szCs w:val="18"/>
          <w:lang w:val="en-US"/>
        </w:rPr>
        <w:t>of the project to ensure only the re</w:t>
      </w:r>
      <w:r w:rsidR="00115A8A">
        <w:rPr>
          <w:rFonts w:asciiTheme="minorHAnsi" w:hAnsiTheme="minorHAnsi" w:cstheme="minorHAnsi"/>
          <w:szCs w:val="18"/>
          <w:lang w:val="en-US"/>
        </w:rPr>
        <w:t>levan</w:t>
      </w:r>
      <w:r w:rsidR="00CD5E4B" w:rsidRPr="0002578D">
        <w:rPr>
          <w:rFonts w:asciiTheme="minorHAnsi" w:hAnsiTheme="minorHAnsi" w:cstheme="minorHAnsi"/>
          <w:szCs w:val="18"/>
          <w:lang w:val="en-US"/>
        </w:rPr>
        <w:t xml:space="preserve">t information is captured by a bidder. </w:t>
      </w:r>
      <w:r w:rsidR="000314CF">
        <w:rPr>
          <w:rFonts w:asciiTheme="minorHAnsi" w:hAnsiTheme="minorHAnsi" w:cstheme="minorHAnsi"/>
          <w:szCs w:val="18"/>
          <w:lang w:val="en-US"/>
        </w:rPr>
        <w:t>For Standard projects, t</w:t>
      </w:r>
      <w:r w:rsidR="00CD5E4B" w:rsidRPr="0002578D">
        <w:rPr>
          <w:rFonts w:asciiTheme="minorHAnsi" w:hAnsiTheme="minorHAnsi" w:cstheme="minorHAnsi"/>
          <w:szCs w:val="18"/>
          <w:lang w:val="en-US"/>
        </w:rPr>
        <w:t>hese include</w:t>
      </w:r>
      <w:r w:rsidR="009A7729">
        <w:rPr>
          <w:rFonts w:asciiTheme="minorHAnsi" w:hAnsiTheme="minorHAnsi" w:cstheme="minorHAnsi"/>
          <w:szCs w:val="18"/>
          <w:lang w:val="en-US"/>
        </w:rPr>
        <w:t>:</w:t>
      </w:r>
      <w:r w:rsidR="00CD5E4B" w:rsidRPr="0002578D">
        <w:rPr>
          <w:rFonts w:asciiTheme="minorHAnsi" w:hAnsiTheme="minorHAnsi" w:cstheme="minorHAnsi"/>
          <w:szCs w:val="18"/>
          <w:lang w:val="en-US"/>
        </w:rPr>
        <w:t xml:space="preserve"> </w:t>
      </w:r>
    </w:p>
    <w:p w14:paraId="08A86EF5" w14:textId="514516F5" w:rsidR="00490945" w:rsidRPr="00FB7FF2" w:rsidRDefault="00490945" w:rsidP="005118B4">
      <w:pPr>
        <w:pStyle w:val="ListParagraph"/>
        <w:numPr>
          <w:ilvl w:val="0"/>
          <w:numId w:val="6"/>
        </w:numPr>
        <w:ind w:left="1080"/>
        <w:jc w:val="both"/>
        <w:rPr>
          <w:rFonts w:asciiTheme="minorHAnsi" w:hAnsiTheme="minorHAnsi" w:cstheme="minorHAnsi"/>
          <w:sz w:val="18"/>
          <w:szCs w:val="18"/>
        </w:rPr>
      </w:pPr>
      <w:r w:rsidRPr="00FB7FF2">
        <w:rPr>
          <w:rFonts w:asciiTheme="minorHAnsi" w:hAnsiTheme="minorHAnsi" w:cstheme="minorHAnsi"/>
          <w:sz w:val="18"/>
          <w:szCs w:val="18"/>
        </w:rPr>
        <w:t xml:space="preserve">Standard contestable Project </w:t>
      </w:r>
    </w:p>
    <w:p w14:paraId="2889D368" w14:textId="26F9D22A" w:rsidR="00CD5E4B" w:rsidRPr="00FB7FF2" w:rsidRDefault="00CD5E4B" w:rsidP="005118B4">
      <w:pPr>
        <w:pStyle w:val="ListParagraph"/>
        <w:numPr>
          <w:ilvl w:val="0"/>
          <w:numId w:val="6"/>
        </w:numPr>
        <w:ind w:left="1080"/>
        <w:jc w:val="both"/>
        <w:rPr>
          <w:rFonts w:asciiTheme="minorHAnsi" w:hAnsiTheme="minorHAnsi" w:cstheme="minorHAnsi"/>
          <w:sz w:val="18"/>
          <w:szCs w:val="18"/>
        </w:rPr>
      </w:pPr>
      <w:r w:rsidRPr="00FB7FF2">
        <w:rPr>
          <w:rFonts w:asciiTheme="minorHAnsi" w:hAnsiTheme="minorHAnsi" w:cstheme="minorHAnsi"/>
          <w:sz w:val="18"/>
          <w:szCs w:val="18"/>
        </w:rPr>
        <w:t>Standard</w:t>
      </w:r>
      <w:r w:rsidR="004C5A90" w:rsidRPr="00FB7FF2">
        <w:rPr>
          <w:rFonts w:asciiTheme="minorHAnsi" w:hAnsiTheme="minorHAnsi" w:cstheme="minorHAnsi"/>
          <w:sz w:val="18"/>
          <w:szCs w:val="18"/>
        </w:rPr>
        <w:t xml:space="preserve"> contestable </w:t>
      </w:r>
      <w:r w:rsidRPr="00FB7FF2">
        <w:rPr>
          <w:rFonts w:asciiTheme="minorHAnsi" w:hAnsiTheme="minorHAnsi" w:cstheme="minorHAnsi"/>
          <w:sz w:val="18"/>
          <w:szCs w:val="18"/>
        </w:rPr>
        <w:t>Project with MPSG</w:t>
      </w:r>
    </w:p>
    <w:p w14:paraId="33AE3996" w14:textId="6DC3E153" w:rsidR="00CD5E4B" w:rsidRPr="00FB7FF2" w:rsidRDefault="004C5A90" w:rsidP="005118B4">
      <w:pPr>
        <w:pStyle w:val="ListParagraph"/>
        <w:numPr>
          <w:ilvl w:val="0"/>
          <w:numId w:val="6"/>
        </w:numPr>
        <w:ind w:left="1080"/>
        <w:jc w:val="both"/>
        <w:rPr>
          <w:rFonts w:asciiTheme="minorHAnsi" w:hAnsiTheme="minorHAnsi" w:cstheme="minorHAnsi"/>
          <w:sz w:val="18"/>
          <w:szCs w:val="18"/>
        </w:rPr>
      </w:pPr>
      <w:r w:rsidRPr="00FB7FF2">
        <w:rPr>
          <w:rFonts w:asciiTheme="minorHAnsi" w:hAnsiTheme="minorHAnsi" w:cstheme="minorHAnsi"/>
          <w:sz w:val="18"/>
          <w:szCs w:val="18"/>
        </w:rPr>
        <w:t>Standard</w:t>
      </w:r>
      <w:r w:rsidR="00490945" w:rsidRPr="00FB7FF2">
        <w:rPr>
          <w:rFonts w:asciiTheme="minorHAnsi" w:hAnsiTheme="minorHAnsi" w:cstheme="minorHAnsi"/>
          <w:sz w:val="18"/>
          <w:szCs w:val="18"/>
        </w:rPr>
        <w:t xml:space="preserve"> Project, with nil or limited contestability</w:t>
      </w:r>
    </w:p>
    <w:p w14:paraId="6FF53DF0" w14:textId="56E35976" w:rsidR="00701534" w:rsidRPr="00865235" w:rsidRDefault="00997A34" w:rsidP="00865235">
      <w:pPr>
        <w:rPr>
          <w:b/>
          <w:sz w:val="20"/>
        </w:rPr>
      </w:pPr>
      <w:bookmarkStart w:id="34" w:name="_Toc516042388"/>
      <w:bookmarkEnd w:id="33"/>
      <w:r w:rsidRPr="00865235">
        <w:rPr>
          <w:b/>
          <w:sz w:val="20"/>
        </w:rPr>
        <w:t>S</w:t>
      </w:r>
      <w:r w:rsidR="00701534" w:rsidRPr="00865235">
        <w:rPr>
          <w:b/>
          <w:sz w:val="20"/>
        </w:rPr>
        <w:t xml:space="preserve">tep </w:t>
      </w:r>
      <w:r w:rsidR="00015FE1" w:rsidRPr="00865235">
        <w:rPr>
          <w:b/>
          <w:sz w:val="20"/>
        </w:rPr>
        <w:t>3</w:t>
      </w:r>
      <w:r w:rsidR="00701534" w:rsidRPr="00865235">
        <w:rPr>
          <w:b/>
          <w:sz w:val="20"/>
        </w:rPr>
        <w:t xml:space="preserve"> – Specify </w:t>
      </w:r>
      <w:r w:rsidRPr="00865235">
        <w:rPr>
          <w:b/>
          <w:sz w:val="20"/>
        </w:rPr>
        <w:t xml:space="preserve">Local Jobs First </w:t>
      </w:r>
      <w:r w:rsidR="00701534" w:rsidRPr="00865235">
        <w:rPr>
          <w:b/>
          <w:sz w:val="20"/>
        </w:rPr>
        <w:t xml:space="preserve">requirements in tender documents and </w:t>
      </w:r>
      <w:bookmarkEnd w:id="34"/>
      <w:r w:rsidR="00631D46">
        <w:rPr>
          <w:b/>
          <w:sz w:val="20"/>
        </w:rPr>
        <w:t xml:space="preserve">approach to market </w:t>
      </w:r>
    </w:p>
    <w:p w14:paraId="2E560DBC" w14:textId="7855275B" w:rsidR="0024377E" w:rsidRPr="005118B4" w:rsidRDefault="00701534" w:rsidP="005118B4">
      <w:pPr>
        <w:numPr>
          <w:ilvl w:val="0"/>
          <w:numId w:val="8"/>
        </w:numPr>
        <w:spacing w:before="0"/>
        <w:ind w:left="360"/>
        <w:jc w:val="both"/>
        <w:rPr>
          <w:rFonts w:cs="Arial"/>
          <w:lang w:val="en-US"/>
        </w:rPr>
      </w:pPr>
      <w:r w:rsidRPr="005118B4">
        <w:rPr>
          <w:rFonts w:cs="Arial"/>
          <w:lang w:val="en-US"/>
        </w:rPr>
        <w:t xml:space="preserve">The agency must notify prospective bidders in </w:t>
      </w:r>
      <w:r w:rsidR="00156D3E" w:rsidRPr="005118B4">
        <w:rPr>
          <w:rFonts w:cs="Arial"/>
          <w:lang w:val="en-US"/>
        </w:rPr>
        <w:t xml:space="preserve">tender </w:t>
      </w:r>
      <w:r w:rsidR="00DB6D46" w:rsidRPr="005118B4">
        <w:rPr>
          <w:rFonts w:cs="Arial"/>
          <w:lang w:val="en-US"/>
        </w:rPr>
        <w:t>documents</w:t>
      </w:r>
      <w:r w:rsidR="00156D3E" w:rsidRPr="005118B4">
        <w:rPr>
          <w:rFonts w:cs="Arial"/>
          <w:lang w:val="en-US"/>
        </w:rPr>
        <w:t xml:space="preserve"> of the LJF requirements,</w:t>
      </w:r>
      <w:r w:rsidR="009C7BC7">
        <w:rPr>
          <w:rFonts w:cs="Arial"/>
          <w:lang w:val="en-US"/>
        </w:rPr>
        <w:t xml:space="preserve"> </w:t>
      </w:r>
      <w:r w:rsidR="00156D3E" w:rsidRPr="005118B4">
        <w:rPr>
          <w:rFonts w:cs="Arial"/>
          <w:lang w:val="en-US"/>
        </w:rPr>
        <w:t xml:space="preserve">including </w:t>
      </w:r>
      <w:r w:rsidRPr="005118B4">
        <w:rPr>
          <w:rFonts w:cs="Arial"/>
          <w:lang w:val="en-US"/>
        </w:rPr>
        <w:t>Expressions of Interest</w:t>
      </w:r>
      <w:r w:rsidR="00156D3E" w:rsidRPr="005118B4">
        <w:rPr>
          <w:rFonts w:cs="Arial"/>
          <w:lang w:val="en-US"/>
        </w:rPr>
        <w:t xml:space="preserve">, Requests for Proposals/Tenders and other </w:t>
      </w:r>
      <w:r w:rsidRPr="005118B4">
        <w:rPr>
          <w:rFonts w:cs="Arial"/>
          <w:lang w:val="en-US"/>
        </w:rPr>
        <w:t>process</w:t>
      </w:r>
      <w:r w:rsidR="00156D3E" w:rsidRPr="005118B4">
        <w:rPr>
          <w:rFonts w:cs="Arial"/>
          <w:lang w:val="en-US"/>
        </w:rPr>
        <w:t>es</w:t>
      </w:r>
      <w:r w:rsidRPr="005118B4">
        <w:rPr>
          <w:rFonts w:cs="Arial"/>
          <w:lang w:val="en-US"/>
        </w:rPr>
        <w:t>.</w:t>
      </w:r>
      <w:r w:rsidR="005508AC" w:rsidRPr="005118B4">
        <w:rPr>
          <w:rFonts w:cs="Arial"/>
          <w:lang w:val="en-US"/>
        </w:rPr>
        <w:t xml:space="preserve"> Model clauses can be found at </w:t>
      </w:r>
      <w:hyperlink r:id="rId17" w:history="1">
        <w:r w:rsidR="00BE74A9" w:rsidRPr="00117BA2">
          <w:rPr>
            <w:u w:val="single"/>
            <w:lang w:val="en-US"/>
          </w:rPr>
          <w:t>www.localjobsfirst.vic.gov.au/key-documents</w:t>
        </w:r>
      </w:hyperlink>
      <w:r w:rsidR="00D1168A" w:rsidRPr="005118B4">
        <w:rPr>
          <w:rFonts w:cs="Arial"/>
          <w:lang w:val="en-US"/>
        </w:rPr>
        <w:t xml:space="preserve"> </w:t>
      </w:r>
      <w:r w:rsidR="005508AC" w:rsidRPr="005118B4">
        <w:rPr>
          <w:rFonts w:cs="Arial"/>
          <w:lang w:val="en-US"/>
        </w:rPr>
        <w:t>and are required to be used.</w:t>
      </w:r>
      <w:r w:rsidR="0024377E" w:rsidRPr="005118B4">
        <w:rPr>
          <w:rFonts w:cs="Arial"/>
          <w:lang w:val="en-US"/>
        </w:rPr>
        <w:t xml:space="preserve"> </w:t>
      </w:r>
    </w:p>
    <w:p w14:paraId="131F4D13" w14:textId="3F84AF63" w:rsidR="005644AD" w:rsidRPr="005118B4" w:rsidRDefault="005644AD" w:rsidP="005118B4">
      <w:pPr>
        <w:numPr>
          <w:ilvl w:val="0"/>
          <w:numId w:val="8"/>
        </w:numPr>
        <w:spacing w:before="0"/>
        <w:ind w:left="360"/>
        <w:jc w:val="both"/>
        <w:rPr>
          <w:rFonts w:cs="Arial"/>
          <w:lang w:val="en-US"/>
        </w:rPr>
      </w:pPr>
      <w:r w:rsidRPr="005118B4">
        <w:rPr>
          <w:rFonts w:cs="Arial"/>
          <w:lang w:val="en-US"/>
        </w:rPr>
        <w:t>On a case by case basis</w:t>
      </w:r>
      <w:r w:rsidR="00C35F52" w:rsidRPr="005118B4">
        <w:rPr>
          <w:rFonts w:cs="Arial"/>
          <w:lang w:val="en-US"/>
        </w:rPr>
        <w:t>,</w:t>
      </w:r>
      <w:r w:rsidRPr="005118B4">
        <w:rPr>
          <w:rFonts w:cs="Arial"/>
          <w:lang w:val="en-US"/>
        </w:rPr>
        <w:t xml:space="preserve"> LIDPs are not required to be submitted where the agency must first assess bidders’ ability to meet technical capabilities and safety requirements in the first instance. This will be subject to the LJF Commissioner’s oversight to ensure that local players are not being locked out of the procurement process.</w:t>
      </w:r>
      <w:r w:rsidR="000314CF" w:rsidRPr="005118B4">
        <w:rPr>
          <w:rFonts w:cs="Arial"/>
          <w:lang w:val="en-US"/>
        </w:rPr>
        <w:t xml:space="preserve"> </w:t>
      </w:r>
      <w:r w:rsidRPr="005118B4">
        <w:rPr>
          <w:rFonts w:cs="Arial"/>
          <w:lang w:val="en-US"/>
        </w:rPr>
        <w:t xml:space="preserve">Market approach documents will also be required to inform bidders that they will be subject to LJF and will be required to submit an LIDP at a later stage of the procurement process. Agencies will be required to seek agreement with the </w:t>
      </w:r>
      <w:r w:rsidR="00527253" w:rsidRPr="005118B4">
        <w:rPr>
          <w:rFonts w:cs="Arial"/>
          <w:lang w:val="en-US"/>
        </w:rPr>
        <w:t>DJPR</w:t>
      </w:r>
      <w:r w:rsidRPr="005118B4">
        <w:rPr>
          <w:rFonts w:cs="Arial"/>
          <w:lang w:val="en-US"/>
        </w:rPr>
        <w:t xml:space="preserve"> and inform the Commissioner </w:t>
      </w:r>
      <w:r w:rsidR="00323FFF" w:rsidRPr="005118B4">
        <w:rPr>
          <w:rFonts w:cs="Arial"/>
          <w:lang w:val="en-US"/>
        </w:rPr>
        <w:t xml:space="preserve">via email </w:t>
      </w:r>
      <w:r w:rsidRPr="005118B4">
        <w:rPr>
          <w:rFonts w:cs="Arial"/>
          <w:lang w:val="en-US"/>
        </w:rPr>
        <w:t>when this process is being undertaken.</w:t>
      </w:r>
    </w:p>
    <w:p w14:paraId="6846C838" w14:textId="28D1B3C6" w:rsidR="00FD1189" w:rsidRPr="005118B4" w:rsidRDefault="00FD1189" w:rsidP="005118B4">
      <w:pPr>
        <w:numPr>
          <w:ilvl w:val="0"/>
          <w:numId w:val="8"/>
        </w:numPr>
        <w:spacing w:before="0"/>
        <w:ind w:left="360"/>
        <w:jc w:val="both"/>
        <w:rPr>
          <w:rFonts w:cs="Arial"/>
          <w:lang w:val="en-US"/>
        </w:rPr>
      </w:pPr>
      <w:r w:rsidRPr="005118B4">
        <w:rPr>
          <w:rFonts w:cs="Arial"/>
          <w:lang w:val="en-US"/>
        </w:rPr>
        <w:t>The model clauses to include must match the type of LIDP state</w:t>
      </w:r>
      <w:r w:rsidR="005644AD" w:rsidRPr="005118B4">
        <w:rPr>
          <w:rFonts w:cs="Arial"/>
          <w:lang w:val="en-US"/>
        </w:rPr>
        <w:t>d</w:t>
      </w:r>
      <w:r w:rsidRPr="005118B4">
        <w:rPr>
          <w:rFonts w:cs="Arial"/>
          <w:lang w:val="en-US"/>
        </w:rPr>
        <w:t xml:space="preserve"> in the </w:t>
      </w:r>
      <w:r w:rsidR="00631D46" w:rsidRPr="005118B4">
        <w:rPr>
          <w:rFonts w:cs="Arial"/>
          <w:lang w:val="en-US"/>
        </w:rPr>
        <w:t>c</w:t>
      </w:r>
      <w:r w:rsidR="002138FB" w:rsidRPr="005118B4">
        <w:rPr>
          <w:rFonts w:cs="Arial"/>
          <w:lang w:val="en-US"/>
        </w:rPr>
        <w:t>ontestability assessment</w:t>
      </w:r>
      <w:r w:rsidR="005644AD" w:rsidRPr="005118B4">
        <w:rPr>
          <w:rFonts w:cs="Arial"/>
          <w:lang w:val="en-US"/>
        </w:rPr>
        <w:t xml:space="preserve"> </w:t>
      </w:r>
      <w:r w:rsidRPr="005118B4">
        <w:rPr>
          <w:rFonts w:cs="Arial"/>
          <w:lang w:val="en-US"/>
        </w:rPr>
        <w:t xml:space="preserve">letter. For instance, a </w:t>
      </w:r>
      <w:r w:rsidR="00072E9F" w:rsidRPr="005118B4">
        <w:rPr>
          <w:rFonts w:cs="Arial"/>
          <w:lang w:val="en-US"/>
        </w:rPr>
        <w:t>S</w:t>
      </w:r>
      <w:r w:rsidRPr="005118B4">
        <w:rPr>
          <w:rFonts w:cs="Arial"/>
          <w:lang w:val="en-US"/>
        </w:rPr>
        <w:t xml:space="preserve">tandard </w:t>
      </w:r>
      <w:r w:rsidR="00072E9F" w:rsidRPr="005118B4">
        <w:rPr>
          <w:rFonts w:cs="Arial"/>
          <w:lang w:val="en-US"/>
        </w:rPr>
        <w:t>P</w:t>
      </w:r>
      <w:r w:rsidRPr="005118B4">
        <w:rPr>
          <w:rFonts w:cs="Arial"/>
          <w:lang w:val="en-US"/>
        </w:rPr>
        <w:t xml:space="preserve">roject with MPSG must include the Standard Project with MPSG model clauses. </w:t>
      </w:r>
    </w:p>
    <w:p w14:paraId="4AE3636C" w14:textId="407D18A0" w:rsidR="00381007" w:rsidRPr="005118B4" w:rsidRDefault="00930748" w:rsidP="005118B4">
      <w:pPr>
        <w:numPr>
          <w:ilvl w:val="0"/>
          <w:numId w:val="8"/>
        </w:numPr>
        <w:spacing w:before="0"/>
        <w:ind w:left="360"/>
        <w:jc w:val="both"/>
        <w:rPr>
          <w:rFonts w:cs="Arial"/>
          <w:lang w:val="en-US"/>
        </w:rPr>
      </w:pPr>
      <w:r w:rsidRPr="005118B4">
        <w:rPr>
          <w:rFonts w:cs="Arial"/>
          <w:lang w:val="en-US"/>
        </w:rPr>
        <w:t>Agencies are not to delete any part of the</w:t>
      </w:r>
      <w:r w:rsidR="001D56DB" w:rsidRPr="005118B4">
        <w:rPr>
          <w:rFonts w:cs="Arial"/>
          <w:lang w:val="en-US"/>
        </w:rPr>
        <w:t xml:space="preserve"> template</w:t>
      </w:r>
      <w:r w:rsidRPr="005118B4">
        <w:rPr>
          <w:rFonts w:cs="Arial"/>
          <w:lang w:val="en-US"/>
        </w:rPr>
        <w:t xml:space="preserve"> model clause</w:t>
      </w:r>
      <w:r w:rsidR="001D56DB" w:rsidRPr="005118B4">
        <w:rPr>
          <w:rFonts w:cs="Arial"/>
          <w:lang w:val="en-US"/>
        </w:rPr>
        <w:t>s</w:t>
      </w:r>
      <w:r w:rsidRPr="005118B4">
        <w:rPr>
          <w:rFonts w:cs="Arial"/>
          <w:lang w:val="en-US"/>
        </w:rPr>
        <w:t xml:space="preserve"> (including any </w:t>
      </w:r>
      <w:r w:rsidR="004A6192" w:rsidRPr="005118B4">
        <w:rPr>
          <w:rFonts w:cs="Arial"/>
          <w:lang w:val="en-US"/>
        </w:rPr>
        <w:t>definitions</w:t>
      </w:r>
      <w:r w:rsidRPr="005118B4">
        <w:rPr>
          <w:rFonts w:cs="Arial"/>
          <w:lang w:val="en-US"/>
        </w:rPr>
        <w:t>).</w:t>
      </w:r>
    </w:p>
    <w:p w14:paraId="39870E65" w14:textId="47C7B37B" w:rsidR="008844F5" w:rsidRPr="005118B4" w:rsidRDefault="005644AD" w:rsidP="005118B4">
      <w:pPr>
        <w:numPr>
          <w:ilvl w:val="0"/>
          <w:numId w:val="8"/>
        </w:numPr>
        <w:spacing w:before="0"/>
        <w:ind w:left="360"/>
        <w:jc w:val="both"/>
        <w:rPr>
          <w:rFonts w:cs="Arial"/>
          <w:lang w:val="en-US"/>
        </w:rPr>
      </w:pPr>
      <w:r w:rsidRPr="005118B4">
        <w:rPr>
          <w:rFonts w:cs="Arial"/>
          <w:lang w:val="en-US"/>
        </w:rPr>
        <w:t>The model clauses direct bidders to the VMC in which they will prepare a custom LIDP through an online form. Microsoft Word based LIDP are no longer in use.</w:t>
      </w:r>
      <w:bookmarkStart w:id="35" w:name="_Hlk524333068"/>
    </w:p>
    <w:p w14:paraId="7CDB8646" w14:textId="3556DD85" w:rsidR="00701534" w:rsidRPr="005118B4" w:rsidRDefault="00701534" w:rsidP="005118B4">
      <w:pPr>
        <w:numPr>
          <w:ilvl w:val="0"/>
          <w:numId w:val="8"/>
        </w:numPr>
        <w:spacing w:before="0"/>
        <w:ind w:left="360"/>
        <w:jc w:val="both"/>
        <w:rPr>
          <w:rFonts w:cs="Arial"/>
          <w:lang w:val="en-US"/>
        </w:rPr>
      </w:pPr>
      <w:r w:rsidRPr="005118B4">
        <w:rPr>
          <w:rFonts w:cs="Arial"/>
          <w:lang w:val="en-US"/>
        </w:rPr>
        <w:lastRenderedPageBreak/>
        <w:t xml:space="preserve">Model clauses have been developed </w:t>
      </w:r>
      <w:r w:rsidR="00156D3E" w:rsidRPr="005118B4">
        <w:rPr>
          <w:rFonts w:cs="Arial"/>
          <w:lang w:val="en-US"/>
        </w:rPr>
        <w:t xml:space="preserve">to be incorporated into project </w:t>
      </w:r>
      <w:r w:rsidR="00DB6D46" w:rsidRPr="005118B4">
        <w:rPr>
          <w:rFonts w:cs="Arial"/>
          <w:lang w:val="en-US"/>
        </w:rPr>
        <w:t>documents</w:t>
      </w:r>
      <w:r w:rsidR="00156D3E" w:rsidRPr="005118B4">
        <w:rPr>
          <w:rFonts w:cs="Arial"/>
          <w:lang w:val="en-US"/>
        </w:rPr>
        <w:t xml:space="preserve"> to be applied by the agency. </w:t>
      </w:r>
      <w:bookmarkEnd w:id="35"/>
      <w:r w:rsidR="00156D3E" w:rsidRPr="005118B4">
        <w:rPr>
          <w:rFonts w:cs="Arial"/>
          <w:lang w:val="en-US"/>
        </w:rPr>
        <w:t xml:space="preserve">Any variation to these clauses must be agreed by the </w:t>
      </w:r>
      <w:bookmarkStart w:id="36" w:name="_Hlk525282030"/>
      <w:r w:rsidR="00156D3E" w:rsidRPr="005118B4">
        <w:rPr>
          <w:rFonts w:cs="Arial"/>
          <w:lang w:val="en-US"/>
        </w:rPr>
        <w:t xml:space="preserve">agency’s LJF </w:t>
      </w:r>
      <w:r w:rsidR="00FC28C3" w:rsidRPr="005118B4">
        <w:rPr>
          <w:rFonts w:cs="Arial"/>
          <w:lang w:val="en-US"/>
        </w:rPr>
        <w:t>Administrator</w:t>
      </w:r>
      <w:bookmarkEnd w:id="36"/>
      <w:r w:rsidR="00156D3E" w:rsidRPr="005118B4">
        <w:rPr>
          <w:rFonts w:cs="Arial"/>
          <w:lang w:val="en-US"/>
        </w:rPr>
        <w:t xml:space="preserve">. </w:t>
      </w:r>
      <w:r w:rsidRPr="005118B4">
        <w:rPr>
          <w:rFonts w:cs="Arial"/>
          <w:lang w:val="en-US"/>
        </w:rPr>
        <w:t>(Refer</w:t>
      </w:r>
      <w:r w:rsidR="0025689E">
        <w:rPr>
          <w:rFonts w:cs="Arial"/>
          <w:lang w:val="en-US"/>
        </w:rPr>
        <w:t xml:space="preserve"> to</w:t>
      </w:r>
      <w:r w:rsidRPr="005118B4">
        <w:rPr>
          <w:rFonts w:cs="Arial"/>
          <w:lang w:val="en-US"/>
        </w:rPr>
        <w:t xml:space="preserve"> website – </w:t>
      </w:r>
      <w:hyperlink r:id="rId18" w:history="1">
        <w:r w:rsidR="00351206" w:rsidRPr="0025689E">
          <w:rPr>
            <w:rFonts w:cs="Arial"/>
            <w:u w:val="single"/>
            <w:lang w:val="en-US"/>
          </w:rPr>
          <w:t>www.localjobsfirst.vic.gov.au</w:t>
        </w:r>
      </w:hyperlink>
      <w:r w:rsidRPr="005118B4">
        <w:rPr>
          <w:rFonts w:cs="Arial"/>
          <w:lang w:val="en-US"/>
        </w:rPr>
        <w:t>)</w:t>
      </w:r>
      <w:r w:rsidR="00DA0DB5" w:rsidRPr="005118B4">
        <w:rPr>
          <w:rFonts w:cs="Arial"/>
          <w:lang w:val="en-US"/>
        </w:rPr>
        <w:t>.</w:t>
      </w:r>
      <w:r w:rsidRPr="005118B4">
        <w:rPr>
          <w:rFonts w:cs="Arial"/>
          <w:lang w:val="en-US"/>
        </w:rPr>
        <w:t xml:space="preserve"> </w:t>
      </w:r>
    </w:p>
    <w:p w14:paraId="0032DDE2" w14:textId="2665E8C1" w:rsidR="00701534" w:rsidRPr="00865235" w:rsidRDefault="00701534" w:rsidP="00865235">
      <w:pPr>
        <w:rPr>
          <w:b/>
          <w:sz w:val="20"/>
        </w:rPr>
      </w:pPr>
      <w:bookmarkStart w:id="37" w:name="_Toc516042390"/>
      <w:r w:rsidRPr="00865235">
        <w:rPr>
          <w:b/>
          <w:sz w:val="20"/>
        </w:rPr>
        <w:t xml:space="preserve">Step </w:t>
      </w:r>
      <w:r w:rsidR="00015FE1" w:rsidRPr="00865235">
        <w:rPr>
          <w:b/>
          <w:sz w:val="20"/>
        </w:rPr>
        <w:t>4</w:t>
      </w:r>
      <w:r w:rsidRPr="00865235">
        <w:rPr>
          <w:b/>
          <w:sz w:val="20"/>
        </w:rPr>
        <w:t xml:space="preserve"> –</w:t>
      </w:r>
      <w:r w:rsidR="005118B4">
        <w:rPr>
          <w:b/>
          <w:sz w:val="20"/>
        </w:rPr>
        <w:t xml:space="preserve"> </w:t>
      </w:r>
      <w:r w:rsidR="00A96C1A">
        <w:rPr>
          <w:b/>
          <w:sz w:val="20"/>
        </w:rPr>
        <w:t>B</w:t>
      </w:r>
      <w:r w:rsidRPr="00865235">
        <w:rPr>
          <w:b/>
          <w:sz w:val="20"/>
        </w:rPr>
        <w:t xml:space="preserve">idders preparation and ICN acknowledgement of LIDP </w:t>
      </w:r>
      <w:bookmarkEnd w:id="37"/>
    </w:p>
    <w:p w14:paraId="185C18F1" w14:textId="63F1FE23" w:rsidR="00C533B1" w:rsidRDefault="00C533B1" w:rsidP="005118B4">
      <w:pPr>
        <w:pStyle w:val="ListParagraph"/>
        <w:numPr>
          <w:ilvl w:val="0"/>
          <w:numId w:val="8"/>
        </w:numPr>
        <w:ind w:left="360"/>
        <w:rPr>
          <w:rFonts w:ascii="Arial" w:hAnsi="Arial" w:cs="Arial"/>
          <w:sz w:val="18"/>
          <w:szCs w:val="20"/>
          <w:lang w:eastAsia="en-US"/>
        </w:rPr>
      </w:pPr>
      <w:r w:rsidRPr="00C533B1">
        <w:rPr>
          <w:rFonts w:ascii="Arial" w:hAnsi="Arial" w:cs="Arial"/>
          <w:sz w:val="18"/>
          <w:szCs w:val="20"/>
          <w:lang w:eastAsia="en-US"/>
        </w:rPr>
        <w:t xml:space="preserve">An ICN Industry Advisor will be available to assist bidders in preparing LIDPs </w:t>
      </w:r>
    </w:p>
    <w:p w14:paraId="55AF5DBB" w14:textId="77777777" w:rsidR="00C533B1" w:rsidRPr="00C533B1" w:rsidRDefault="00C533B1" w:rsidP="005118B4">
      <w:pPr>
        <w:pStyle w:val="ListParagraph"/>
        <w:ind w:left="360"/>
        <w:rPr>
          <w:rFonts w:ascii="Arial" w:hAnsi="Arial" w:cs="Arial"/>
          <w:sz w:val="18"/>
          <w:szCs w:val="20"/>
          <w:lang w:eastAsia="en-US"/>
        </w:rPr>
      </w:pPr>
    </w:p>
    <w:p w14:paraId="45EDAFE7" w14:textId="2C4FB23F" w:rsidR="002E63A2" w:rsidRPr="002E63A2" w:rsidRDefault="003D7538" w:rsidP="00A66D7B">
      <w:pPr>
        <w:numPr>
          <w:ilvl w:val="0"/>
          <w:numId w:val="8"/>
        </w:numPr>
        <w:spacing w:before="0"/>
        <w:ind w:left="360"/>
        <w:jc w:val="both"/>
        <w:rPr>
          <w:rFonts w:cs="Arial"/>
        </w:rPr>
      </w:pPr>
      <w:r w:rsidRPr="002E63A2">
        <w:rPr>
          <w:rFonts w:cs="Arial"/>
        </w:rPr>
        <w:t>B</w:t>
      </w:r>
      <w:r w:rsidR="00701534" w:rsidRPr="002E63A2">
        <w:rPr>
          <w:rFonts w:cs="Arial"/>
        </w:rPr>
        <w:t xml:space="preserve">idders </w:t>
      </w:r>
      <w:r w:rsidRPr="002E63A2">
        <w:rPr>
          <w:rFonts w:cs="Arial"/>
        </w:rPr>
        <w:t>must</w:t>
      </w:r>
      <w:r w:rsidR="0024377E" w:rsidRPr="002E63A2">
        <w:rPr>
          <w:rFonts w:cs="Arial"/>
        </w:rPr>
        <w:t xml:space="preserve"> submit </w:t>
      </w:r>
      <w:r w:rsidR="00B849E7" w:rsidRPr="002E63A2">
        <w:rPr>
          <w:rFonts w:cs="Arial"/>
        </w:rPr>
        <w:t>an LIDP</w:t>
      </w:r>
      <w:r w:rsidR="00701534" w:rsidRPr="002E63A2">
        <w:rPr>
          <w:rFonts w:cs="Arial"/>
        </w:rPr>
        <w:t xml:space="preserve"> through </w:t>
      </w:r>
      <w:r w:rsidR="004B443A" w:rsidRPr="002E63A2">
        <w:rPr>
          <w:rFonts w:cs="Arial"/>
        </w:rPr>
        <w:t xml:space="preserve">the </w:t>
      </w:r>
      <w:r w:rsidR="00701534" w:rsidRPr="002E63A2">
        <w:rPr>
          <w:rFonts w:cs="Arial"/>
        </w:rPr>
        <w:t>ICN</w:t>
      </w:r>
      <w:r w:rsidR="00803CB1" w:rsidRPr="002E63A2">
        <w:rPr>
          <w:rFonts w:cs="Arial"/>
        </w:rPr>
        <w:t>’s</w:t>
      </w:r>
      <w:r w:rsidR="00701534" w:rsidRPr="002E63A2">
        <w:rPr>
          <w:rFonts w:cs="Arial"/>
        </w:rPr>
        <w:t xml:space="preserve"> VMC at </w:t>
      </w:r>
      <w:hyperlink r:id="rId19" w:history="1">
        <w:r w:rsidR="002E63A2" w:rsidRPr="002E63A2">
          <w:rPr>
            <w:rStyle w:val="Hyperlink"/>
          </w:rPr>
          <w:t>www.icnforce.com</w:t>
        </w:r>
      </w:hyperlink>
      <w:r w:rsidR="002E63A2">
        <w:t>.</w:t>
      </w:r>
    </w:p>
    <w:p w14:paraId="1BABBA34" w14:textId="313E8128" w:rsidR="00C61D28" w:rsidRPr="002E63A2" w:rsidRDefault="00C61D28" w:rsidP="00A66D7B">
      <w:pPr>
        <w:numPr>
          <w:ilvl w:val="0"/>
          <w:numId w:val="8"/>
        </w:numPr>
        <w:spacing w:before="0"/>
        <w:ind w:left="360"/>
        <w:jc w:val="both"/>
        <w:rPr>
          <w:rFonts w:cs="Arial"/>
        </w:rPr>
      </w:pPr>
      <w:r w:rsidRPr="002E63A2">
        <w:rPr>
          <w:rFonts w:cs="Arial"/>
        </w:rPr>
        <w:t xml:space="preserve">The LIDP is an online form. </w:t>
      </w:r>
    </w:p>
    <w:p w14:paraId="010B9B78" w14:textId="64FA7B5E" w:rsidR="000314CF" w:rsidRDefault="000314CF" w:rsidP="005118B4">
      <w:pPr>
        <w:numPr>
          <w:ilvl w:val="0"/>
          <w:numId w:val="8"/>
        </w:numPr>
        <w:spacing w:before="0"/>
        <w:ind w:left="360"/>
        <w:jc w:val="both"/>
        <w:rPr>
          <w:rFonts w:cs="Arial"/>
        </w:rPr>
      </w:pPr>
      <w:r w:rsidRPr="0024377E">
        <w:rPr>
          <w:rFonts w:cs="Arial"/>
        </w:rPr>
        <w:t xml:space="preserve">A </w:t>
      </w:r>
      <w:r>
        <w:rPr>
          <w:rFonts w:cs="Arial"/>
        </w:rPr>
        <w:t>compliant LIDP</w:t>
      </w:r>
      <w:r w:rsidRPr="0024377E">
        <w:rPr>
          <w:rFonts w:cs="Arial"/>
        </w:rPr>
        <w:t xml:space="preserve"> must be </w:t>
      </w:r>
      <w:r w:rsidR="00C533B1">
        <w:rPr>
          <w:rFonts w:cs="Arial"/>
        </w:rPr>
        <w:t>submitted</w:t>
      </w:r>
      <w:r w:rsidRPr="0024377E">
        <w:rPr>
          <w:rFonts w:cs="Arial"/>
        </w:rPr>
        <w:t xml:space="preserve"> by bidders for any project subject </w:t>
      </w:r>
      <w:r w:rsidRPr="0058517D">
        <w:rPr>
          <w:rFonts w:cs="Arial"/>
        </w:rPr>
        <w:t>to LJF.</w:t>
      </w:r>
      <w:r>
        <w:rPr>
          <w:rFonts w:cs="Arial"/>
        </w:rPr>
        <w:t xml:space="preserve"> </w:t>
      </w:r>
    </w:p>
    <w:p w14:paraId="35580DCE" w14:textId="006AAF00" w:rsidR="000314CF" w:rsidRDefault="000314CF" w:rsidP="005118B4">
      <w:pPr>
        <w:numPr>
          <w:ilvl w:val="0"/>
          <w:numId w:val="8"/>
        </w:numPr>
        <w:spacing w:before="0"/>
        <w:ind w:left="360"/>
        <w:jc w:val="both"/>
        <w:rPr>
          <w:rFonts w:cs="Arial"/>
          <w:szCs w:val="18"/>
        </w:rPr>
      </w:pPr>
      <w:r w:rsidRPr="00086288">
        <w:rPr>
          <w:rFonts w:cs="Arial"/>
        </w:rPr>
        <w:t>A</w:t>
      </w:r>
      <w:r w:rsidR="009F3529">
        <w:rPr>
          <w:rFonts w:cs="Arial"/>
        </w:rPr>
        <w:t>n</w:t>
      </w:r>
      <w:r w:rsidRPr="00086288">
        <w:rPr>
          <w:rFonts w:cs="Arial"/>
        </w:rPr>
        <w:t xml:space="preserve"> LIDP must reflect the size and complexity of the project. Preparation of a</w:t>
      </w:r>
      <w:r w:rsidR="007337C3">
        <w:rPr>
          <w:rFonts w:cs="Arial"/>
        </w:rPr>
        <w:t>n</w:t>
      </w:r>
      <w:r w:rsidRPr="00086288">
        <w:rPr>
          <w:rFonts w:cs="Arial"/>
        </w:rPr>
        <w:t xml:space="preserve"> LIDP can take </w:t>
      </w:r>
      <w:r>
        <w:rPr>
          <w:rFonts w:cs="Arial"/>
        </w:rPr>
        <w:t>up</w:t>
      </w:r>
      <w:r w:rsidRPr="00086288">
        <w:rPr>
          <w:rFonts w:cs="Arial"/>
        </w:rPr>
        <w:t xml:space="preserve"> to three weeks and is </w:t>
      </w:r>
      <w:r>
        <w:rPr>
          <w:rFonts w:cs="Arial"/>
        </w:rPr>
        <w:t>prepared</w:t>
      </w:r>
      <w:r w:rsidRPr="00086288">
        <w:rPr>
          <w:rFonts w:cs="Arial"/>
        </w:rPr>
        <w:t xml:space="preserve"> by the bidders</w:t>
      </w:r>
      <w:r>
        <w:rPr>
          <w:rFonts w:cs="Arial"/>
        </w:rPr>
        <w:t xml:space="preserve"> </w:t>
      </w:r>
      <w:r w:rsidRPr="00086288">
        <w:rPr>
          <w:rFonts w:cs="Arial"/>
        </w:rPr>
        <w:t>and submitted as part</w:t>
      </w:r>
      <w:r w:rsidRPr="00350D38">
        <w:rPr>
          <w:rFonts w:cs="Arial"/>
          <w:szCs w:val="18"/>
        </w:rPr>
        <w:t xml:space="preserve"> of the tender documents. </w:t>
      </w:r>
      <w:r>
        <w:rPr>
          <w:rFonts w:cs="Arial"/>
          <w:szCs w:val="18"/>
        </w:rPr>
        <w:t xml:space="preserve">Close consultation with the ICN is encouraged. </w:t>
      </w:r>
    </w:p>
    <w:p w14:paraId="0E166F0F" w14:textId="7D2529E6" w:rsidR="000314CF" w:rsidRDefault="000314CF" w:rsidP="005118B4">
      <w:pPr>
        <w:numPr>
          <w:ilvl w:val="0"/>
          <w:numId w:val="8"/>
        </w:numPr>
        <w:spacing w:before="0" w:after="0"/>
        <w:ind w:left="354" w:hanging="357"/>
        <w:jc w:val="both"/>
        <w:rPr>
          <w:rFonts w:cs="Arial"/>
          <w:szCs w:val="18"/>
        </w:rPr>
      </w:pPr>
      <w:r w:rsidRPr="00350D38">
        <w:rPr>
          <w:rFonts w:cs="Arial"/>
          <w:szCs w:val="18"/>
        </w:rPr>
        <w:t>Information</w:t>
      </w:r>
      <w:r>
        <w:rPr>
          <w:rFonts w:cs="Arial"/>
          <w:szCs w:val="18"/>
        </w:rPr>
        <w:t xml:space="preserve"> to be given </w:t>
      </w:r>
      <w:r w:rsidRPr="00350D38">
        <w:rPr>
          <w:rFonts w:cs="Arial"/>
          <w:szCs w:val="18"/>
        </w:rPr>
        <w:t>in the LIDP</w:t>
      </w:r>
      <w:r>
        <w:rPr>
          <w:rFonts w:cs="Arial"/>
          <w:szCs w:val="18"/>
        </w:rPr>
        <w:t xml:space="preserve"> will be contingent on the size and type of the project. Broadly, </w:t>
      </w:r>
      <w:r w:rsidR="000E13B3">
        <w:rPr>
          <w:rFonts w:cs="Arial"/>
          <w:szCs w:val="18"/>
        </w:rPr>
        <w:t>it</w:t>
      </w:r>
      <w:r>
        <w:rPr>
          <w:rFonts w:cs="Arial"/>
          <w:szCs w:val="18"/>
        </w:rPr>
        <w:t xml:space="preserve"> will include information on:</w:t>
      </w:r>
      <w:r w:rsidRPr="00350D38">
        <w:rPr>
          <w:rFonts w:cs="Arial"/>
          <w:szCs w:val="18"/>
        </w:rPr>
        <w:t xml:space="preserve"> </w:t>
      </w:r>
    </w:p>
    <w:p w14:paraId="15C54981" w14:textId="77777777" w:rsidR="00FB7FF2" w:rsidRPr="00350D38" w:rsidRDefault="00FB7FF2" w:rsidP="005118B4">
      <w:pPr>
        <w:spacing w:before="0" w:after="0"/>
        <w:ind w:left="354"/>
        <w:jc w:val="both"/>
        <w:rPr>
          <w:rFonts w:cs="Arial"/>
          <w:szCs w:val="18"/>
        </w:rPr>
      </w:pPr>
    </w:p>
    <w:p w14:paraId="0DAF3B8D" w14:textId="72E9AFF6" w:rsidR="000314CF" w:rsidRDefault="000314CF" w:rsidP="005118B4">
      <w:pPr>
        <w:pStyle w:val="ListParagraph"/>
        <w:numPr>
          <w:ilvl w:val="0"/>
          <w:numId w:val="6"/>
        </w:numPr>
        <w:ind w:left="1080"/>
        <w:jc w:val="both"/>
        <w:rPr>
          <w:rFonts w:asciiTheme="minorHAnsi" w:hAnsiTheme="minorHAnsi" w:cstheme="minorHAnsi"/>
          <w:sz w:val="18"/>
          <w:szCs w:val="18"/>
        </w:rPr>
      </w:pPr>
      <w:r w:rsidRPr="00350D38">
        <w:rPr>
          <w:rFonts w:asciiTheme="minorHAnsi" w:hAnsiTheme="minorHAnsi" w:cstheme="minorHAnsi"/>
          <w:sz w:val="18"/>
          <w:szCs w:val="18"/>
        </w:rPr>
        <w:t xml:space="preserve">the </w:t>
      </w:r>
      <w:r>
        <w:rPr>
          <w:rFonts w:asciiTheme="minorHAnsi" w:hAnsiTheme="minorHAnsi" w:cstheme="minorHAnsi"/>
          <w:sz w:val="18"/>
          <w:szCs w:val="18"/>
        </w:rPr>
        <w:t>industry development commitments (Victorian Industry Participation Policy (</w:t>
      </w:r>
      <w:r w:rsidRPr="00350D38">
        <w:rPr>
          <w:rFonts w:asciiTheme="minorHAnsi" w:hAnsiTheme="minorHAnsi" w:cstheme="minorHAnsi"/>
          <w:sz w:val="18"/>
          <w:szCs w:val="18"/>
        </w:rPr>
        <w:t>VIPP</w:t>
      </w:r>
      <w:r>
        <w:rPr>
          <w:rFonts w:asciiTheme="minorHAnsi" w:hAnsiTheme="minorHAnsi" w:cstheme="minorHAnsi"/>
          <w:sz w:val="18"/>
          <w:szCs w:val="18"/>
        </w:rPr>
        <w:t>)</w:t>
      </w:r>
      <w:r w:rsidRPr="00350D38">
        <w:rPr>
          <w:rFonts w:asciiTheme="minorHAnsi" w:hAnsiTheme="minorHAnsi" w:cstheme="minorHAnsi"/>
          <w:sz w:val="18"/>
          <w:szCs w:val="18"/>
        </w:rPr>
        <w:t xml:space="preserve"> commitments</w:t>
      </w:r>
      <w:r w:rsidR="00AC03C8">
        <w:rPr>
          <w:rFonts w:asciiTheme="minorHAnsi" w:hAnsiTheme="minorHAnsi" w:cstheme="minorHAnsi"/>
          <w:sz w:val="18"/>
          <w:szCs w:val="18"/>
        </w:rPr>
        <w:t>)</w:t>
      </w:r>
      <w:r w:rsidRPr="00350D38">
        <w:rPr>
          <w:rFonts w:asciiTheme="minorHAnsi" w:hAnsiTheme="minorHAnsi" w:cstheme="minorHAnsi"/>
          <w:sz w:val="18"/>
          <w:szCs w:val="18"/>
        </w:rPr>
        <w:t xml:space="preserve"> (local content, technology transfer</w:t>
      </w:r>
      <w:r>
        <w:rPr>
          <w:rFonts w:asciiTheme="minorHAnsi" w:hAnsiTheme="minorHAnsi" w:cstheme="minorHAnsi"/>
          <w:sz w:val="18"/>
          <w:szCs w:val="18"/>
        </w:rPr>
        <w:t>, supply chain engagement</w:t>
      </w:r>
      <w:r w:rsidRPr="00350D38">
        <w:rPr>
          <w:rFonts w:asciiTheme="minorHAnsi" w:hAnsiTheme="minorHAnsi" w:cstheme="minorHAnsi"/>
          <w:sz w:val="18"/>
          <w:szCs w:val="18"/>
        </w:rPr>
        <w:t>)</w:t>
      </w:r>
    </w:p>
    <w:p w14:paraId="168C48AF" w14:textId="11B4C263" w:rsidR="000314CF" w:rsidRPr="00350D38" w:rsidRDefault="000314CF" w:rsidP="005118B4">
      <w:pPr>
        <w:pStyle w:val="ListParagraph"/>
        <w:numPr>
          <w:ilvl w:val="0"/>
          <w:numId w:val="6"/>
        </w:numPr>
        <w:ind w:left="1080"/>
        <w:jc w:val="both"/>
        <w:rPr>
          <w:rFonts w:asciiTheme="minorHAnsi" w:hAnsiTheme="minorHAnsi" w:cstheme="minorHAnsi"/>
          <w:sz w:val="18"/>
          <w:szCs w:val="18"/>
        </w:rPr>
      </w:pPr>
      <w:r w:rsidRPr="00A108CD">
        <w:rPr>
          <w:rFonts w:asciiTheme="minorHAnsi" w:hAnsiTheme="minorHAnsi" w:cstheme="minorHAnsi"/>
          <w:sz w:val="18"/>
          <w:szCs w:val="18"/>
        </w:rPr>
        <w:t>the</w:t>
      </w:r>
      <w:r w:rsidRPr="00A65FB0">
        <w:rPr>
          <w:rFonts w:asciiTheme="minorHAnsi" w:hAnsiTheme="minorHAnsi" w:cstheme="minorHAnsi"/>
          <w:sz w:val="18"/>
          <w:szCs w:val="18"/>
        </w:rPr>
        <w:t xml:space="preserve"> </w:t>
      </w:r>
      <w:r>
        <w:rPr>
          <w:rFonts w:asciiTheme="minorHAnsi" w:hAnsiTheme="minorHAnsi" w:cstheme="minorHAnsi"/>
          <w:sz w:val="18"/>
          <w:szCs w:val="18"/>
        </w:rPr>
        <w:t>jobs outcomes commitments (</w:t>
      </w:r>
      <w:r w:rsidRPr="00350D38">
        <w:rPr>
          <w:rFonts w:asciiTheme="minorHAnsi" w:hAnsiTheme="minorHAnsi" w:cstheme="minorHAnsi"/>
          <w:sz w:val="18"/>
          <w:szCs w:val="18"/>
        </w:rPr>
        <w:t xml:space="preserve">new and retained jobs, </w:t>
      </w:r>
      <w:r>
        <w:rPr>
          <w:rFonts w:asciiTheme="minorHAnsi" w:hAnsiTheme="minorHAnsi" w:cstheme="minorHAnsi"/>
          <w:sz w:val="18"/>
          <w:szCs w:val="18"/>
        </w:rPr>
        <w:t xml:space="preserve">training), including the MPSG </w:t>
      </w:r>
      <w:r w:rsidRPr="00A108CD">
        <w:rPr>
          <w:rFonts w:asciiTheme="minorHAnsi" w:hAnsiTheme="minorHAnsi" w:cstheme="minorHAnsi"/>
          <w:sz w:val="18"/>
          <w:szCs w:val="18"/>
        </w:rPr>
        <w:t xml:space="preserve">commitments </w:t>
      </w:r>
      <w:r>
        <w:rPr>
          <w:rFonts w:asciiTheme="minorHAnsi" w:hAnsiTheme="minorHAnsi" w:cstheme="minorHAnsi"/>
          <w:sz w:val="18"/>
          <w:szCs w:val="18"/>
        </w:rPr>
        <w:t>where applicable</w:t>
      </w:r>
    </w:p>
    <w:p w14:paraId="1ECD231A" w14:textId="77777777" w:rsidR="000314CF" w:rsidRPr="000D029C" w:rsidRDefault="000314CF" w:rsidP="005118B4">
      <w:pPr>
        <w:pStyle w:val="ListParagraph"/>
        <w:numPr>
          <w:ilvl w:val="0"/>
          <w:numId w:val="6"/>
        </w:numPr>
        <w:ind w:left="1080"/>
        <w:jc w:val="both"/>
        <w:rPr>
          <w:rFonts w:asciiTheme="minorHAnsi" w:hAnsiTheme="minorHAnsi" w:cstheme="minorHAnsi"/>
          <w:sz w:val="18"/>
          <w:szCs w:val="18"/>
        </w:rPr>
      </w:pPr>
      <w:r w:rsidRPr="000D029C">
        <w:rPr>
          <w:rFonts w:asciiTheme="minorHAnsi" w:hAnsiTheme="minorHAnsi" w:cstheme="minorHAnsi"/>
          <w:sz w:val="18"/>
          <w:szCs w:val="18"/>
        </w:rPr>
        <w:t xml:space="preserve">how the LIDP will be implemented and </w:t>
      </w:r>
      <w:r>
        <w:rPr>
          <w:rFonts w:asciiTheme="minorHAnsi" w:hAnsiTheme="minorHAnsi" w:cstheme="minorHAnsi"/>
          <w:sz w:val="18"/>
          <w:szCs w:val="18"/>
        </w:rPr>
        <w:t>management of risks</w:t>
      </w:r>
      <w:r w:rsidRPr="000D029C">
        <w:rPr>
          <w:rFonts w:asciiTheme="minorHAnsi" w:hAnsiTheme="minorHAnsi" w:cstheme="minorHAnsi"/>
          <w:sz w:val="18"/>
          <w:szCs w:val="18"/>
        </w:rPr>
        <w:t>, including industry engagement strategies</w:t>
      </w:r>
      <w:r>
        <w:rPr>
          <w:rFonts w:asciiTheme="minorHAnsi" w:hAnsiTheme="minorHAnsi" w:cstheme="minorHAnsi"/>
          <w:sz w:val="18"/>
          <w:szCs w:val="18"/>
        </w:rPr>
        <w:t xml:space="preserve"> and selection and benchmarking of local content</w:t>
      </w:r>
    </w:p>
    <w:p w14:paraId="3EC85D25" w14:textId="77777777" w:rsidR="000314CF" w:rsidRDefault="000314CF" w:rsidP="005118B4">
      <w:pPr>
        <w:pStyle w:val="ListParagraph"/>
        <w:numPr>
          <w:ilvl w:val="0"/>
          <w:numId w:val="6"/>
        </w:numPr>
        <w:ind w:left="1080"/>
        <w:jc w:val="both"/>
        <w:rPr>
          <w:rFonts w:asciiTheme="minorHAnsi" w:hAnsiTheme="minorHAnsi" w:cstheme="minorHAnsi"/>
          <w:sz w:val="18"/>
          <w:szCs w:val="18"/>
        </w:rPr>
      </w:pPr>
      <w:r w:rsidRPr="00EF05EF">
        <w:rPr>
          <w:rFonts w:asciiTheme="minorHAnsi" w:hAnsiTheme="minorHAnsi" w:cstheme="minorHAnsi"/>
          <w:sz w:val="18"/>
          <w:szCs w:val="18"/>
        </w:rPr>
        <w:t>monitoring and reporting requirements</w:t>
      </w:r>
      <w:r>
        <w:rPr>
          <w:rFonts w:asciiTheme="minorHAnsi" w:hAnsiTheme="minorHAnsi" w:cstheme="minorHAnsi"/>
          <w:sz w:val="18"/>
          <w:szCs w:val="18"/>
        </w:rPr>
        <w:t xml:space="preserve">, including those to be delivered as part of </w:t>
      </w:r>
      <w:r w:rsidRPr="000D029C">
        <w:rPr>
          <w:rFonts w:asciiTheme="minorHAnsi" w:hAnsiTheme="minorHAnsi" w:cstheme="minorHAnsi"/>
          <w:sz w:val="18"/>
          <w:szCs w:val="18"/>
        </w:rPr>
        <w:t>normal project management procedures</w:t>
      </w:r>
    </w:p>
    <w:p w14:paraId="7DA22704" w14:textId="4D180662" w:rsidR="000314CF" w:rsidRDefault="000314CF" w:rsidP="005118B4">
      <w:pPr>
        <w:pStyle w:val="ListParagraph"/>
        <w:numPr>
          <w:ilvl w:val="0"/>
          <w:numId w:val="6"/>
        </w:numPr>
        <w:ind w:left="1080"/>
        <w:jc w:val="both"/>
        <w:rPr>
          <w:rFonts w:asciiTheme="minorHAnsi" w:hAnsiTheme="minorHAnsi" w:cstheme="minorHAnsi"/>
          <w:sz w:val="18"/>
          <w:szCs w:val="18"/>
        </w:rPr>
      </w:pPr>
      <w:r>
        <w:rPr>
          <w:rFonts w:asciiTheme="minorHAnsi" w:hAnsiTheme="minorHAnsi" w:cstheme="minorHAnsi"/>
          <w:sz w:val="18"/>
          <w:szCs w:val="18"/>
        </w:rPr>
        <w:t xml:space="preserve">the amount of </w:t>
      </w:r>
      <w:r w:rsidR="00632461">
        <w:rPr>
          <w:rFonts w:asciiTheme="minorHAnsi" w:hAnsiTheme="minorHAnsi" w:cstheme="minorHAnsi"/>
          <w:sz w:val="18"/>
          <w:szCs w:val="18"/>
        </w:rPr>
        <w:t>S</w:t>
      </w:r>
      <w:r>
        <w:rPr>
          <w:rFonts w:asciiTheme="minorHAnsi" w:hAnsiTheme="minorHAnsi" w:cstheme="minorHAnsi"/>
          <w:sz w:val="18"/>
          <w:szCs w:val="18"/>
        </w:rPr>
        <w:t xml:space="preserve">mall to </w:t>
      </w:r>
      <w:r w:rsidR="00632461">
        <w:rPr>
          <w:rFonts w:asciiTheme="minorHAnsi" w:hAnsiTheme="minorHAnsi" w:cstheme="minorHAnsi"/>
          <w:sz w:val="18"/>
          <w:szCs w:val="18"/>
        </w:rPr>
        <w:t>M</w:t>
      </w:r>
      <w:r>
        <w:rPr>
          <w:rFonts w:asciiTheme="minorHAnsi" w:hAnsiTheme="minorHAnsi" w:cstheme="minorHAnsi"/>
          <w:sz w:val="18"/>
          <w:szCs w:val="18"/>
        </w:rPr>
        <w:t xml:space="preserve">edium </w:t>
      </w:r>
      <w:r w:rsidR="00632461">
        <w:rPr>
          <w:rFonts w:asciiTheme="minorHAnsi" w:hAnsiTheme="minorHAnsi" w:cstheme="minorHAnsi"/>
          <w:sz w:val="18"/>
          <w:szCs w:val="18"/>
        </w:rPr>
        <w:t>E</w:t>
      </w:r>
      <w:r>
        <w:rPr>
          <w:rFonts w:asciiTheme="minorHAnsi" w:hAnsiTheme="minorHAnsi" w:cstheme="minorHAnsi"/>
          <w:sz w:val="18"/>
          <w:szCs w:val="18"/>
        </w:rPr>
        <w:t>nterprises</w:t>
      </w:r>
      <w:r w:rsidR="00632461">
        <w:rPr>
          <w:rFonts w:asciiTheme="minorHAnsi" w:hAnsiTheme="minorHAnsi" w:cstheme="minorHAnsi"/>
          <w:sz w:val="18"/>
          <w:szCs w:val="18"/>
        </w:rPr>
        <w:t xml:space="preserve"> (SMEs)</w:t>
      </w:r>
      <w:r>
        <w:rPr>
          <w:rFonts w:asciiTheme="minorHAnsi" w:hAnsiTheme="minorHAnsi" w:cstheme="minorHAnsi"/>
          <w:sz w:val="18"/>
          <w:szCs w:val="18"/>
        </w:rPr>
        <w:t xml:space="preserve"> that will be engaged as part of the contract. </w:t>
      </w:r>
    </w:p>
    <w:p w14:paraId="15C8F095" w14:textId="77777777" w:rsidR="000314CF" w:rsidRPr="000314CF" w:rsidRDefault="000314CF" w:rsidP="005118B4">
      <w:pPr>
        <w:pStyle w:val="ListParagraph"/>
        <w:ind w:left="1080"/>
        <w:jc w:val="both"/>
        <w:rPr>
          <w:rFonts w:asciiTheme="minorHAnsi" w:hAnsiTheme="minorHAnsi" w:cstheme="minorHAnsi"/>
          <w:sz w:val="18"/>
          <w:szCs w:val="18"/>
        </w:rPr>
      </w:pPr>
    </w:p>
    <w:p w14:paraId="6F3232ED" w14:textId="61CAC18F" w:rsidR="000314CF" w:rsidRPr="000314CF" w:rsidRDefault="00701534" w:rsidP="005118B4">
      <w:pPr>
        <w:numPr>
          <w:ilvl w:val="0"/>
          <w:numId w:val="8"/>
        </w:numPr>
        <w:spacing w:before="0"/>
        <w:ind w:left="360"/>
        <w:jc w:val="both"/>
        <w:rPr>
          <w:rFonts w:cs="Arial"/>
        </w:rPr>
      </w:pPr>
      <w:r w:rsidRPr="009E7215">
        <w:rPr>
          <w:rFonts w:cs="Arial"/>
        </w:rPr>
        <w:t xml:space="preserve">Agencies </w:t>
      </w:r>
      <w:r w:rsidR="003D7538" w:rsidRPr="006468C7">
        <w:rPr>
          <w:rFonts w:cs="Arial"/>
        </w:rPr>
        <w:t xml:space="preserve">and </w:t>
      </w:r>
      <w:r w:rsidR="007B3488">
        <w:rPr>
          <w:rFonts w:cs="Arial"/>
        </w:rPr>
        <w:t>DJPR</w:t>
      </w:r>
      <w:r w:rsidR="003D7538" w:rsidRPr="006468C7">
        <w:rPr>
          <w:rFonts w:cs="Arial"/>
        </w:rPr>
        <w:t xml:space="preserve"> </w:t>
      </w:r>
      <w:r w:rsidR="00EB4C5F">
        <w:rPr>
          <w:rFonts w:cs="Arial"/>
        </w:rPr>
        <w:t>have access to</w:t>
      </w:r>
      <w:r w:rsidRPr="004A0184">
        <w:rPr>
          <w:rFonts w:cs="Arial"/>
        </w:rPr>
        <w:t xml:space="preserve"> </w:t>
      </w:r>
      <w:r w:rsidR="003D7538" w:rsidRPr="00AD0A63">
        <w:rPr>
          <w:rFonts w:cs="Arial"/>
        </w:rPr>
        <w:t>the submitted LIDP</w:t>
      </w:r>
      <w:r w:rsidR="004D5D4C" w:rsidRPr="00170FF8">
        <w:rPr>
          <w:rFonts w:cs="Arial"/>
        </w:rPr>
        <w:t>s</w:t>
      </w:r>
      <w:r w:rsidR="003D7538" w:rsidRPr="00170FF8">
        <w:rPr>
          <w:rFonts w:cs="Arial"/>
        </w:rPr>
        <w:t xml:space="preserve">, </w:t>
      </w:r>
      <w:r w:rsidR="00B5557E">
        <w:rPr>
          <w:rFonts w:cs="Arial"/>
        </w:rPr>
        <w:t>Acknowledgement Letter</w:t>
      </w:r>
      <w:r w:rsidR="00675D62" w:rsidRPr="00722E9E">
        <w:rPr>
          <w:rFonts w:cs="Arial"/>
        </w:rPr>
        <w:t>s</w:t>
      </w:r>
      <w:r w:rsidRPr="00722E9E">
        <w:rPr>
          <w:rFonts w:cs="Arial"/>
        </w:rPr>
        <w:t xml:space="preserve">, </w:t>
      </w:r>
      <w:r w:rsidR="00631D46">
        <w:rPr>
          <w:rFonts w:cs="Arial"/>
        </w:rPr>
        <w:t>c</w:t>
      </w:r>
      <w:r w:rsidR="002138FB">
        <w:rPr>
          <w:rFonts w:cs="Arial"/>
        </w:rPr>
        <w:t>ontestability assessment</w:t>
      </w:r>
      <w:r w:rsidRPr="00722E9E">
        <w:rPr>
          <w:rFonts w:cs="Arial"/>
        </w:rPr>
        <w:t xml:space="preserve"> and </w:t>
      </w:r>
      <w:r w:rsidR="000D2B9D">
        <w:rPr>
          <w:rFonts w:cs="Arial"/>
        </w:rPr>
        <w:t xml:space="preserve">the </w:t>
      </w:r>
      <w:r w:rsidRPr="00722E9E">
        <w:rPr>
          <w:rFonts w:cs="Arial"/>
        </w:rPr>
        <w:t>ICN</w:t>
      </w:r>
      <w:r w:rsidR="008C59CA" w:rsidRPr="00722E9E">
        <w:rPr>
          <w:rFonts w:cs="Arial"/>
        </w:rPr>
        <w:t>’</w:t>
      </w:r>
      <w:r w:rsidRPr="00722E9E">
        <w:rPr>
          <w:rFonts w:cs="Arial"/>
        </w:rPr>
        <w:t xml:space="preserve">s </w:t>
      </w:r>
      <w:r w:rsidR="003A445E">
        <w:rPr>
          <w:rFonts w:cs="Arial"/>
          <w:szCs w:val="18"/>
        </w:rPr>
        <w:t>risk evaluation report</w:t>
      </w:r>
      <w:r w:rsidR="003A445E" w:rsidRPr="00A31BA5">
        <w:rPr>
          <w:rFonts w:cs="Arial"/>
          <w:szCs w:val="18"/>
        </w:rPr>
        <w:t xml:space="preserve"> </w:t>
      </w:r>
      <w:r w:rsidRPr="00722E9E">
        <w:rPr>
          <w:rFonts w:cs="Arial"/>
        </w:rPr>
        <w:t xml:space="preserve">from the VMC. </w:t>
      </w:r>
    </w:p>
    <w:p w14:paraId="22447553" w14:textId="5BD58BAC" w:rsidR="003D7538" w:rsidRDefault="000D2B9D" w:rsidP="005118B4">
      <w:pPr>
        <w:numPr>
          <w:ilvl w:val="0"/>
          <w:numId w:val="8"/>
        </w:numPr>
        <w:spacing w:before="0"/>
        <w:ind w:left="360"/>
        <w:contextualSpacing/>
        <w:jc w:val="both"/>
        <w:rPr>
          <w:rFonts w:cs="Arial"/>
        </w:rPr>
      </w:pPr>
      <w:r>
        <w:rPr>
          <w:rFonts w:cs="Arial"/>
        </w:rPr>
        <w:t xml:space="preserve">The </w:t>
      </w:r>
      <w:r w:rsidR="00701534" w:rsidRPr="00A00B17">
        <w:rPr>
          <w:rFonts w:cs="Arial"/>
        </w:rPr>
        <w:t>IC</w:t>
      </w:r>
      <w:r w:rsidR="003D7538">
        <w:rPr>
          <w:rFonts w:cs="Arial"/>
        </w:rPr>
        <w:t>N will acknowledge receipt of a</w:t>
      </w:r>
      <w:r w:rsidR="007337C3">
        <w:rPr>
          <w:rFonts w:cs="Arial"/>
        </w:rPr>
        <w:t>n</w:t>
      </w:r>
      <w:r w:rsidR="00701534" w:rsidRPr="00A00B17">
        <w:rPr>
          <w:rFonts w:cs="Arial"/>
        </w:rPr>
        <w:t xml:space="preserve"> </w:t>
      </w:r>
      <w:r w:rsidR="00D74E52">
        <w:rPr>
          <w:rFonts w:cs="Arial"/>
        </w:rPr>
        <w:t>LIDP</w:t>
      </w:r>
      <w:r w:rsidR="00997A34" w:rsidRPr="00A00B17">
        <w:rPr>
          <w:rFonts w:cs="Arial"/>
        </w:rPr>
        <w:t xml:space="preserve"> </w:t>
      </w:r>
      <w:r w:rsidR="00701534" w:rsidRPr="00A00B17">
        <w:rPr>
          <w:rFonts w:cs="Arial"/>
        </w:rPr>
        <w:t xml:space="preserve">and issue an </w:t>
      </w:r>
      <w:r w:rsidR="00B5557E">
        <w:rPr>
          <w:rFonts w:cs="Arial"/>
        </w:rPr>
        <w:t>Acknowledgement Letter</w:t>
      </w:r>
      <w:r w:rsidR="003D7538">
        <w:rPr>
          <w:rFonts w:cs="Arial"/>
        </w:rPr>
        <w:t xml:space="preserve"> to a bidder. </w:t>
      </w:r>
      <w:bookmarkStart w:id="38" w:name="_Hlk524333149"/>
      <w:r>
        <w:rPr>
          <w:rFonts w:cs="Arial"/>
        </w:rPr>
        <w:t xml:space="preserve">The </w:t>
      </w:r>
      <w:r w:rsidR="003D7538">
        <w:rPr>
          <w:rFonts w:cs="Arial"/>
        </w:rPr>
        <w:t xml:space="preserve">ICN will </w:t>
      </w:r>
      <w:r w:rsidR="003D7538" w:rsidRPr="00060EFA">
        <w:rPr>
          <w:rFonts w:cs="Arial"/>
          <w:u w:val="single"/>
        </w:rPr>
        <w:t>only</w:t>
      </w:r>
      <w:r w:rsidR="003D7538">
        <w:rPr>
          <w:rFonts w:cs="Arial"/>
        </w:rPr>
        <w:t xml:space="preserve"> issue the </w:t>
      </w:r>
      <w:r w:rsidR="00B5557E">
        <w:rPr>
          <w:rFonts w:cs="Arial"/>
        </w:rPr>
        <w:t>Acknowledgement Letter</w:t>
      </w:r>
      <w:r w:rsidR="00175DE9">
        <w:rPr>
          <w:rFonts w:cs="Arial"/>
        </w:rPr>
        <w:t xml:space="preserve"> </w:t>
      </w:r>
      <w:r w:rsidR="003D7538">
        <w:rPr>
          <w:rFonts w:cs="Arial"/>
        </w:rPr>
        <w:t>if:</w:t>
      </w:r>
    </w:p>
    <w:p w14:paraId="3755B437" w14:textId="74271F9F" w:rsidR="003D7538" w:rsidRPr="005D1253" w:rsidRDefault="00972EB5" w:rsidP="005118B4">
      <w:pPr>
        <w:pStyle w:val="ListParagraph"/>
        <w:numPr>
          <w:ilvl w:val="0"/>
          <w:numId w:val="6"/>
        </w:numPr>
        <w:ind w:left="1080"/>
        <w:jc w:val="both"/>
        <w:rPr>
          <w:rFonts w:asciiTheme="minorHAnsi" w:hAnsiTheme="minorHAnsi" w:cstheme="minorHAnsi"/>
          <w:sz w:val="18"/>
          <w:szCs w:val="18"/>
        </w:rPr>
      </w:pPr>
      <w:r w:rsidRPr="005D1253">
        <w:rPr>
          <w:rFonts w:asciiTheme="minorHAnsi" w:hAnsiTheme="minorHAnsi" w:cstheme="minorHAnsi"/>
          <w:sz w:val="18"/>
          <w:szCs w:val="18"/>
        </w:rPr>
        <w:t xml:space="preserve">all </w:t>
      </w:r>
      <w:r w:rsidR="003D7538" w:rsidRPr="005D1253">
        <w:rPr>
          <w:rFonts w:asciiTheme="minorHAnsi" w:hAnsiTheme="minorHAnsi" w:cstheme="minorHAnsi"/>
          <w:sz w:val="18"/>
          <w:szCs w:val="18"/>
        </w:rPr>
        <w:t xml:space="preserve">sections of the </w:t>
      </w:r>
      <w:r w:rsidR="00E53DB9">
        <w:rPr>
          <w:rFonts w:asciiTheme="minorHAnsi" w:hAnsiTheme="minorHAnsi" w:cstheme="minorHAnsi"/>
          <w:sz w:val="18"/>
          <w:szCs w:val="18"/>
        </w:rPr>
        <w:t>LIDP</w:t>
      </w:r>
      <w:r w:rsidR="003D7538" w:rsidRPr="005D1253">
        <w:rPr>
          <w:rFonts w:asciiTheme="minorHAnsi" w:hAnsiTheme="minorHAnsi" w:cstheme="minorHAnsi"/>
          <w:sz w:val="18"/>
          <w:szCs w:val="18"/>
        </w:rPr>
        <w:t xml:space="preserve"> are fully complete; </w:t>
      </w:r>
    </w:p>
    <w:p w14:paraId="6DEF6B42" w14:textId="30C1695D" w:rsidR="003D7538" w:rsidRPr="005D1253" w:rsidRDefault="00972EB5" w:rsidP="005118B4">
      <w:pPr>
        <w:pStyle w:val="ListParagraph"/>
        <w:numPr>
          <w:ilvl w:val="0"/>
          <w:numId w:val="6"/>
        </w:numPr>
        <w:ind w:left="1080"/>
        <w:jc w:val="both"/>
        <w:rPr>
          <w:rFonts w:asciiTheme="minorHAnsi" w:hAnsiTheme="minorHAnsi" w:cstheme="minorHAnsi"/>
          <w:sz w:val="18"/>
          <w:szCs w:val="18"/>
        </w:rPr>
      </w:pPr>
      <w:r w:rsidRPr="005D1253">
        <w:rPr>
          <w:rFonts w:asciiTheme="minorHAnsi" w:hAnsiTheme="minorHAnsi" w:cstheme="minorHAnsi"/>
          <w:sz w:val="18"/>
          <w:szCs w:val="18"/>
        </w:rPr>
        <w:t xml:space="preserve">the </w:t>
      </w:r>
      <w:r w:rsidR="00E53DB9">
        <w:rPr>
          <w:rFonts w:asciiTheme="minorHAnsi" w:hAnsiTheme="minorHAnsi" w:cstheme="minorHAnsi"/>
          <w:sz w:val="18"/>
          <w:szCs w:val="18"/>
        </w:rPr>
        <w:t>LIDP</w:t>
      </w:r>
      <w:r w:rsidR="003D7538" w:rsidRPr="005D1253">
        <w:rPr>
          <w:rFonts w:asciiTheme="minorHAnsi" w:hAnsiTheme="minorHAnsi" w:cstheme="minorHAnsi"/>
          <w:sz w:val="18"/>
          <w:szCs w:val="18"/>
        </w:rPr>
        <w:t xml:space="preserve"> has been submitted </w:t>
      </w:r>
      <w:r w:rsidR="00701534" w:rsidRPr="005D1253">
        <w:rPr>
          <w:rFonts w:asciiTheme="minorHAnsi" w:hAnsiTheme="minorHAnsi" w:cstheme="minorHAnsi"/>
          <w:sz w:val="18"/>
          <w:szCs w:val="18"/>
        </w:rPr>
        <w:t>within the specified tender timeframe</w:t>
      </w:r>
      <w:r w:rsidR="004D5D4C" w:rsidRPr="005D1253">
        <w:rPr>
          <w:rFonts w:asciiTheme="minorHAnsi" w:hAnsiTheme="minorHAnsi" w:cstheme="minorHAnsi"/>
          <w:sz w:val="18"/>
          <w:szCs w:val="18"/>
        </w:rPr>
        <w:t>; and</w:t>
      </w:r>
    </w:p>
    <w:p w14:paraId="14F2B58B" w14:textId="39867E2B" w:rsidR="003D7538" w:rsidRDefault="00972EB5" w:rsidP="005118B4">
      <w:pPr>
        <w:pStyle w:val="ListParagraph"/>
        <w:numPr>
          <w:ilvl w:val="0"/>
          <w:numId w:val="6"/>
        </w:numPr>
        <w:ind w:left="1080"/>
        <w:jc w:val="both"/>
        <w:rPr>
          <w:rFonts w:asciiTheme="minorHAnsi" w:hAnsiTheme="minorHAnsi" w:cstheme="minorHAnsi"/>
          <w:sz w:val="18"/>
          <w:szCs w:val="18"/>
        </w:rPr>
      </w:pPr>
      <w:r w:rsidRPr="005D1253">
        <w:rPr>
          <w:rFonts w:asciiTheme="minorHAnsi" w:hAnsiTheme="minorHAnsi" w:cstheme="minorHAnsi"/>
          <w:sz w:val="18"/>
          <w:szCs w:val="18"/>
        </w:rPr>
        <w:t xml:space="preserve">the </w:t>
      </w:r>
      <w:r w:rsidR="00015FE1" w:rsidRPr="005D1253">
        <w:rPr>
          <w:rFonts w:asciiTheme="minorHAnsi" w:hAnsiTheme="minorHAnsi" w:cstheme="minorHAnsi"/>
          <w:sz w:val="18"/>
          <w:szCs w:val="18"/>
        </w:rPr>
        <w:t>Statutory</w:t>
      </w:r>
      <w:r w:rsidR="003D7538" w:rsidRPr="005D1253">
        <w:rPr>
          <w:rFonts w:asciiTheme="minorHAnsi" w:hAnsiTheme="minorHAnsi" w:cstheme="minorHAnsi"/>
          <w:sz w:val="18"/>
          <w:szCs w:val="18"/>
        </w:rPr>
        <w:t xml:space="preserve"> Declaration and </w:t>
      </w:r>
      <w:r w:rsidR="00015FE1" w:rsidRPr="005D1253">
        <w:rPr>
          <w:rFonts w:asciiTheme="minorHAnsi" w:hAnsiTheme="minorHAnsi" w:cstheme="minorHAnsi"/>
          <w:sz w:val="18"/>
          <w:szCs w:val="18"/>
        </w:rPr>
        <w:t xml:space="preserve">all </w:t>
      </w:r>
      <w:r w:rsidR="003D7538" w:rsidRPr="005D1253">
        <w:rPr>
          <w:rFonts w:asciiTheme="minorHAnsi" w:hAnsiTheme="minorHAnsi" w:cstheme="minorHAnsi"/>
          <w:sz w:val="18"/>
          <w:szCs w:val="18"/>
        </w:rPr>
        <w:t>other conditions</w:t>
      </w:r>
      <w:r w:rsidR="00015FE1" w:rsidRPr="005D1253">
        <w:rPr>
          <w:rFonts w:asciiTheme="minorHAnsi" w:hAnsiTheme="minorHAnsi" w:cstheme="minorHAnsi"/>
          <w:sz w:val="18"/>
          <w:szCs w:val="18"/>
        </w:rPr>
        <w:t xml:space="preserve"> </w:t>
      </w:r>
      <w:r w:rsidR="003D7538" w:rsidRPr="005D1253">
        <w:rPr>
          <w:rFonts w:asciiTheme="minorHAnsi" w:hAnsiTheme="minorHAnsi" w:cstheme="minorHAnsi"/>
          <w:sz w:val="18"/>
          <w:szCs w:val="18"/>
        </w:rPr>
        <w:t>are agreed</w:t>
      </w:r>
      <w:r w:rsidR="00015FE1" w:rsidRPr="005D1253">
        <w:rPr>
          <w:rFonts w:asciiTheme="minorHAnsi" w:hAnsiTheme="minorHAnsi" w:cstheme="minorHAnsi"/>
          <w:sz w:val="18"/>
          <w:szCs w:val="18"/>
        </w:rPr>
        <w:t>, including monitoring, reporting, auditing and compliance</w:t>
      </w:r>
      <w:r w:rsidR="003D7538" w:rsidRPr="005D1253">
        <w:rPr>
          <w:rFonts w:asciiTheme="minorHAnsi" w:hAnsiTheme="minorHAnsi" w:cstheme="minorHAnsi"/>
          <w:sz w:val="18"/>
          <w:szCs w:val="18"/>
        </w:rPr>
        <w:t>.</w:t>
      </w:r>
    </w:p>
    <w:p w14:paraId="77A30099" w14:textId="77777777" w:rsidR="00FB7FF2" w:rsidRPr="005D1253" w:rsidRDefault="00FB7FF2" w:rsidP="005118B4">
      <w:pPr>
        <w:pStyle w:val="ListParagraph"/>
        <w:ind w:left="1080"/>
        <w:jc w:val="both"/>
        <w:rPr>
          <w:rFonts w:asciiTheme="minorHAnsi" w:hAnsiTheme="minorHAnsi" w:cstheme="minorHAnsi"/>
          <w:sz w:val="18"/>
          <w:szCs w:val="18"/>
        </w:rPr>
      </w:pPr>
    </w:p>
    <w:bookmarkEnd w:id="38"/>
    <w:p w14:paraId="3E2B64FF" w14:textId="21011178" w:rsidR="00701534" w:rsidRDefault="00701534" w:rsidP="005118B4">
      <w:pPr>
        <w:numPr>
          <w:ilvl w:val="0"/>
          <w:numId w:val="8"/>
        </w:numPr>
        <w:spacing w:before="0"/>
        <w:ind w:left="360"/>
        <w:jc w:val="both"/>
        <w:rPr>
          <w:rFonts w:cs="Arial"/>
        </w:rPr>
      </w:pPr>
      <w:r w:rsidRPr="00A00B17">
        <w:rPr>
          <w:rFonts w:cs="Arial"/>
        </w:rPr>
        <w:t>The ICN will also provide a</w:t>
      </w:r>
      <w:r w:rsidR="00533D58">
        <w:rPr>
          <w:rFonts w:cs="Arial"/>
        </w:rPr>
        <w:t>n</w:t>
      </w:r>
      <w:r w:rsidRPr="00A00B17">
        <w:rPr>
          <w:rFonts w:cs="Arial"/>
        </w:rPr>
        <w:t xml:space="preserve"> </w:t>
      </w:r>
      <w:r w:rsidR="003D0FEF">
        <w:rPr>
          <w:rFonts w:cs="Arial"/>
        </w:rPr>
        <w:t xml:space="preserve">LJF </w:t>
      </w:r>
      <w:r w:rsidRPr="00A00B17">
        <w:rPr>
          <w:rFonts w:cs="Arial"/>
        </w:rPr>
        <w:t xml:space="preserve">risk </w:t>
      </w:r>
      <w:r w:rsidR="00631D46">
        <w:rPr>
          <w:rFonts w:cs="Arial"/>
        </w:rPr>
        <w:t xml:space="preserve">evaluation </w:t>
      </w:r>
      <w:r w:rsidR="003D0FEF">
        <w:rPr>
          <w:rFonts w:cs="Arial"/>
        </w:rPr>
        <w:t>report</w:t>
      </w:r>
      <w:r w:rsidRPr="00A00B17">
        <w:rPr>
          <w:rFonts w:cs="Arial"/>
        </w:rPr>
        <w:t xml:space="preserve"> </w:t>
      </w:r>
      <w:r w:rsidR="00D92D7E">
        <w:rPr>
          <w:rFonts w:cs="Arial"/>
        </w:rPr>
        <w:t xml:space="preserve">to the </w:t>
      </w:r>
      <w:r w:rsidRPr="00A00B17">
        <w:rPr>
          <w:rFonts w:cs="Arial"/>
        </w:rPr>
        <w:t xml:space="preserve">agency, </w:t>
      </w:r>
      <w:r w:rsidR="0076703E">
        <w:rPr>
          <w:rFonts w:cs="Arial"/>
        </w:rPr>
        <w:t>after a specified time form the tender close date</w:t>
      </w:r>
      <w:r w:rsidR="003D7538">
        <w:rPr>
          <w:rFonts w:cs="Arial"/>
        </w:rPr>
        <w:t xml:space="preserve">, to </w:t>
      </w:r>
      <w:r w:rsidR="00B9188E">
        <w:rPr>
          <w:rFonts w:cs="Arial"/>
        </w:rPr>
        <w:t>hel</w:t>
      </w:r>
      <w:r w:rsidR="00937E8B">
        <w:rPr>
          <w:rFonts w:cs="Arial"/>
        </w:rPr>
        <w:t>p</w:t>
      </w:r>
      <w:r w:rsidR="00B9188E">
        <w:rPr>
          <w:rFonts w:cs="Arial"/>
        </w:rPr>
        <w:t xml:space="preserve"> </w:t>
      </w:r>
      <w:r w:rsidR="003D7538">
        <w:rPr>
          <w:rFonts w:cs="Arial"/>
        </w:rPr>
        <w:t>the agency with the tender evaluation process.</w:t>
      </w:r>
    </w:p>
    <w:p w14:paraId="1BDD249A" w14:textId="2FF17C76" w:rsidR="005644AD" w:rsidRDefault="005644AD" w:rsidP="005118B4">
      <w:pPr>
        <w:numPr>
          <w:ilvl w:val="0"/>
          <w:numId w:val="8"/>
        </w:numPr>
        <w:spacing w:before="0"/>
        <w:ind w:left="360"/>
        <w:jc w:val="both"/>
        <w:rPr>
          <w:rFonts w:cs="Arial"/>
          <w:lang w:val="en-US"/>
        </w:rPr>
      </w:pPr>
      <w:r w:rsidRPr="00363528">
        <w:rPr>
          <w:rFonts w:cs="Arial"/>
          <w:lang w:val="en-US"/>
        </w:rPr>
        <w:t xml:space="preserve">The </w:t>
      </w:r>
      <w:r w:rsidR="00D92D7E">
        <w:rPr>
          <w:rFonts w:cs="Arial"/>
          <w:lang w:val="en-US"/>
        </w:rPr>
        <w:t>ICN</w:t>
      </w:r>
      <w:r w:rsidRPr="00363528">
        <w:rPr>
          <w:rFonts w:cs="Arial"/>
          <w:lang w:val="en-US"/>
        </w:rPr>
        <w:t xml:space="preserve"> will rate a bidder’s likelihood of achieving the commitments on a scale of High Risk, Medium Risk and Low Risk. The </w:t>
      </w:r>
      <w:r w:rsidR="001C6CAA">
        <w:rPr>
          <w:rFonts w:cs="Arial"/>
          <w:lang w:val="en-US"/>
        </w:rPr>
        <w:t>r</w:t>
      </w:r>
      <w:r w:rsidRPr="00363528">
        <w:rPr>
          <w:rFonts w:cs="Arial"/>
          <w:lang w:val="en-US"/>
        </w:rPr>
        <w:t xml:space="preserve">isk </w:t>
      </w:r>
      <w:r w:rsidR="001C6CAA">
        <w:rPr>
          <w:rFonts w:cs="Arial"/>
          <w:lang w:val="en-US"/>
        </w:rPr>
        <w:t>r</w:t>
      </w:r>
      <w:r w:rsidRPr="00363528">
        <w:rPr>
          <w:rFonts w:cs="Arial"/>
          <w:lang w:val="en-US"/>
        </w:rPr>
        <w:t>ating reflect</w:t>
      </w:r>
      <w:r w:rsidR="001C6CAA">
        <w:rPr>
          <w:rFonts w:cs="Arial"/>
          <w:lang w:val="en-US"/>
        </w:rPr>
        <w:t>s</w:t>
      </w:r>
      <w:r w:rsidRPr="00363528">
        <w:rPr>
          <w:rFonts w:cs="Arial"/>
          <w:lang w:val="en-US"/>
        </w:rPr>
        <w:t xml:space="preserve"> </w:t>
      </w:r>
      <w:r>
        <w:rPr>
          <w:rFonts w:cs="Arial"/>
          <w:lang w:val="en-US"/>
        </w:rPr>
        <w:t xml:space="preserve">the </w:t>
      </w:r>
      <w:r w:rsidRPr="00363528">
        <w:rPr>
          <w:rFonts w:cs="Arial"/>
          <w:lang w:val="en-US"/>
        </w:rPr>
        <w:t>IC</w:t>
      </w:r>
      <w:r>
        <w:rPr>
          <w:rFonts w:cs="Arial"/>
          <w:lang w:val="en-US"/>
        </w:rPr>
        <w:t>N</w:t>
      </w:r>
      <w:r w:rsidRPr="00363528">
        <w:rPr>
          <w:rFonts w:cs="Arial"/>
          <w:lang w:val="en-US"/>
        </w:rPr>
        <w:t xml:space="preserve">’s evaluation of the risk a bidder has in not meeting their stated commitments. </w:t>
      </w:r>
      <w:r w:rsidR="000D2B9D">
        <w:rPr>
          <w:rFonts w:cs="Arial"/>
          <w:lang w:val="en-US"/>
        </w:rPr>
        <w:t xml:space="preserve">The </w:t>
      </w:r>
      <w:r>
        <w:rPr>
          <w:rFonts w:cs="Arial"/>
          <w:lang w:val="en-US"/>
        </w:rPr>
        <w:t xml:space="preserve">ICN will draw on their industry experience and internal benchmarking when making these determinations. </w:t>
      </w:r>
    </w:p>
    <w:p w14:paraId="21CE59C3" w14:textId="1A895F49" w:rsidR="003D7538" w:rsidRDefault="00701534" w:rsidP="005118B4">
      <w:pPr>
        <w:numPr>
          <w:ilvl w:val="0"/>
          <w:numId w:val="8"/>
        </w:numPr>
        <w:spacing w:before="0"/>
        <w:ind w:left="360"/>
        <w:jc w:val="both"/>
        <w:rPr>
          <w:rFonts w:cs="Arial"/>
        </w:rPr>
      </w:pPr>
      <w:r w:rsidRPr="00A00B17">
        <w:rPr>
          <w:rFonts w:cs="Arial"/>
        </w:rPr>
        <w:t xml:space="preserve">The ICN will inform a bidder and the agency in writing if the bidder’s LIDP has been </w:t>
      </w:r>
      <w:r w:rsidR="0076703E">
        <w:rPr>
          <w:rFonts w:cs="Arial"/>
        </w:rPr>
        <w:t>deemed non-compliant due to incompleteness or inaccessible information being provided. When this happens, a non-compliance letter will be issued instead</w:t>
      </w:r>
      <w:r w:rsidR="001C6CAA">
        <w:rPr>
          <w:rFonts w:cs="Arial"/>
        </w:rPr>
        <w:t>.</w:t>
      </w:r>
      <w:r w:rsidRPr="00A00B17">
        <w:rPr>
          <w:rFonts w:cs="Arial"/>
        </w:rPr>
        <w:t xml:space="preserve"> </w:t>
      </w:r>
    </w:p>
    <w:p w14:paraId="0456607D" w14:textId="665B1B8C" w:rsidR="00851C9A" w:rsidRDefault="00851C9A" w:rsidP="005118B4">
      <w:pPr>
        <w:numPr>
          <w:ilvl w:val="0"/>
          <w:numId w:val="8"/>
        </w:numPr>
        <w:spacing w:before="0"/>
        <w:ind w:left="360"/>
        <w:jc w:val="both"/>
        <w:rPr>
          <w:rFonts w:cs="Arial"/>
        </w:rPr>
      </w:pPr>
      <w:r w:rsidRPr="00A00B17">
        <w:rPr>
          <w:rFonts w:cs="Arial"/>
        </w:rPr>
        <w:t xml:space="preserve">A tender </w:t>
      </w:r>
      <w:r>
        <w:rPr>
          <w:rFonts w:cs="Arial"/>
        </w:rPr>
        <w:t xml:space="preserve">proposal </w:t>
      </w:r>
      <w:r w:rsidRPr="00A00B17">
        <w:rPr>
          <w:rFonts w:cs="Arial"/>
        </w:rPr>
        <w:t xml:space="preserve">is not complete without an ICN </w:t>
      </w:r>
      <w:r w:rsidR="00E53DB9">
        <w:rPr>
          <w:rFonts w:cs="Arial"/>
        </w:rPr>
        <w:t>A</w:t>
      </w:r>
      <w:r w:rsidRPr="00A00B17">
        <w:rPr>
          <w:rFonts w:cs="Arial"/>
        </w:rPr>
        <w:t>cknowledg</w:t>
      </w:r>
      <w:r w:rsidR="00E53DB9">
        <w:rPr>
          <w:rFonts w:cs="Arial"/>
        </w:rPr>
        <w:t>e</w:t>
      </w:r>
      <w:r w:rsidRPr="00A00B17">
        <w:rPr>
          <w:rFonts w:cs="Arial"/>
        </w:rPr>
        <w:t xml:space="preserve">ment </w:t>
      </w:r>
      <w:r w:rsidR="00E53DB9">
        <w:rPr>
          <w:rFonts w:cs="Arial"/>
        </w:rPr>
        <w:t>L</w:t>
      </w:r>
      <w:r w:rsidRPr="00A00B17">
        <w:rPr>
          <w:rFonts w:cs="Arial"/>
        </w:rPr>
        <w:t>etter</w:t>
      </w:r>
      <w:r w:rsidR="00384697">
        <w:rPr>
          <w:rFonts w:cs="Arial"/>
        </w:rPr>
        <w:t>, which is provided via email</w:t>
      </w:r>
      <w:r w:rsidR="006E38C0">
        <w:rPr>
          <w:rFonts w:cs="Arial"/>
        </w:rPr>
        <w:t>.</w:t>
      </w:r>
      <w:r w:rsidR="00384697">
        <w:rPr>
          <w:rFonts w:cs="Arial"/>
        </w:rPr>
        <w:t xml:space="preserve"> </w:t>
      </w:r>
      <w:r w:rsidRPr="00A00B17">
        <w:rPr>
          <w:rFonts w:cs="Arial"/>
        </w:rPr>
        <w:t>This would mean the end of the procurement process for the bidder</w:t>
      </w:r>
      <w:r>
        <w:rPr>
          <w:rFonts w:cs="Arial"/>
        </w:rPr>
        <w:t>.</w:t>
      </w:r>
    </w:p>
    <w:p w14:paraId="6EA1B4FC" w14:textId="22E94D65" w:rsidR="00C1407E" w:rsidRPr="00096A4D" w:rsidRDefault="00353D54" w:rsidP="00060EFA">
      <w:pPr>
        <w:spacing w:before="0"/>
        <w:jc w:val="both"/>
        <w:rPr>
          <w:rFonts w:cs="Arial"/>
        </w:rPr>
      </w:pPr>
      <w:r w:rsidRPr="003E3110">
        <w:rPr>
          <w:rFonts w:asciiTheme="minorHAnsi" w:hAnsiTheme="minorHAnsi" w:cstheme="minorHAnsi"/>
          <w:noProof/>
          <w:szCs w:val="18"/>
        </w:rPr>
        <w:lastRenderedPageBreak/>
        <mc:AlternateContent>
          <mc:Choice Requires="wps">
            <w:drawing>
              <wp:inline distT="0" distB="0" distL="0" distR="0" wp14:anchorId="72A80D6C" wp14:editId="22044F00">
                <wp:extent cx="6248400" cy="3069203"/>
                <wp:effectExtent l="0" t="0" r="1905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69203"/>
                        </a:xfrm>
                        <a:prstGeom prst="rect">
                          <a:avLst/>
                        </a:prstGeom>
                        <a:solidFill>
                          <a:srgbClr val="FFFFFF"/>
                        </a:solidFill>
                        <a:ln w="9525">
                          <a:solidFill>
                            <a:srgbClr val="000000"/>
                          </a:solidFill>
                          <a:miter lim="800000"/>
                          <a:headEnd/>
                          <a:tailEnd/>
                        </a:ln>
                      </wps:spPr>
                      <wps:txbx>
                        <w:txbxContent>
                          <w:p w14:paraId="364FA5CF" w14:textId="77777777" w:rsidR="00DE4B66" w:rsidRDefault="00DE4B66" w:rsidP="00060EFA">
                            <w:pPr>
                              <w:jc w:val="center"/>
                            </w:pPr>
                            <w:r w:rsidRPr="00060EFA">
                              <w:t xml:space="preserve">Agencies must register projects on </w:t>
                            </w:r>
                            <w:r>
                              <w:t xml:space="preserve">the </w:t>
                            </w:r>
                            <w:r w:rsidRPr="00060EFA">
                              <w:t xml:space="preserve">Victorian Local Jobs First Management Centre </w:t>
                            </w:r>
                            <w:r>
                              <w:t xml:space="preserve">(VMC) </w:t>
                            </w:r>
                            <w:r w:rsidRPr="00060EFA">
                              <w:t xml:space="preserve">prior to the release of tender documents. </w:t>
                            </w:r>
                          </w:p>
                          <w:p w14:paraId="2898CAA6" w14:textId="77777777" w:rsidR="00DE4B66" w:rsidRDefault="00DE4B66" w:rsidP="00060EFA">
                            <w:pPr>
                              <w:jc w:val="center"/>
                            </w:pPr>
                            <w:r>
                              <w:t xml:space="preserve">The </w:t>
                            </w:r>
                            <w:r w:rsidRPr="00060EFA">
                              <w:t>I</w:t>
                            </w:r>
                            <w:r>
                              <w:t xml:space="preserve">ndustry </w:t>
                            </w:r>
                            <w:r w:rsidRPr="00060EFA">
                              <w:t>C</w:t>
                            </w:r>
                            <w:r>
                              <w:t xml:space="preserve">apability </w:t>
                            </w:r>
                            <w:r w:rsidRPr="00060EFA">
                              <w:t>N</w:t>
                            </w:r>
                            <w:r>
                              <w:t>etwork (ICN)</w:t>
                            </w:r>
                            <w:r w:rsidRPr="00060EFA">
                              <w:t xml:space="preserve"> will notify agencies of a project’s contestability.</w:t>
                            </w:r>
                          </w:p>
                          <w:p w14:paraId="08A3019F" w14:textId="77777777" w:rsidR="00DE4B66" w:rsidRDefault="00DE4B66" w:rsidP="00060EFA">
                            <w:pPr>
                              <w:jc w:val="center"/>
                            </w:pPr>
                            <w:r w:rsidRPr="00060EFA">
                              <w:t>Agencies must notify prospective bidders of L</w:t>
                            </w:r>
                            <w:r>
                              <w:t xml:space="preserve">ocal </w:t>
                            </w:r>
                            <w:r w:rsidRPr="00060EFA">
                              <w:t>J</w:t>
                            </w:r>
                            <w:r>
                              <w:t xml:space="preserve">obs </w:t>
                            </w:r>
                            <w:r w:rsidRPr="00060EFA">
                              <w:t>F</w:t>
                            </w:r>
                            <w:r>
                              <w:t>irst</w:t>
                            </w:r>
                            <w:r w:rsidRPr="00060EFA">
                              <w:t xml:space="preserve"> requirements within tender documents.  </w:t>
                            </w:r>
                          </w:p>
                          <w:p w14:paraId="7081F6E4" w14:textId="70D14E39" w:rsidR="00DE4B66" w:rsidRDefault="00DE4B66" w:rsidP="00060EFA">
                            <w:pPr>
                              <w:jc w:val="center"/>
                            </w:pPr>
                            <w:r w:rsidRPr="00060EFA">
                              <w:t xml:space="preserve">A </w:t>
                            </w:r>
                            <w:r w:rsidRPr="003A7BF6">
                              <w:rPr>
                                <w:b/>
                              </w:rPr>
                              <w:t>L</w:t>
                            </w:r>
                            <w:r>
                              <w:rPr>
                                <w:b/>
                              </w:rPr>
                              <w:t xml:space="preserve">ocal </w:t>
                            </w:r>
                            <w:r w:rsidRPr="003A7BF6">
                              <w:rPr>
                                <w:b/>
                              </w:rPr>
                              <w:t>I</w:t>
                            </w:r>
                            <w:r>
                              <w:rPr>
                                <w:b/>
                              </w:rPr>
                              <w:t xml:space="preserve">ndustry </w:t>
                            </w:r>
                            <w:r w:rsidRPr="003A7BF6">
                              <w:rPr>
                                <w:b/>
                              </w:rPr>
                              <w:t>D</w:t>
                            </w:r>
                            <w:r>
                              <w:rPr>
                                <w:b/>
                              </w:rPr>
                              <w:t xml:space="preserve">evelopment </w:t>
                            </w:r>
                            <w:r w:rsidRPr="003A7BF6">
                              <w:rPr>
                                <w:b/>
                              </w:rPr>
                              <w:t>P</w:t>
                            </w:r>
                            <w:r>
                              <w:rPr>
                                <w:b/>
                              </w:rPr>
                              <w:t>lan (LIDP)</w:t>
                            </w:r>
                            <w:r w:rsidRPr="00060EFA">
                              <w:t xml:space="preserve"> must be provided by bidders </w:t>
                            </w:r>
                            <w:r>
                              <w:t xml:space="preserve">to be eligible </w:t>
                            </w:r>
                            <w:r w:rsidRPr="00060EFA">
                              <w:t>for any project subject to L</w:t>
                            </w:r>
                            <w:r>
                              <w:t xml:space="preserve">ocal </w:t>
                            </w:r>
                            <w:r w:rsidRPr="00060EFA">
                              <w:t>J</w:t>
                            </w:r>
                            <w:r>
                              <w:t xml:space="preserve">obs </w:t>
                            </w:r>
                            <w:r w:rsidRPr="00060EFA">
                              <w:t>F</w:t>
                            </w:r>
                            <w:r>
                              <w:t>irst</w:t>
                            </w:r>
                            <w:r w:rsidRPr="00060EFA">
                              <w:t xml:space="preserve">. </w:t>
                            </w:r>
                          </w:p>
                          <w:p w14:paraId="44E989A1" w14:textId="71ED4B40" w:rsidR="00DE4B66" w:rsidRDefault="00DE4B66" w:rsidP="00060EFA">
                            <w:pPr>
                              <w:jc w:val="center"/>
                              <w:rPr>
                                <w:rFonts w:cs="Arial"/>
                                <w:szCs w:val="18"/>
                                <w:lang w:eastAsia="en-AU"/>
                              </w:rPr>
                            </w:pPr>
                            <w:r>
                              <w:t xml:space="preserve">The ICN can assist suppliers in completing an LIDP. </w:t>
                            </w:r>
                            <w:r w:rsidRPr="00B8527F">
                              <w:t>The LIDP review function and identification of local goods and services and other assistance functions are administered by the ICN separately from one another. This is for reasons of probity and privacy.</w:t>
                            </w:r>
                            <w:r>
                              <w:rPr>
                                <w:rFonts w:cs="Arial"/>
                                <w:szCs w:val="18"/>
                                <w:lang w:eastAsia="en-AU"/>
                              </w:rPr>
                              <w:t xml:space="preserve"> Agencies are</w:t>
                            </w:r>
                            <w:r w:rsidRPr="001856B3">
                              <w:rPr>
                                <w:rFonts w:cs="Arial"/>
                                <w:szCs w:val="18"/>
                                <w:lang w:eastAsia="en-AU"/>
                              </w:rPr>
                              <w:t xml:space="preserve"> required to report on</w:t>
                            </w:r>
                            <w:r>
                              <w:rPr>
                                <w:rFonts w:cs="Arial"/>
                                <w:szCs w:val="18"/>
                                <w:lang w:eastAsia="en-AU"/>
                              </w:rPr>
                              <w:t xml:space="preserve"> Local Jobs First outcomes, including </w:t>
                            </w:r>
                            <w:r w:rsidRPr="001856B3">
                              <w:rPr>
                                <w:rFonts w:cs="Arial"/>
                                <w:szCs w:val="18"/>
                                <w:lang w:eastAsia="en-AU"/>
                              </w:rPr>
                              <w:t xml:space="preserve">local content </w:t>
                            </w:r>
                            <w:r>
                              <w:rPr>
                                <w:rFonts w:cs="Arial"/>
                                <w:szCs w:val="18"/>
                                <w:lang w:eastAsia="en-AU"/>
                              </w:rPr>
                              <w:t>and jobs to be delivered on the project and actual achievements, irrespective of the contestability assessment</w:t>
                            </w:r>
                            <w:r w:rsidRPr="001856B3">
                              <w:rPr>
                                <w:rFonts w:cs="Arial"/>
                                <w:szCs w:val="18"/>
                                <w:lang w:eastAsia="en-AU"/>
                              </w:rPr>
                              <w:t>.</w:t>
                            </w:r>
                          </w:p>
                          <w:p w14:paraId="4713A800" w14:textId="4E419986" w:rsidR="00DE4B66" w:rsidRDefault="00DE4B66" w:rsidP="00096A4D">
                            <w:pPr>
                              <w:jc w:val="center"/>
                            </w:pPr>
                            <w:r>
                              <w:t xml:space="preserve">The </w:t>
                            </w:r>
                            <w:r w:rsidRPr="00060EFA">
                              <w:t xml:space="preserve">ICN will issue an </w:t>
                            </w:r>
                            <w:r w:rsidR="00B5557E">
                              <w:t>Acknowledgement Letter</w:t>
                            </w:r>
                            <w:r w:rsidRPr="00060EFA">
                              <w:t xml:space="preserve"> to a bidder if the </w:t>
                            </w:r>
                            <w:r>
                              <w:t>LIDP</w:t>
                            </w:r>
                            <w:r w:rsidRPr="00060EFA">
                              <w:t xml:space="preserve"> has been completed properly and submitted on time</w:t>
                            </w:r>
                            <w:r>
                              <w:t>.</w:t>
                            </w:r>
                          </w:p>
                          <w:p w14:paraId="5820F1F3" w14:textId="0848AC95" w:rsidR="00DE4B66" w:rsidRDefault="00DE4B66" w:rsidP="00096A4D">
                            <w:pPr>
                              <w:jc w:val="center"/>
                              <w:rPr>
                                <w:b/>
                              </w:rPr>
                            </w:pPr>
                            <w:r>
                              <w:t>The ICN</w:t>
                            </w:r>
                            <w:r w:rsidRPr="00060EFA">
                              <w:t xml:space="preserve"> </w:t>
                            </w:r>
                            <w:r>
                              <w:t xml:space="preserve">will </w:t>
                            </w:r>
                            <w:r w:rsidRPr="00060EFA">
                              <w:t>provide a</w:t>
                            </w:r>
                            <w:r w:rsidR="00CD39AF">
                              <w:t>n</w:t>
                            </w:r>
                            <w:r w:rsidRPr="00060EFA">
                              <w:t xml:space="preserve"> </w:t>
                            </w:r>
                            <w:r w:rsidRPr="008D1DDF">
                              <w:t xml:space="preserve">LJF risk evaluation report </w:t>
                            </w:r>
                            <w:r w:rsidRPr="00060EFA">
                              <w:t xml:space="preserve">to the agency to </w:t>
                            </w:r>
                            <w:r>
                              <w:t>help</w:t>
                            </w:r>
                            <w:r w:rsidRPr="00060EFA">
                              <w:t xml:space="preserve"> the agency with the tender evaluation process.</w:t>
                            </w:r>
                            <w:r>
                              <w:rPr>
                                <w:b/>
                              </w:rPr>
                              <w:t xml:space="preserve"> </w:t>
                            </w:r>
                          </w:p>
                          <w:p w14:paraId="02EED671" w14:textId="62DB14B7" w:rsidR="00DE4B66" w:rsidRPr="00060EFA" w:rsidRDefault="00DE4B66" w:rsidP="00096A4D">
                            <w:pPr>
                              <w:jc w:val="center"/>
                              <w:rPr>
                                <w:b/>
                              </w:rPr>
                            </w:pPr>
                            <w:r w:rsidRPr="003A7BF6">
                              <w:rPr>
                                <w:b/>
                              </w:rPr>
                              <w:t xml:space="preserve">A tender proposal is not complete without an ICN </w:t>
                            </w:r>
                            <w:r w:rsidR="00B5557E">
                              <w:rPr>
                                <w:b/>
                              </w:rPr>
                              <w:t>Acknowledgement Letter</w:t>
                            </w:r>
                            <w:r w:rsidRPr="003A7BF6">
                              <w:rPr>
                                <w:b/>
                              </w:rPr>
                              <w:t>.</w:t>
                            </w:r>
                            <w:r>
                              <w:rPr>
                                <w:b/>
                              </w:rPr>
                              <w:t xml:space="preserve"> </w:t>
                            </w:r>
                          </w:p>
                          <w:p w14:paraId="26E31C9F" w14:textId="77777777" w:rsidR="00DE4B66" w:rsidRPr="00373787" w:rsidRDefault="00DE4B66" w:rsidP="00060EFA">
                            <w:pPr>
                              <w:jc w:val="center"/>
                            </w:pPr>
                          </w:p>
                        </w:txbxContent>
                      </wps:txbx>
                      <wps:bodyPr rot="0" vert="horz" wrap="square" lIns="91440" tIns="45720" rIns="91440" bIns="45720" anchor="t" anchorCtr="0">
                        <a:noAutofit/>
                      </wps:bodyPr>
                    </wps:wsp>
                  </a:graphicData>
                </a:graphic>
              </wp:inline>
            </w:drawing>
          </mc:Choice>
          <mc:Fallback>
            <w:pict>
              <v:shape w14:anchorId="72A80D6C" id="Text Box 2" o:spid="_x0000_s1027" type="#_x0000_t202" style="width:492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Re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">
                <v:textbox>
                  <w:txbxContent>
                    <w:p w14:paraId="364FA5CF" w14:textId="77777777" w:rsidR="00DE4B66" w:rsidRDefault="00DE4B66" w:rsidP="00060EFA">
                      <w:pPr>
                        <w:jc w:val="center"/>
                      </w:pPr>
                      <w:r w:rsidRPr="00060EFA">
                        <w:t xml:space="preserve">Agencies must register projects on </w:t>
                      </w:r>
                      <w:r>
                        <w:t xml:space="preserve">the </w:t>
                      </w:r>
                      <w:r w:rsidRPr="00060EFA">
                        <w:t xml:space="preserve">Victorian Local Jobs First Management Centre </w:t>
                      </w:r>
                      <w:r>
                        <w:t xml:space="preserve">(VMC) </w:t>
                      </w:r>
                      <w:r w:rsidRPr="00060EFA">
                        <w:t xml:space="preserve">prior to the release of tender documents. </w:t>
                      </w:r>
                    </w:p>
                    <w:p w14:paraId="2898CAA6" w14:textId="77777777" w:rsidR="00DE4B66" w:rsidRDefault="00DE4B66" w:rsidP="00060EFA">
                      <w:pPr>
                        <w:jc w:val="center"/>
                      </w:pPr>
                      <w:r>
                        <w:t xml:space="preserve">The </w:t>
                      </w:r>
                      <w:r w:rsidRPr="00060EFA">
                        <w:t>I</w:t>
                      </w:r>
                      <w:r>
                        <w:t xml:space="preserve">ndustry </w:t>
                      </w:r>
                      <w:r w:rsidRPr="00060EFA">
                        <w:t>C</w:t>
                      </w:r>
                      <w:r>
                        <w:t xml:space="preserve">apability </w:t>
                      </w:r>
                      <w:r w:rsidRPr="00060EFA">
                        <w:t>N</w:t>
                      </w:r>
                      <w:r>
                        <w:t>etwork (ICN)</w:t>
                      </w:r>
                      <w:r w:rsidRPr="00060EFA">
                        <w:t xml:space="preserve"> will notify agencies of a project’s contestability.</w:t>
                      </w:r>
                    </w:p>
                    <w:p w14:paraId="08A3019F" w14:textId="77777777" w:rsidR="00DE4B66" w:rsidRDefault="00DE4B66" w:rsidP="00060EFA">
                      <w:pPr>
                        <w:jc w:val="center"/>
                      </w:pPr>
                      <w:r w:rsidRPr="00060EFA">
                        <w:t>Agencies must notify prospective bidders of L</w:t>
                      </w:r>
                      <w:r>
                        <w:t xml:space="preserve">ocal </w:t>
                      </w:r>
                      <w:r w:rsidRPr="00060EFA">
                        <w:t>J</w:t>
                      </w:r>
                      <w:r>
                        <w:t xml:space="preserve">obs </w:t>
                      </w:r>
                      <w:r w:rsidRPr="00060EFA">
                        <w:t>F</w:t>
                      </w:r>
                      <w:r>
                        <w:t>irst</w:t>
                      </w:r>
                      <w:r w:rsidRPr="00060EFA">
                        <w:t xml:space="preserve"> requirements within tender documents.  </w:t>
                      </w:r>
                    </w:p>
                    <w:p w14:paraId="7081F6E4" w14:textId="70D14E39" w:rsidR="00DE4B66" w:rsidRDefault="00DE4B66" w:rsidP="00060EFA">
                      <w:pPr>
                        <w:jc w:val="center"/>
                      </w:pPr>
                      <w:r w:rsidRPr="00060EFA">
                        <w:t xml:space="preserve">A </w:t>
                      </w:r>
                      <w:r w:rsidRPr="003A7BF6">
                        <w:rPr>
                          <w:b/>
                        </w:rPr>
                        <w:t>L</w:t>
                      </w:r>
                      <w:r>
                        <w:rPr>
                          <w:b/>
                        </w:rPr>
                        <w:t xml:space="preserve">ocal </w:t>
                      </w:r>
                      <w:r w:rsidRPr="003A7BF6">
                        <w:rPr>
                          <w:b/>
                        </w:rPr>
                        <w:t>I</w:t>
                      </w:r>
                      <w:r>
                        <w:rPr>
                          <w:b/>
                        </w:rPr>
                        <w:t xml:space="preserve">ndustry </w:t>
                      </w:r>
                      <w:r w:rsidRPr="003A7BF6">
                        <w:rPr>
                          <w:b/>
                        </w:rPr>
                        <w:t>D</w:t>
                      </w:r>
                      <w:r>
                        <w:rPr>
                          <w:b/>
                        </w:rPr>
                        <w:t xml:space="preserve">evelopment </w:t>
                      </w:r>
                      <w:r w:rsidRPr="003A7BF6">
                        <w:rPr>
                          <w:b/>
                        </w:rPr>
                        <w:t>P</w:t>
                      </w:r>
                      <w:r>
                        <w:rPr>
                          <w:b/>
                        </w:rPr>
                        <w:t>lan (LIDP)</w:t>
                      </w:r>
                      <w:r w:rsidRPr="00060EFA">
                        <w:t xml:space="preserve"> must be provided by bidders </w:t>
                      </w:r>
                      <w:r>
                        <w:t xml:space="preserve">to be eligible </w:t>
                      </w:r>
                      <w:r w:rsidRPr="00060EFA">
                        <w:t>for any project subject to L</w:t>
                      </w:r>
                      <w:r>
                        <w:t xml:space="preserve">ocal </w:t>
                      </w:r>
                      <w:r w:rsidRPr="00060EFA">
                        <w:t>J</w:t>
                      </w:r>
                      <w:r>
                        <w:t xml:space="preserve">obs </w:t>
                      </w:r>
                      <w:r w:rsidRPr="00060EFA">
                        <w:t>F</w:t>
                      </w:r>
                      <w:r>
                        <w:t>irst</w:t>
                      </w:r>
                      <w:r w:rsidRPr="00060EFA">
                        <w:t xml:space="preserve">. </w:t>
                      </w:r>
                    </w:p>
                    <w:p w14:paraId="44E989A1" w14:textId="71ED4B40" w:rsidR="00DE4B66" w:rsidRDefault="00DE4B66" w:rsidP="00060EFA">
                      <w:pPr>
                        <w:jc w:val="center"/>
                        <w:rPr>
                          <w:rFonts w:cs="Arial"/>
                          <w:szCs w:val="18"/>
                          <w:lang w:eastAsia="en-AU"/>
                        </w:rPr>
                      </w:pPr>
                      <w:r>
                        <w:t xml:space="preserve">The ICN can assist suppliers in completing an LIDP. </w:t>
                      </w:r>
                      <w:r w:rsidRPr="00B8527F">
                        <w:t>The LIDP review function and identification of local goods and services and other assistance functions are administered by the ICN separately from one another. This is for reasons of probity and privacy.</w:t>
                      </w:r>
                      <w:r>
                        <w:rPr>
                          <w:rFonts w:cs="Arial"/>
                          <w:szCs w:val="18"/>
                          <w:lang w:eastAsia="en-AU"/>
                        </w:rPr>
                        <w:t xml:space="preserve"> Agencies are</w:t>
                      </w:r>
                      <w:r w:rsidRPr="001856B3">
                        <w:rPr>
                          <w:rFonts w:cs="Arial"/>
                          <w:szCs w:val="18"/>
                          <w:lang w:eastAsia="en-AU"/>
                        </w:rPr>
                        <w:t xml:space="preserve"> required to report on</w:t>
                      </w:r>
                      <w:r>
                        <w:rPr>
                          <w:rFonts w:cs="Arial"/>
                          <w:szCs w:val="18"/>
                          <w:lang w:eastAsia="en-AU"/>
                        </w:rPr>
                        <w:t xml:space="preserve"> Local Jobs First outcomes, including </w:t>
                      </w:r>
                      <w:r w:rsidRPr="001856B3">
                        <w:rPr>
                          <w:rFonts w:cs="Arial"/>
                          <w:szCs w:val="18"/>
                          <w:lang w:eastAsia="en-AU"/>
                        </w:rPr>
                        <w:t xml:space="preserve">local content </w:t>
                      </w:r>
                      <w:r>
                        <w:rPr>
                          <w:rFonts w:cs="Arial"/>
                          <w:szCs w:val="18"/>
                          <w:lang w:eastAsia="en-AU"/>
                        </w:rPr>
                        <w:t>and jobs to be delivered on the project and actual achievements, irrespective of the contestability assessment</w:t>
                      </w:r>
                      <w:r w:rsidRPr="001856B3">
                        <w:rPr>
                          <w:rFonts w:cs="Arial"/>
                          <w:szCs w:val="18"/>
                          <w:lang w:eastAsia="en-AU"/>
                        </w:rPr>
                        <w:t>.</w:t>
                      </w:r>
                    </w:p>
                    <w:p w14:paraId="4713A800" w14:textId="4E419986" w:rsidR="00DE4B66" w:rsidRDefault="00DE4B66" w:rsidP="00096A4D">
                      <w:pPr>
                        <w:jc w:val="center"/>
                      </w:pPr>
                      <w:r>
                        <w:t xml:space="preserve">The </w:t>
                      </w:r>
                      <w:r w:rsidRPr="00060EFA">
                        <w:t xml:space="preserve">ICN will issue an </w:t>
                      </w:r>
                      <w:r w:rsidR="00B5557E">
                        <w:t>Acknowledgement Letter</w:t>
                      </w:r>
                      <w:r w:rsidRPr="00060EFA">
                        <w:t xml:space="preserve"> to a bidder if the </w:t>
                      </w:r>
                      <w:r>
                        <w:t>LIDP</w:t>
                      </w:r>
                      <w:r w:rsidRPr="00060EFA">
                        <w:t xml:space="preserve"> has been completed properly and submitted on time</w:t>
                      </w:r>
                      <w:r>
                        <w:t>.</w:t>
                      </w:r>
                    </w:p>
                    <w:p w14:paraId="5820F1F3" w14:textId="0848AC95" w:rsidR="00DE4B66" w:rsidRDefault="00DE4B66" w:rsidP="00096A4D">
                      <w:pPr>
                        <w:jc w:val="center"/>
                        <w:rPr>
                          <w:b/>
                        </w:rPr>
                      </w:pPr>
                      <w:r>
                        <w:t>The ICN</w:t>
                      </w:r>
                      <w:r w:rsidRPr="00060EFA">
                        <w:t xml:space="preserve"> </w:t>
                      </w:r>
                      <w:r>
                        <w:t xml:space="preserve">will </w:t>
                      </w:r>
                      <w:r w:rsidRPr="00060EFA">
                        <w:t>provide a</w:t>
                      </w:r>
                      <w:r w:rsidR="00CD39AF">
                        <w:t>n</w:t>
                      </w:r>
                      <w:r w:rsidRPr="00060EFA">
                        <w:t xml:space="preserve"> </w:t>
                      </w:r>
                      <w:r w:rsidRPr="008D1DDF">
                        <w:t xml:space="preserve">LJF risk evaluation report </w:t>
                      </w:r>
                      <w:r w:rsidRPr="00060EFA">
                        <w:t xml:space="preserve">to the agency to </w:t>
                      </w:r>
                      <w:r>
                        <w:t>help</w:t>
                      </w:r>
                      <w:r w:rsidRPr="00060EFA">
                        <w:t xml:space="preserve"> the agency with the tender evaluation process.</w:t>
                      </w:r>
                      <w:r>
                        <w:rPr>
                          <w:b/>
                        </w:rPr>
                        <w:t xml:space="preserve"> </w:t>
                      </w:r>
                    </w:p>
                    <w:p w14:paraId="02EED671" w14:textId="62DB14B7" w:rsidR="00DE4B66" w:rsidRPr="00060EFA" w:rsidRDefault="00DE4B66" w:rsidP="00096A4D">
                      <w:pPr>
                        <w:jc w:val="center"/>
                        <w:rPr>
                          <w:b/>
                        </w:rPr>
                      </w:pPr>
                      <w:r w:rsidRPr="003A7BF6">
                        <w:rPr>
                          <w:b/>
                        </w:rPr>
                        <w:t xml:space="preserve">A tender proposal is not complete without an ICN </w:t>
                      </w:r>
                      <w:r w:rsidR="00B5557E">
                        <w:rPr>
                          <w:b/>
                        </w:rPr>
                        <w:t>Acknowledgement Letter</w:t>
                      </w:r>
                      <w:r w:rsidRPr="003A7BF6">
                        <w:rPr>
                          <w:b/>
                        </w:rPr>
                        <w:t>.</w:t>
                      </w:r>
                      <w:r>
                        <w:rPr>
                          <w:b/>
                        </w:rPr>
                        <w:t xml:space="preserve"> </w:t>
                      </w:r>
                    </w:p>
                    <w:p w14:paraId="26E31C9F" w14:textId="77777777" w:rsidR="00DE4B66" w:rsidRPr="00373787" w:rsidRDefault="00DE4B66" w:rsidP="00060EFA">
                      <w:pPr>
                        <w:jc w:val="center"/>
                      </w:pPr>
                    </w:p>
                  </w:txbxContent>
                </v:textbox>
                <w10:anchorlock/>
              </v:shape>
            </w:pict>
          </mc:Fallback>
        </mc:AlternateContent>
      </w:r>
      <w:r w:rsidR="00701534" w:rsidRPr="00A00B17">
        <w:rPr>
          <w:rFonts w:cs="Arial"/>
        </w:rPr>
        <w:t xml:space="preserve"> </w:t>
      </w:r>
      <w:bookmarkStart w:id="39" w:name="_Toc516042391"/>
    </w:p>
    <w:p w14:paraId="4CA91E89" w14:textId="7E6350A4" w:rsidR="00701534" w:rsidRPr="00865235" w:rsidRDefault="00701534" w:rsidP="00865235">
      <w:pPr>
        <w:rPr>
          <w:b/>
          <w:sz w:val="20"/>
        </w:rPr>
      </w:pPr>
      <w:r w:rsidRPr="00865235">
        <w:rPr>
          <w:b/>
          <w:sz w:val="20"/>
        </w:rPr>
        <w:t xml:space="preserve">Step </w:t>
      </w:r>
      <w:r w:rsidR="00015FE1" w:rsidRPr="00865235">
        <w:rPr>
          <w:b/>
          <w:sz w:val="20"/>
        </w:rPr>
        <w:t>5</w:t>
      </w:r>
      <w:r w:rsidRPr="00865235">
        <w:rPr>
          <w:b/>
          <w:sz w:val="20"/>
        </w:rPr>
        <w:t xml:space="preserve"> – Final tender evaluation and consideration of LIDP </w:t>
      </w:r>
      <w:bookmarkEnd w:id="39"/>
    </w:p>
    <w:p w14:paraId="0F053DDF" w14:textId="2497CFE1" w:rsidR="00701534" w:rsidRPr="00AE74D9" w:rsidRDefault="003D7538" w:rsidP="005118B4">
      <w:pPr>
        <w:numPr>
          <w:ilvl w:val="0"/>
          <w:numId w:val="8"/>
        </w:numPr>
        <w:spacing w:before="0"/>
        <w:ind w:left="360"/>
        <w:jc w:val="both"/>
        <w:rPr>
          <w:rFonts w:cs="Arial"/>
        </w:rPr>
      </w:pPr>
      <w:r>
        <w:rPr>
          <w:rFonts w:cs="Arial"/>
        </w:rPr>
        <w:t>B</w:t>
      </w:r>
      <w:r w:rsidR="00701534" w:rsidRPr="00AE74D9">
        <w:rPr>
          <w:rFonts w:cs="Arial"/>
        </w:rPr>
        <w:t xml:space="preserve">idders </w:t>
      </w:r>
      <w:r w:rsidR="00BD4F55">
        <w:rPr>
          <w:rFonts w:cs="Arial"/>
        </w:rPr>
        <w:t>must</w:t>
      </w:r>
      <w:r w:rsidR="00701534" w:rsidRPr="00AE74D9">
        <w:rPr>
          <w:rFonts w:cs="Arial"/>
        </w:rPr>
        <w:t xml:space="preserve"> submit their </w:t>
      </w:r>
      <w:r w:rsidR="00701534" w:rsidRPr="00AB658B">
        <w:rPr>
          <w:rFonts w:cs="Arial"/>
        </w:rPr>
        <w:t xml:space="preserve">LIDP </w:t>
      </w:r>
      <w:r w:rsidR="00701534" w:rsidRPr="00AE74D9">
        <w:rPr>
          <w:rFonts w:cs="Arial"/>
        </w:rPr>
        <w:t xml:space="preserve">and ICN </w:t>
      </w:r>
      <w:r w:rsidR="00B5557E">
        <w:rPr>
          <w:rFonts w:cs="Arial"/>
        </w:rPr>
        <w:t>Acknowledgement Letter</w:t>
      </w:r>
      <w:r w:rsidR="00701534" w:rsidRPr="00AE74D9">
        <w:rPr>
          <w:rFonts w:cs="Arial"/>
        </w:rPr>
        <w:t xml:space="preserve"> to the agency</w:t>
      </w:r>
      <w:r w:rsidR="009A46F0">
        <w:rPr>
          <w:rFonts w:cs="Arial"/>
        </w:rPr>
        <w:t>.</w:t>
      </w:r>
      <w:r w:rsidR="00701534" w:rsidRPr="00AE74D9">
        <w:rPr>
          <w:rFonts w:cs="Arial"/>
        </w:rPr>
        <w:t xml:space="preserve"> Only bidders with</w:t>
      </w:r>
      <w:r w:rsidR="006D1627">
        <w:rPr>
          <w:rFonts w:cs="Arial"/>
        </w:rPr>
        <w:t xml:space="preserve"> an</w:t>
      </w:r>
      <w:r w:rsidR="00701534" w:rsidRPr="00AE74D9">
        <w:rPr>
          <w:rFonts w:cs="Arial"/>
        </w:rPr>
        <w:t xml:space="preserve"> </w:t>
      </w:r>
      <w:r w:rsidR="003426D6" w:rsidRPr="00AE74D9">
        <w:rPr>
          <w:rFonts w:cs="Arial"/>
        </w:rPr>
        <w:t xml:space="preserve">ICN </w:t>
      </w:r>
      <w:r w:rsidR="003426D6">
        <w:rPr>
          <w:rFonts w:cs="Arial"/>
        </w:rPr>
        <w:t>acknowledged</w:t>
      </w:r>
      <w:r w:rsidR="00701534" w:rsidRPr="00AE74D9">
        <w:rPr>
          <w:rFonts w:cs="Arial"/>
        </w:rPr>
        <w:t xml:space="preserve"> </w:t>
      </w:r>
      <w:r w:rsidR="00701534" w:rsidRPr="00AB658B">
        <w:rPr>
          <w:rFonts w:cs="Arial"/>
        </w:rPr>
        <w:t xml:space="preserve">LIDP </w:t>
      </w:r>
      <w:r w:rsidR="00701534" w:rsidRPr="00AE74D9">
        <w:rPr>
          <w:rFonts w:cs="Arial"/>
        </w:rPr>
        <w:t xml:space="preserve">may be considered by the </w:t>
      </w:r>
      <w:r w:rsidR="009A46F0">
        <w:rPr>
          <w:rFonts w:cs="Arial"/>
        </w:rPr>
        <w:t>agency</w:t>
      </w:r>
      <w:r w:rsidR="00937E8B">
        <w:rPr>
          <w:rFonts w:cs="Arial"/>
        </w:rPr>
        <w:t xml:space="preserve"> </w:t>
      </w:r>
      <w:r w:rsidR="00710D87">
        <w:rPr>
          <w:rFonts w:cs="Arial"/>
        </w:rPr>
        <w:t>during</w:t>
      </w:r>
      <w:r w:rsidR="00710D87" w:rsidRPr="00AE74D9">
        <w:rPr>
          <w:rFonts w:cs="Arial"/>
        </w:rPr>
        <w:t xml:space="preserve"> </w:t>
      </w:r>
      <w:r w:rsidR="00701534" w:rsidRPr="00AE74D9">
        <w:rPr>
          <w:rFonts w:cs="Arial"/>
        </w:rPr>
        <w:t>selecti</w:t>
      </w:r>
      <w:r w:rsidR="00710D87">
        <w:rPr>
          <w:rFonts w:cs="Arial"/>
        </w:rPr>
        <w:t>on of</w:t>
      </w:r>
      <w:r w:rsidR="00701534" w:rsidRPr="00AE74D9">
        <w:rPr>
          <w:rFonts w:cs="Arial"/>
        </w:rPr>
        <w:t xml:space="preserve"> the preferred </w:t>
      </w:r>
      <w:r w:rsidR="00FD6EB0">
        <w:rPr>
          <w:rFonts w:cs="Arial"/>
        </w:rPr>
        <w:t>bidder.</w:t>
      </w:r>
      <w:r w:rsidR="00701534" w:rsidRPr="00AE74D9">
        <w:rPr>
          <w:rFonts w:cs="Arial"/>
        </w:rPr>
        <w:t xml:space="preserve"> </w:t>
      </w:r>
    </w:p>
    <w:p w14:paraId="57234E28" w14:textId="0FF51C1D" w:rsidR="00701534" w:rsidRPr="00096A4D" w:rsidRDefault="00701534" w:rsidP="005118B4">
      <w:pPr>
        <w:numPr>
          <w:ilvl w:val="0"/>
          <w:numId w:val="8"/>
        </w:numPr>
        <w:spacing w:before="0"/>
        <w:ind w:left="360"/>
        <w:jc w:val="both"/>
        <w:rPr>
          <w:rFonts w:cs="Arial"/>
        </w:rPr>
      </w:pPr>
      <w:r w:rsidRPr="00096A4D">
        <w:rPr>
          <w:rFonts w:cs="Arial"/>
        </w:rPr>
        <w:t xml:space="preserve">The agency must use the </w:t>
      </w:r>
      <w:r w:rsidR="00BD4F55" w:rsidRPr="00096A4D">
        <w:rPr>
          <w:rFonts w:cs="Arial"/>
        </w:rPr>
        <w:t>LJF</w:t>
      </w:r>
      <w:r w:rsidR="00D94FFD" w:rsidRPr="00096A4D">
        <w:rPr>
          <w:rFonts w:cs="Arial"/>
        </w:rPr>
        <w:t xml:space="preserve"> </w:t>
      </w:r>
      <w:r w:rsidR="001C6CAA" w:rsidRPr="00096A4D">
        <w:rPr>
          <w:rFonts w:cs="Arial"/>
        </w:rPr>
        <w:t>r</w:t>
      </w:r>
      <w:r w:rsidR="00B102D3" w:rsidRPr="00096A4D">
        <w:rPr>
          <w:rFonts w:cs="Arial"/>
        </w:rPr>
        <w:t xml:space="preserve">isk </w:t>
      </w:r>
      <w:r w:rsidR="003D0FEF" w:rsidRPr="00096A4D">
        <w:rPr>
          <w:rFonts w:cs="Arial"/>
        </w:rPr>
        <w:t>evaluation report</w:t>
      </w:r>
      <w:r w:rsidR="00B102D3" w:rsidRPr="00096A4D">
        <w:rPr>
          <w:rFonts w:cs="Arial"/>
        </w:rPr>
        <w:t xml:space="preserve"> </w:t>
      </w:r>
      <w:r w:rsidR="0076703E">
        <w:rPr>
          <w:rFonts w:cs="Arial"/>
        </w:rPr>
        <w:t>completed</w:t>
      </w:r>
      <w:r w:rsidR="0082166A" w:rsidRPr="00096A4D">
        <w:rPr>
          <w:rFonts w:cs="Arial"/>
        </w:rPr>
        <w:t xml:space="preserve"> by the ICN </w:t>
      </w:r>
      <w:r w:rsidR="003D7538" w:rsidRPr="00096A4D">
        <w:rPr>
          <w:rFonts w:cs="Arial"/>
        </w:rPr>
        <w:t>in the tender evaluation process</w:t>
      </w:r>
      <w:r w:rsidR="00384697" w:rsidRPr="00096A4D">
        <w:rPr>
          <w:rFonts w:cs="Arial"/>
        </w:rPr>
        <w:t xml:space="preserve"> </w:t>
      </w:r>
      <w:r w:rsidR="00BD4F55" w:rsidRPr="00096A4D">
        <w:rPr>
          <w:rFonts w:cs="Arial"/>
        </w:rPr>
        <w:t xml:space="preserve">for </w:t>
      </w:r>
      <w:r w:rsidR="003D7538" w:rsidRPr="00096A4D">
        <w:rPr>
          <w:rFonts w:cs="Arial"/>
        </w:rPr>
        <w:t>bidder short-listing and selection</w:t>
      </w:r>
      <w:r w:rsidR="000C2059" w:rsidRPr="00096A4D">
        <w:rPr>
          <w:rFonts w:cs="Arial"/>
        </w:rPr>
        <w:t>.</w:t>
      </w:r>
    </w:p>
    <w:p w14:paraId="07462B18" w14:textId="231927D2" w:rsidR="00015FE1" w:rsidRDefault="00701534" w:rsidP="005118B4">
      <w:pPr>
        <w:numPr>
          <w:ilvl w:val="0"/>
          <w:numId w:val="8"/>
        </w:numPr>
        <w:spacing w:before="0"/>
        <w:ind w:left="360"/>
        <w:jc w:val="both"/>
        <w:rPr>
          <w:rFonts w:cs="Arial"/>
        </w:rPr>
      </w:pPr>
      <w:r w:rsidRPr="00BD4F55">
        <w:rPr>
          <w:rFonts w:cs="Arial"/>
        </w:rPr>
        <w:t>During the tender evaluation</w:t>
      </w:r>
      <w:r w:rsidR="00BD4F55" w:rsidRPr="00BD4F55">
        <w:rPr>
          <w:rFonts w:cs="Arial"/>
        </w:rPr>
        <w:t xml:space="preserve"> process</w:t>
      </w:r>
      <w:r w:rsidRPr="00BD4F55">
        <w:rPr>
          <w:rFonts w:cs="Arial"/>
        </w:rPr>
        <w:t xml:space="preserve">, the agency should </w:t>
      </w:r>
      <w:r w:rsidR="00BD4F55" w:rsidRPr="00BD4F55">
        <w:rPr>
          <w:rFonts w:cs="Arial"/>
        </w:rPr>
        <w:t xml:space="preserve">assure themselves of the LIDP commitments and </w:t>
      </w:r>
      <w:r w:rsidRPr="00BD4F55">
        <w:rPr>
          <w:rFonts w:cs="Arial"/>
        </w:rPr>
        <w:t xml:space="preserve">address with the bidders any </w:t>
      </w:r>
      <w:r w:rsidR="00BD4F55" w:rsidRPr="00BD4F55">
        <w:rPr>
          <w:rFonts w:cs="Arial"/>
        </w:rPr>
        <w:t xml:space="preserve">issues of concern with the LIDPs, including </w:t>
      </w:r>
      <w:r w:rsidRPr="00BD4F55">
        <w:rPr>
          <w:rFonts w:cs="Arial"/>
        </w:rPr>
        <w:t xml:space="preserve">risks identified in the </w:t>
      </w:r>
      <w:r w:rsidR="003D0FEF" w:rsidRPr="003D0FEF">
        <w:rPr>
          <w:rFonts w:cs="Arial"/>
        </w:rPr>
        <w:t>LJF risk evaluation report</w:t>
      </w:r>
      <w:r w:rsidRPr="00BD4F55">
        <w:rPr>
          <w:rFonts w:cs="Arial"/>
        </w:rPr>
        <w:t xml:space="preserve">. </w:t>
      </w:r>
      <w:r w:rsidR="00205765" w:rsidRPr="005118B4">
        <w:rPr>
          <w:rFonts w:cs="Arial"/>
          <w:b/>
        </w:rPr>
        <w:t>Agencies may request bidders re-submit an LIDP</w:t>
      </w:r>
      <w:r w:rsidR="00205765">
        <w:rPr>
          <w:rFonts w:cs="Arial"/>
        </w:rPr>
        <w:t xml:space="preserve">. </w:t>
      </w:r>
      <w:r w:rsidR="002534D7">
        <w:rPr>
          <w:rFonts w:cs="Arial"/>
        </w:rPr>
        <w:t>I</w:t>
      </w:r>
      <w:r w:rsidRPr="00BD4F55">
        <w:rPr>
          <w:rFonts w:cs="Arial"/>
        </w:rPr>
        <w:t xml:space="preserve">t must be revised and resubmitted to </w:t>
      </w:r>
      <w:r w:rsidR="000D2B9D">
        <w:rPr>
          <w:rFonts w:cs="Arial"/>
        </w:rPr>
        <w:t xml:space="preserve">the </w:t>
      </w:r>
      <w:r w:rsidRPr="00BD4F55">
        <w:rPr>
          <w:rFonts w:cs="Arial"/>
        </w:rPr>
        <w:t>ICN for acknowledg</w:t>
      </w:r>
      <w:r w:rsidR="00E53DB9">
        <w:rPr>
          <w:rFonts w:cs="Arial"/>
        </w:rPr>
        <w:t>e</w:t>
      </w:r>
      <w:r w:rsidRPr="00BD4F55">
        <w:rPr>
          <w:rFonts w:cs="Arial"/>
        </w:rPr>
        <w:t>ment through the VMC</w:t>
      </w:r>
      <w:r w:rsidR="00851C9A">
        <w:rPr>
          <w:rFonts w:cs="Arial"/>
        </w:rPr>
        <w:t>, and subsequent reassessment by the ICN and agency</w:t>
      </w:r>
      <w:r w:rsidRPr="00BD4F55">
        <w:rPr>
          <w:rFonts w:cs="Arial"/>
        </w:rPr>
        <w:t xml:space="preserve">. </w:t>
      </w:r>
    </w:p>
    <w:p w14:paraId="29EFE20E" w14:textId="227A5BD1" w:rsidR="00701534" w:rsidRDefault="00701534" w:rsidP="005118B4">
      <w:pPr>
        <w:numPr>
          <w:ilvl w:val="0"/>
          <w:numId w:val="8"/>
        </w:numPr>
        <w:spacing w:before="0"/>
        <w:ind w:left="360"/>
        <w:jc w:val="both"/>
        <w:rPr>
          <w:rFonts w:cs="Arial"/>
        </w:rPr>
      </w:pPr>
      <w:r w:rsidRPr="00BD4F55">
        <w:rPr>
          <w:rFonts w:cs="Arial"/>
        </w:rPr>
        <w:t xml:space="preserve">The </w:t>
      </w:r>
      <w:r w:rsidR="00BD4F55" w:rsidRPr="00BD4F55">
        <w:rPr>
          <w:rFonts w:cs="Arial"/>
        </w:rPr>
        <w:t xml:space="preserve">agency’s project </w:t>
      </w:r>
      <w:r w:rsidRPr="00BD4F55">
        <w:rPr>
          <w:rFonts w:cs="Arial"/>
        </w:rPr>
        <w:t xml:space="preserve">manager must notify </w:t>
      </w:r>
      <w:r w:rsidR="00BD4F55" w:rsidRPr="00BD4F55">
        <w:rPr>
          <w:rFonts w:cs="Arial"/>
        </w:rPr>
        <w:t xml:space="preserve">the </w:t>
      </w:r>
      <w:r w:rsidRPr="00BD4F55">
        <w:rPr>
          <w:rFonts w:cs="Arial"/>
        </w:rPr>
        <w:t>ICN</w:t>
      </w:r>
      <w:r w:rsidR="005644AD">
        <w:rPr>
          <w:rFonts w:cs="Arial"/>
        </w:rPr>
        <w:t xml:space="preserve"> through the VMC </w:t>
      </w:r>
      <w:r w:rsidRPr="00BD4F55">
        <w:rPr>
          <w:rFonts w:cs="Arial"/>
        </w:rPr>
        <w:t xml:space="preserve">that a bidder is </w:t>
      </w:r>
      <w:r w:rsidR="005644AD">
        <w:rPr>
          <w:rFonts w:cs="Arial"/>
        </w:rPr>
        <w:t xml:space="preserve">going to re-submit </w:t>
      </w:r>
      <w:r w:rsidRPr="00BD4F55">
        <w:rPr>
          <w:rFonts w:cs="Arial"/>
        </w:rPr>
        <w:t xml:space="preserve">their </w:t>
      </w:r>
      <w:r w:rsidR="00BD4F55" w:rsidRPr="00BD4F55">
        <w:rPr>
          <w:rFonts w:cs="Arial"/>
        </w:rPr>
        <w:t>LIDP</w:t>
      </w:r>
      <w:r w:rsidR="00B76E57">
        <w:rPr>
          <w:rFonts w:cs="Arial"/>
        </w:rPr>
        <w:t xml:space="preserve">. Once a plan is re-submitted, it will go through the same process for </w:t>
      </w:r>
      <w:r w:rsidR="00192EAE">
        <w:rPr>
          <w:rFonts w:cs="Arial"/>
        </w:rPr>
        <w:t xml:space="preserve">an </w:t>
      </w:r>
      <w:r w:rsidR="00B5557E">
        <w:rPr>
          <w:rFonts w:cs="Arial"/>
        </w:rPr>
        <w:t>Acknowledgement Letter</w:t>
      </w:r>
      <w:r w:rsidR="00B76E57">
        <w:rPr>
          <w:rFonts w:cs="Arial"/>
        </w:rPr>
        <w:t xml:space="preserve"> and evaluation.</w:t>
      </w:r>
    </w:p>
    <w:p w14:paraId="3330BD43" w14:textId="5881D315" w:rsidR="002243BC" w:rsidRDefault="002243BC" w:rsidP="005118B4">
      <w:pPr>
        <w:numPr>
          <w:ilvl w:val="0"/>
          <w:numId w:val="8"/>
        </w:numPr>
        <w:spacing w:before="0"/>
        <w:ind w:left="360"/>
        <w:jc w:val="both"/>
        <w:rPr>
          <w:rFonts w:cs="Arial"/>
        </w:rPr>
      </w:pPr>
      <w:r>
        <w:rPr>
          <w:rFonts w:cs="Arial"/>
        </w:rPr>
        <w:t xml:space="preserve">Instances requiring re-submission may cover </w:t>
      </w:r>
      <w:r w:rsidR="00594167">
        <w:rPr>
          <w:rFonts w:cs="Arial"/>
        </w:rPr>
        <w:t xml:space="preserve">instances where mistakes have been identified or further clarification is required to provide assurance to the agency a specific supplier will able to meet their stated commitments. </w:t>
      </w:r>
    </w:p>
    <w:p w14:paraId="078BBF59" w14:textId="1B546467" w:rsidR="006208DB" w:rsidRDefault="006208DB" w:rsidP="005118B4">
      <w:pPr>
        <w:numPr>
          <w:ilvl w:val="0"/>
          <w:numId w:val="8"/>
        </w:numPr>
        <w:spacing w:before="0"/>
        <w:ind w:left="360"/>
        <w:jc w:val="both"/>
        <w:rPr>
          <w:rFonts w:cs="Arial"/>
        </w:rPr>
      </w:pPr>
      <w:r>
        <w:rPr>
          <w:rFonts w:cs="Arial"/>
        </w:rPr>
        <w:t>Any re-submissions must be compliant with</w:t>
      </w:r>
      <w:r w:rsidR="00566441">
        <w:rPr>
          <w:rFonts w:cs="Arial"/>
        </w:rPr>
        <w:t xml:space="preserve"> an</w:t>
      </w:r>
      <w:r>
        <w:rPr>
          <w:rFonts w:cs="Arial"/>
        </w:rPr>
        <w:t xml:space="preserve"> agency’s own probity rules and regulations. </w:t>
      </w:r>
    </w:p>
    <w:p w14:paraId="5BD261FE" w14:textId="0F9C8DE6" w:rsidR="006F5241" w:rsidRPr="00636236" w:rsidRDefault="006F5241" w:rsidP="00636236">
      <w:pPr>
        <w:rPr>
          <w:b/>
          <w:sz w:val="20"/>
        </w:rPr>
      </w:pPr>
      <w:r w:rsidRPr="00636236">
        <w:rPr>
          <w:b/>
          <w:sz w:val="20"/>
        </w:rPr>
        <w:t xml:space="preserve">Step 6 – </w:t>
      </w:r>
      <w:r w:rsidR="001C6CAA" w:rsidRPr="00636236">
        <w:rPr>
          <w:b/>
          <w:sz w:val="20"/>
        </w:rPr>
        <w:t>S</w:t>
      </w:r>
      <w:r w:rsidRPr="00636236">
        <w:rPr>
          <w:b/>
          <w:sz w:val="20"/>
        </w:rPr>
        <w:t xml:space="preserve">coring the 20 per cent weighting </w:t>
      </w:r>
    </w:p>
    <w:p w14:paraId="4097C43D" w14:textId="59DBA24C" w:rsidR="00E8305C" w:rsidRDefault="00E8305C" w:rsidP="005118B4">
      <w:pPr>
        <w:numPr>
          <w:ilvl w:val="0"/>
          <w:numId w:val="8"/>
        </w:numPr>
        <w:spacing w:before="0"/>
        <w:ind w:left="360"/>
        <w:jc w:val="both"/>
        <w:rPr>
          <w:rFonts w:cs="Arial"/>
        </w:rPr>
      </w:pPr>
      <w:r w:rsidRPr="00E20281">
        <w:rPr>
          <w:rFonts w:cs="Arial"/>
        </w:rPr>
        <w:t xml:space="preserve">The </w:t>
      </w:r>
      <w:r w:rsidR="001C6CAA">
        <w:rPr>
          <w:rFonts w:cs="Arial"/>
        </w:rPr>
        <w:t>Act</w:t>
      </w:r>
      <w:r w:rsidRPr="00E20281">
        <w:rPr>
          <w:rFonts w:cs="Arial"/>
        </w:rPr>
        <w:t xml:space="preserve"> sets a mandatory weighting of 10</w:t>
      </w:r>
      <w:r w:rsidR="001C6CAA">
        <w:rPr>
          <w:rFonts w:cs="Arial"/>
        </w:rPr>
        <w:t xml:space="preserve"> per cent</w:t>
      </w:r>
      <w:r w:rsidRPr="00E20281">
        <w:rPr>
          <w:rFonts w:cs="Arial"/>
        </w:rPr>
        <w:t xml:space="preserve"> for industry development and 10</w:t>
      </w:r>
      <w:r w:rsidR="001C6CAA">
        <w:rPr>
          <w:rFonts w:cs="Arial"/>
        </w:rPr>
        <w:t xml:space="preserve"> per cent</w:t>
      </w:r>
      <w:r w:rsidRPr="00E20281">
        <w:rPr>
          <w:rFonts w:cs="Arial"/>
        </w:rPr>
        <w:t xml:space="preserve"> for job outcomes to be applied by all government agencies in the evaluation of </w:t>
      </w:r>
      <w:r w:rsidR="00A304F6">
        <w:rPr>
          <w:rFonts w:cs="Arial"/>
        </w:rPr>
        <w:t xml:space="preserve">the </w:t>
      </w:r>
      <w:r w:rsidR="00C35F52">
        <w:rPr>
          <w:rFonts w:cs="Arial"/>
        </w:rPr>
        <w:t>L</w:t>
      </w:r>
      <w:r w:rsidR="00A304F6">
        <w:rPr>
          <w:rFonts w:cs="Arial"/>
        </w:rPr>
        <w:t xml:space="preserve">ocal </w:t>
      </w:r>
      <w:r w:rsidR="00C35F52">
        <w:rPr>
          <w:rFonts w:cs="Arial"/>
        </w:rPr>
        <w:t>J</w:t>
      </w:r>
      <w:r w:rsidR="00A304F6">
        <w:rPr>
          <w:rFonts w:cs="Arial"/>
        </w:rPr>
        <w:t xml:space="preserve">obs </w:t>
      </w:r>
      <w:r w:rsidR="00C35F52">
        <w:rPr>
          <w:rFonts w:cs="Arial"/>
        </w:rPr>
        <w:t>F</w:t>
      </w:r>
      <w:r w:rsidR="00A304F6">
        <w:rPr>
          <w:rFonts w:cs="Arial"/>
        </w:rPr>
        <w:t>irst commitments</w:t>
      </w:r>
      <w:r w:rsidRPr="00E20281">
        <w:rPr>
          <w:rFonts w:cs="Arial"/>
        </w:rPr>
        <w:t>.</w:t>
      </w:r>
      <w:r w:rsidR="00A304F6">
        <w:rPr>
          <w:rFonts w:cs="Arial"/>
        </w:rPr>
        <w:t xml:space="preserve"> </w:t>
      </w:r>
      <w:r w:rsidR="00A304F6" w:rsidRPr="00DE4B66">
        <w:rPr>
          <w:rFonts w:cs="Arial"/>
        </w:rPr>
        <w:t>It is therefore not permissible to include other evaluation criteria such as social procurement requirements, as part of the legislated 20</w:t>
      </w:r>
      <w:r w:rsidR="001C6CAA" w:rsidRPr="00DE4B66">
        <w:rPr>
          <w:rFonts w:cs="Arial"/>
        </w:rPr>
        <w:t xml:space="preserve"> per cent</w:t>
      </w:r>
      <w:r w:rsidR="00A304F6" w:rsidRPr="00DE4B66">
        <w:rPr>
          <w:rFonts w:cs="Arial"/>
        </w:rPr>
        <w:t xml:space="preserve"> weighting for LJF.</w:t>
      </w:r>
      <w:r w:rsidR="00A304F6">
        <w:rPr>
          <w:rFonts w:cs="Arial"/>
        </w:rPr>
        <w:t xml:space="preserve"> </w:t>
      </w:r>
      <w:r w:rsidR="00D42E8C">
        <w:rPr>
          <w:rFonts w:cs="Arial"/>
        </w:rPr>
        <w:t>This is designed to ensure that industry development and job opportunities are maximised by bidders in delivery of the project.</w:t>
      </w:r>
      <w:r w:rsidR="00A304F6">
        <w:rPr>
          <w:rFonts w:cs="Arial"/>
        </w:rPr>
        <w:t xml:space="preserve"> </w:t>
      </w:r>
    </w:p>
    <w:p w14:paraId="19503034" w14:textId="77777777" w:rsidR="00E8305C" w:rsidRPr="0002578D" w:rsidRDefault="00E8305C" w:rsidP="005118B4">
      <w:pPr>
        <w:numPr>
          <w:ilvl w:val="0"/>
          <w:numId w:val="8"/>
        </w:numPr>
        <w:spacing w:before="0"/>
        <w:ind w:left="360"/>
        <w:jc w:val="both"/>
        <w:rPr>
          <w:rFonts w:cs="Arial"/>
        </w:rPr>
      </w:pPr>
      <w:r w:rsidRPr="0002578D">
        <w:rPr>
          <w:rFonts w:cs="Arial"/>
        </w:rPr>
        <w:t xml:space="preserve">Where there are multiple stages within a procurement process, the agency must apply the weightings as early as possible and all subsequent stages. </w:t>
      </w:r>
    </w:p>
    <w:p w14:paraId="621BE17F" w14:textId="7F1CB105" w:rsidR="00E8305C" w:rsidRDefault="00E8305C" w:rsidP="005118B4">
      <w:pPr>
        <w:numPr>
          <w:ilvl w:val="0"/>
          <w:numId w:val="8"/>
        </w:numPr>
        <w:spacing w:before="0"/>
        <w:ind w:left="360"/>
        <w:jc w:val="both"/>
        <w:rPr>
          <w:rFonts w:cs="Arial"/>
        </w:rPr>
      </w:pPr>
      <w:r w:rsidRPr="007A1F8C">
        <w:rPr>
          <w:rFonts w:cs="Arial"/>
        </w:rPr>
        <w:t>In addition, evidence that the weightings have been applied must be retained for project auditing purposes, including reviews undertaken by</w:t>
      </w:r>
      <w:r w:rsidR="00D42E8C">
        <w:rPr>
          <w:rFonts w:cs="Arial"/>
        </w:rPr>
        <w:t xml:space="preserve"> </w:t>
      </w:r>
      <w:r w:rsidR="00527253">
        <w:rPr>
          <w:rFonts w:cs="Arial"/>
        </w:rPr>
        <w:t>DJPR</w:t>
      </w:r>
      <w:r w:rsidRPr="007A1F8C">
        <w:rPr>
          <w:rFonts w:cs="Arial"/>
        </w:rPr>
        <w:t xml:space="preserve"> and the Victorian Local Jobs First Commissioner. </w:t>
      </w:r>
    </w:p>
    <w:p w14:paraId="0AC01231" w14:textId="7CA36464" w:rsidR="00394064" w:rsidRPr="007A1F8C" w:rsidRDefault="009E56E7" w:rsidP="005118B4">
      <w:pPr>
        <w:numPr>
          <w:ilvl w:val="0"/>
          <w:numId w:val="8"/>
        </w:numPr>
        <w:spacing w:before="0"/>
        <w:ind w:left="360"/>
        <w:jc w:val="both"/>
        <w:rPr>
          <w:rFonts w:cs="Arial"/>
        </w:rPr>
      </w:pPr>
      <w:r>
        <w:rPr>
          <w:rFonts w:cs="Arial"/>
        </w:rPr>
        <w:t xml:space="preserve">For LIDPs that reflect a nil- or limited contestability </w:t>
      </w:r>
      <w:r w:rsidR="0077464D">
        <w:rPr>
          <w:rFonts w:cs="Arial"/>
        </w:rPr>
        <w:t>contract, t</w:t>
      </w:r>
      <w:r w:rsidRPr="009E56E7">
        <w:rPr>
          <w:rFonts w:cs="Arial"/>
        </w:rPr>
        <w:t xml:space="preserve">he 10 per cent weighting for industry development (local content) </w:t>
      </w:r>
      <w:r w:rsidR="0077464D">
        <w:rPr>
          <w:rFonts w:cs="Arial"/>
        </w:rPr>
        <w:t>should</w:t>
      </w:r>
      <w:r w:rsidRPr="009E56E7">
        <w:rPr>
          <w:rFonts w:cs="Arial"/>
        </w:rPr>
        <w:t xml:space="preserve"> be automatically assessed as a 10 out of 10 due to this tender being </w:t>
      </w:r>
      <w:r w:rsidR="0077464D">
        <w:rPr>
          <w:rFonts w:cs="Arial"/>
        </w:rPr>
        <w:t>of nil- or limited contestability</w:t>
      </w:r>
      <w:r w:rsidRPr="009E56E7">
        <w:rPr>
          <w:rFonts w:cs="Arial"/>
        </w:rPr>
        <w:t>.</w:t>
      </w:r>
    </w:p>
    <w:p w14:paraId="4B6B948F" w14:textId="59EE1533" w:rsidR="0029266E" w:rsidRPr="00DE4B66" w:rsidRDefault="00CE1D15" w:rsidP="005118B4">
      <w:pPr>
        <w:numPr>
          <w:ilvl w:val="0"/>
          <w:numId w:val="8"/>
        </w:numPr>
        <w:spacing w:before="0"/>
        <w:ind w:left="360"/>
        <w:jc w:val="both"/>
        <w:rPr>
          <w:rFonts w:cs="Arial"/>
        </w:rPr>
      </w:pPr>
      <w:bookmarkStart w:id="40" w:name="_Hlk18402816"/>
      <w:r w:rsidRPr="007A1F8C">
        <w:rPr>
          <w:rFonts w:cs="Arial"/>
        </w:rPr>
        <w:lastRenderedPageBreak/>
        <w:t xml:space="preserve">Below are recommendations on how to apply the </w:t>
      </w:r>
      <w:r w:rsidR="005C3156" w:rsidRPr="007A1F8C">
        <w:rPr>
          <w:rFonts w:cs="Arial"/>
        </w:rPr>
        <w:t xml:space="preserve">Local Jobs First </w:t>
      </w:r>
      <w:r w:rsidRPr="007A1F8C">
        <w:rPr>
          <w:rFonts w:cs="Arial"/>
        </w:rPr>
        <w:t>weightings. However</w:t>
      </w:r>
      <w:r w:rsidR="00ED0A01" w:rsidRPr="007A1F8C">
        <w:rPr>
          <w:rFonts w:cs="Arial"/>
        </w:rPr>
        <w:t>, your agency may wish to apply a different methodology</w:t>
      </w:r>
      <w:r w:rsidR="009F0D18" w:rsidRPr="007A1F8C">
        <w:rPr>
          <w:rFonts w:cs="Arial"/>
        </w:rPr>
        <w:t xml:space="preserve"> in order to meet the intent of a specific project. </w:t>
      </w:r>
      <w:r w:rsidR="002D33EC" w:rsidRPr="007A1F8C">
        <w:rPr>
          <w:rFonts w:cs="Arial"/>
        </w:rPr>
        <w:t xml:space="preserve">Contact </w:t>
      </w:r>
      <w:r w:rsidR="00527253">
        <w:rPr>
          <w:rFonts w:cs="Arial"/>
        </w:rPr>
        <w:t>DJPR</w:t>
      </w:r>
      <w:r w:rsidR="001C6CAA">
        <w:rPr>
          <w:rFonts w:cs="Arial"/>
        </w:rPr>
        <w:t xml:space="preserve"> </w:t>
      </w:r>
      <w:r w:rsidR="00CC1CD1" w:rsidRPr="007A1F8C">
        <w:rPr>
          <w:rFonts w:cs="Arial"/>
        </w:rPr>
        <w:t>in order to establish the feasibility of the methodology.</w:t>
      </w:r>
      <w:r w:rsidR="002D33EC" w:rsidRPr="007A1F8C">
        <w:rPr>
          <w:rFonts w:cs="Arial"/>
        </w:rPr>
        <w:t xml:space="preserve"> </w:t>
      </w:r>
      <w:bookmarkEnd w:id="40"/>
    </w:p>
    <w:p w14:paraId="664D90AE" w14:textId="6CC694DB" w:rsidR="0029266E" w:rsidRPr="007A1F8C" w:rsidRDefault="000547FC" w:rsidP="007D61EE">
      <w:pPr>
        <w:jc w:val="both"/>
        <w:rPr>
          <w:rFonts w:asciiTheme="minorHAnsi" w:hAnsiTheme="minorHAnsi" w:cstheme="minorHAnsi"/>
          <w:b/>
          <w:szCs w:val="18"/>
        </w:rPr>
      </w:pPr>
      <w:r w:rsidRPr="007A1F8C">
        <w:rPr>
          <w:rFonts w:asciiTheme="minorHAnsi" w:hAnsiTheme="minorHAnsi" w:cstheme="minorHAnsi"/>
          <w:b/>
          <w:szCs w:val="18"/>
        </w:rPr>
        <w:t>Example s</w:t>
      </w:r>
      <w:r w:rsidR="00E8305C" w:rsidRPr="007A1F8C">
        <w:rPr>
          <w:rFonts w:asciiTheme="minorHAnsi" w:hAnsiTheme="minorHAnsi" w:cstheme="minorHAnsi"/>
          <w:b/>
          <w:szCs w:val="18"/>
        </w:rPr>
        <w:t xml:space="preserve">coring for </w:t>
      </w:r>
      <w:r w:rsidR="00C14CF9">
        <w:rPr>
          <w:rFonts w:asciiTheme="minorHAnsi" w:hAnsiTheme="minorHAnsi" w:cstheme="minorHAnsi"/>
          <w:b/>
          <w:szCs w:val="18"/>
        </w:rPr>
        <w:t xml:space="preserve">10 </w:t>
      </w:r>
      <w:r w:rsidR="001C6CAA">
        <w:rPr>
          <w:rFonts w:asciiTheme="minorHAnsi" w:hAnsiTheme="minorHAnsi" w:cstheme="minorHAnsi"/>
          <w:b/>
          <w:szCs w:val="18"/>
        </w:rPr>
        <w:t>per cent</w:t>
      </w:r>
      <w:r w:rsidR="00C14CF9">
        <w:rPr>
          <w:rFonts w:asciiTheme="minorHAnsi" w:hAnsiTheme="minorHAnsi" w:cstheme="minorHAnsi"/>
          <w:b/>
          <w:szCs w:val="18"/>
        </w:rPr>
        <w:t xml:space="preserve"> </w:t>
      </w:r>
      <w:r w:rsidR="00E8305C" w:rsidRPr="007A1F8C">
        <w:rPr>
          <w:rFonts w:asciiTheme="minorHAnsi" w:hAnsiTheme="minorHAnsi" w:cstheme="minorHAnsi"/>
          <w:b/>
          <w:szCs w:val="18"/>
        </w:rPr>
        <w:t>industry development outcomes</w:t>
      </w:r>
    </w:p>
    <w:p w14:paraId="2FD6EFD8" w14:textId="261FB576" w:rsidR="00E8305C" w:rsidRPr="00B46988" w:rsidRDefault="001C6CAA" w:rsidP="005118B4">
      <w:pPr>
        <w:numPr>
          <w:ilvl w:val="0"/>
          <w:numId w:val="8"/>
        </w:numPr>
        <w:spacing w:before="0"/>
        <w:ind w:left="360"/>
        <w:jc w:val="both"/>
        <w:rPr>
          <w:rFonts w:cs="Arial"/>
        </w:rPr>
      </w:pPr>
      <w:r>
        <w:rPr>
          <w:rFonts w:cs="Arial"/>
        </w:rPr>
        <w:t>LJF</w:t>
      </w:r>
      <w:r w:rsidR="00E8305C" w:rsidRPr="00B46988">
        <w:rPr>
          <w:rFonts w:cs="Arial"/>
        </w:rPr>
        <w:t xml:space="preserve"> has a clear objective to provide for local industry development. Priority areas of focus include </w:t>
      </w:r>
      <w:r w:rsidR="003E610F" w:rsidRPr="00B46988">
        <w:rPr>
          <w:rFonts w:cs="Arial"/>
        </w:rPr>
        <w:t>SME</w:t>
      </w:r>
      <w:r w:rsidR="00632461">
        <w:rPr>
          <w:rFonts w:cs="Arial"/>
        </w:rPr>
        <w:t xml:space="preserve"> </w:t>
      </w:r>
      <w:r w:rsidR="00E8305C" w:rsidRPr="00B46988">
        <w:rPr>
          <w:rFonts w:cs="Arial"/>
        </w:rPr>
        <w:t>growth, supply chain augmentation and the level of activity in Victoria.</w:t>
      </w:r>
      <w:r w:rsidR="004B3D2E">
        <w:rPr>
          <w:rFonts w:cs="Arial"/>
        </w:rPr>
        <w:t xml:space="preserve"> The measure used is</w:t>
      </w:r>
      <w:r>
        <w:rPr>
          <w:rFonts w:cs="Arial"/>
        </w:rPr>
        <w:t xml:space="preserve"> a</w:t>
      </w:r>
      <w:r w:rsidR="004B3D2E">
        <w:rPr>
          <w:rFonts w:cs="Arial"/>
        </w:rPr>
        <w:t xml:space="preserve"> commitment to local content in the project. </w:t>
      </w:r>
    </w:p>
    <w:p w14:paraId="63BBF940" w14:textId="77777777" w:rsidR="00E8305C" w:rsidRPr="00B46988" w:rsidRDefault="00E8305C" w:rsidP="005118B4">
      <w:pPr>
        <w:numPr>
          <w:ilvl w:val="0"/>
          <w:numId w:val="8"/>
        </w:numPr>
        <w:spacing w:before="0"/>
        <w:ind w:left="360"/>
        <w:jc w:val="both"/>
        <w:rPr>
          <w:rFonts w:cs="Arial"/>
        </w:rPr>
      </w:pPr>
      <w:r w:rsidRPr="00B46988">
        <w:rPr>
          <w:rFonts w:cs="Arial"/>
        </w:rPr>
        <w:t xml:space="preserve">For a tender evaluation where a maximum of 100 points can be earned, 10 points must be allocated to the evaluation of industry development outcomes. </w:t>
      </w:r>
    </w:p>
    <w:p w14:paraId="612D74B0" w14:textId="4D6C202A" w:rsidR="00E8305C" w:rsidRPr="00B46988" w:rsidRDefault="00E8305C" w:rsidP="005118B4">
      <w:pPr>
        <w:numPr>
          <w:ilvl w:val="0"/>
          <w:numId w:val="8"/>
        </w:numPr>
        <w:spacing w:before="0"/>
        <w:ind w:left="360"/>
        <w:jc w:val="both"/>
        <w:rPr>
          <w:rFonts w:cs="Arial"/>
        </w:rPr>
      </w:pPr>
      <w:r w:rsidRPr="00B46988">
        <w:rPr>
          <w:rFonts w:cs="Arial"/>
        </w:rPr>
        <w:t>Scoring will consider each bidder’s commitment to</w:t>
      </w:r>
      <w:r w:rsidR="001B5E02" w:rsidRPr="00B46988">
        <w:rPr>
          <w:rFonts w:cs="Arial"/>
        </w:rPr>
        <w:t xml:space="preserve"> industry development</w:t>
      </w:r>
      <w:r w:rsidRPr="00B46988">
        <w:rPr>
          <w:rFonts w:cs="Arial"/>
        </w:rPr>
        <w:t>, noting that the following applies when scoring for industry development</w:t>
      </w:r>
      <w:r w:rsidR="007D61EE" w:rsidRPr="00B46988">
        <w:rPr>
          <w:rFonts w:cs="Arial"/>
        </w:rPr>
        <w:t xml:space="preserve">. </w:t>
      </w:r>
      <w:r w:rsidRPr="00B46988">
        <w:rPr>
          <w:rFonts w:cs="Arial"/>
        </w:rPr>
        <w:t>Points will be adjusted based on the risk of delivery and hence achievement of local content commitments.</w:t>
      </w:r>
    </w:p>
    <w:p w14:paraId="4DCC4B44" w14:textId="3506628E" w:rsidR="007D61EE" w:rsidRPr="00B46988" w:rsidRDefault="00E8305C" w:rsidP="005118B4">
      <w:pPr>
        <w:numPr>
          <w:ilvl w:val="0"/>
          <w:numId w:val="8"/>
        </w:numPr>
        <w:spacing w:before="0"/>
        <w:ind w:left="360"/>
        <w:jc w:val="both"/>
        <w:rPr>
          <w:rFonts w:cs="Arial"/>
        </w:rPr>
      </w:pPr>
      <w:r w:rsidRPr="00B46988">
        <w:rPr>
          <w:rFonts w:cs="Arial"/>
        </w:rPr>
        <w:t>The total number of points a bidder can obtain for the industry development criterion is 10 out of 10</w:t>
      </w:r>
      <w:r w:rsidR="00875D96">
        <w:rPr>
          <w:rFonts w:cs="Arial"/>
        </w:rPr>
        <w:t>.</w:t>
      </w:r>
    </w:p>
    <w:p w14:paraId="57AC93E1" w14:textId="033378DC" w:rsidR="00E8305C" w:rsidRDefault="00E8305C" w:rsidP="005118B4">
      <w:pPr>
        <w:numPr>
          <w:ilvl w:val="0"/>
          <w:numId w:val="8"/>
        </w:numPr>
        <w:spacing w:before="0"/>
        <w:ind w:left="360"/>
        <w:jc w:val="both"/>
        <w:rPr>
          <w:rFonts w:cs="Arial"/>
        </w:rPr>
      </w:pPr>
      <w:r w:rsidRPr="00B46988">
        <w:rPr>
          <w:rFonts w:cs="Arial"/>
        </w:rPr>
        <w:t xml:space="preserve">Scores are allocated for local industry development on the basis of a combination of factors, and taking into account the level of risk, as shown in the table </w:t>
      </w:r>
      <w:r w:rsidR="000829B2">
        <w:rPr>
          <w:rFonts w:cs="Arial"/>
        </w:rPr>
        <w:t xml:space="preserve">1 </w:t>
      </w:r>
      <w:r w:rsidRPr="00B46988">
        <w:rPr>
          <w:rFonts w:cs="Arial"/>
        </w:rPr>
        <w:t>below:</w:t>
      </w:r>
    </w:p>
    <w:p w14:paraId="68B0360F" w14:textId="75F48663" w:rsidR="000829B2" w:rsidRPr="001E3CD5" w:rsidRDefault="000829B2" w:rsidP="001E3CD5">
      <w:pPr>
        <w:rPr>
          <w:rFonts w:asciiTheme="minorHAnsi" w:hAnsiTheme="minorHAnsi" w:cstheme="minorHAnsi"/>
          <w:b/>
          <w:szCs w:val="18"/>
        </w:rPr>
      </w:pPr>
      <w:r w:rsidRPr="001E3CD5">
        <w:rPr>
          <w:rFonts w:asciiTheme="minorHAnsi" w:hAnsiTheme="minorHAnsi" w:cstheme="minorHAnsi"/>
          <w:b/>
          <w:szCs w:val="18"/>
        </w:rPr>
        <w:t>Table 1</w:t>
      </w:r>
      <w:r w:rsidR="008B015C" w:rsidRPr="001E3CD5">
        <w:rPr>
          <w:rFonts w:asciiTheme="minorHAnsi" w:hAnsiTheme="minorHAnsi" w:cstheme="minorHAnsi"/>
          <w:b/>
          <w:szCs w:val="18"/>
        </w:rPr>
        <w:t xml:space="preserve"> -</w:t>
      </w:r>
      <w:r w:rsidRPr="001E3CD5">
        <w:rPr>
          <w:rFonts w:asciiTheme="minorHAnsi" w:hAnsiTheme="minorHAnsi" w:cstheme="minorHAnsi"/>
          <w:b/>
          <w:szCs w:val="18"/>
        </w:rPr>
        <w:t xml:space="preserve"> Local industry development scores</w:t>
      </w:r>
    </w:p>
    <w:tbl>
      <w:tblPr>
        <w:tblStyle w:val="TableGrid"/>
        <w:tblW w:w="8936" w:type="dxa"/>
        <w:jc w:val="center"/>
        <w:tblLook w:val="04A0" w:firstRow="1" w:lastRow="0" w:firstColumn="1" w:lastColumn="0" w:noHBand="0" w:noVBand="1"/>
      </w:tblPr>
      <w:tblGrid>
        <w:gridCol w:w="2274"/>
        <w:gridCol w:w="2268"/>
        <w:gridCol w:w="1417"/>
        <w:gridCol w:w="1701"/>
        <w:gridCol w:w="1276"/>
      </w:tblGrid>
      <w:tr w:rsidR="00E8305C" w:rsidRPr="0029266E" w14:paraId="135EBF51" w14:textId="77777777" w:rsidTr="001E3CD5">
        <w:trPr>
          <w:trHeight w:val="568"/>
          <w:jc w:val="center"/>
        </w:trPr>
        <w:tc>
          <w:tcPr>
            <w:tcW w:w="2274" w:type="dxa"/>
            <w:shd w:val="clear" w:color="auto" w:fill="FFCCCC"/>
          </w:tcPr>
          <w:p w14:paraId="5088D836" w14:textId="77777777" w:rsidR="00E8305C" w:rsidRPr="0029266E" w:rsidRDefault="00E8305C" w:rsidP="00617565">
            <w:pPr>
              <w:jc w:val="both"/>
              <w:rPr>
                <w:rFonts w:asciiTheme="minorHAnsi" w:hAnsiTheme="minorHAnsi" w:cstheme="minorHAnsi"/>
                <w:b/>
                <w:szCs w:val="18"/>
              </w:rPr>
            </w:pPr>
            <w:r w:rsidRPr="0029266E">
              <w:rPr>
                <w:rFonts w:asciiTheme="minorHAnsi" w:hAnsiTheme="minorHAnsi" w:cstheme="minorHAnsi"/>
                <w:b/>
                <w:szCs w:val="18"/>
              </w:rPr>
              <w:t>Item</w:t>
            </w:r>
          </w:p>
        </w:tc>
        <w:tc>
          <w:tcPr>
            <w:tcW w:w="2268" w:type="dxa"/>
            <w:shd w:val="clear" w:color="auto" w:fill="FFCCCC"/>
          </w:tcPr>
          <w:p w14:paraId="2CDB81BC" w14:textId="77777777" w:rsidR="00E8305C" w:rsidRPr="0029266E" w:rsidRDefault="00E8305C" w:rsidP="00617565">
            <w:pPr>
              <w:jc w:val="both"/>
              <w:rPr>
                <w:rFonts w:asciiTheme="minorHAnsi" w:hAnsiTheme="minorHAnsi" w:cstheme="minorHAnsi"/>
                <w:b/>
                <w:szCs w:val="18"/>
              </w:rPr>
            </w:pPr>
            <w:r w:rsidRPr="0029266E">
              <w:rPr>
                <w:rFonts w:asciiTheme="minorHAnsi" w:hAnsiTheme="minorHAnsi" w:cstheme="minorHAnsi"/>
                <w:b/>
                <w:szCs w:val="18"/>
              </w:rPr>
              <w:t xml:space="preserve">Points </w:t>
            </w:r>
            <w:r w:rsidRPr="0029266E">
              <w:rPr>
                <w:rFonts w:asciiTheme="minorHAnsi" w:hAnsiTheme="minorHAnsi" w:cstheme="minorHAnsi"/>
                <w:b/>
                <w:szCs w:val="18"/>
              </w:rPr>
              <w:br/>
              <w:t>(out of a total of 10)</w:t>
            </w:r>
          </w:p>
        </w:tc>
        <w:tc>
          <w:tcPr>
            <w:tcW w:w="4394" w:type="dxa"/>
            <w:gridSpan w:val="3"/>
            <w:shd w:val="clear" w:color="auto" w:fill="FFCCCC"/>
          </w:tcPr>
          <w:p w14:paraId="7C0CD545" w14:textId="43D8F06A" w:rsidR="00E8305C" w:rsidRPr="0029266E" w:rsidRDefault="00E8305C" w:rsidP="00617565">
            <w:pPr>
              <w:rPr>
                <w:rFonts w:asciiTheme="minorHAnsi" w:hAnsiTheme="minorHAnsi" w:cstheme="minorHAnsi"/>
                <w:b/>
                <w:szCs w:val="18"/>
              </w:rPr>
            </w:pPr>
            <w:r w:rsidRPr="0029266E">
              <w:rPr>
                <w:rFonts w:asciiTheme="minorHAnsi" w:hAnsiTheme="minorHAnsi" w:cstheme="minorHAnsi"/>
                <w:b/>
                <w:szCs w:val="18"/>
              </w:rPr>
              <w:t xml:space="preserve">Apply ‘Risk Discount’ </w:t>
            </w:r>
          </w:p>
        </w:tc>
      </w:tr>
      <w:tr w:rsidR="00E8305C" w:rsidRPr="0029266E" w14:paraId="37AEA827" w14:textId="77777777" w:rsidTr="001E3CD5">
        <w:trPr>
          <w:trHeight w:val="117"/>
          <w:jc w:val="center"/>
        </w:trPr>
        <w:tc>
          <w:tcPr>
            <w:tcW w:w="2274" w:type="dxa"/>
          </w:tcPr>
          <w:p w14:paraId="34DE34A8" w14:textId="77777777" w:rsidR="00E8305C" w:rsidRPr="0029266E" w:rsidRDefault="00E8305C" w:rsidP="00617565">
            <w:pPr>
              <w:jc w:val="both"/>
              <w:rPr>
                <w:rFonts w:asciiTheme="minorHAnsi" w:hAnsiTheme="minorHAnsi" w:cstheme="minorHAnsi"/>
                <w:szCs w:val="18"/>
              </w:rPr>
            </w:pPr>
          </w:p>
        </w:tc>
        <w:tc>
          <w:tcPr>
            <w:tcW w:w="2268" w:type="dxa"/>
          </w:tcPr>
          <w:p w14:paraId="4B96EDA4" w14:textId="77777777" w:rsidR="00E8305C" w:rsidRPr="0029266E" w:rsidRDefault="00E8305C" w:rsidP="00617565">
            <w:pPr>
              <w:jc w:val="both"/>
              <w:rPr>
                <w:rFonts w:asciiTheme="minorHAnsi" w:hAnsiTheme="minorHAnsi" w:cstheme="minorHAnsi"/>
                <w:szCs w:val="18"/>
              </w:rPr>
            </w:pPr>
          </w:p>
        </w:tc>
        <w:tc>
          <w:tcPr>
            <w:tcW w:w="1417" w:type="dxa"/>
          </w:tcPr>
          <w:p w14:paraId="782799E5" w14:textId="77777777" w:rsidR="00E8305C" w:rsidRPr="0029266E" w:rsidRDefault="00E8305C" w:rsidP="00617565">
            <w:pPr>
              <w:jc w:val="both"/>
              <w:rPr>
                <w:rFonts w:asciiTheme="minorHAnsi" w:hAnsiTheme="minorHAnsi" w:cstheme="minorHAnsi"/>
                <w:b/>
                <w:szCs w:val="18"/>
              </w:rPr>
            </w:pPr>
            <w:r w:rsidRPr="0029266E">
              <w:rPr>
                <w:rFonts w:asciiTheme="minorHAnsi" w:hAnsiTheme="minorHAnsi" w:cstheme="minorHAnsi"/>
                <w:b/>
                <w:szCs w:val="18"/>
              </w:rPr>
              <w:t>Low Risk</w:t>
            </w:r>
          </w:p>
        </w:tc>
        <w:tc>
          <w:tcPr>
            <w:tcW w:w="1701" w:type="dxa"/>
          </w:tcPr>
          <w:p w14:paraId="2247E6EC" w14:textId="77777777" w:rsidR="00E8305C" w:rsidRPr="0029266E" w:rsidRDefault="00E8305C" w:rsidP="00617565">
            <w:pPr>
              <w:jc w:val="both"/>
              <w:rPr>
                <w:rFonts w:asciiTheme="minorHAnsi" w:hAnsiTheme="minorHAnsi" w:cstheme="minorHAnsi"/>
                <w:b/>
                <w:szCs w:val="18"/>
              </w:rPr>
            </w:pPr>
            <w:r w:rsidRPr="0029266E">
              <w:rPr>
                <w:rFonts w:asciiTheme="minorHAnsi" w:hAnsiTheme="minorHAnsi" w:cstheme="minorHAnsi"/>
                <w:b/>
                <w:szCs w:val="18"/>
              </w:rPr>
              <w:t>Medium Risk</w:t>
            </w:r>
          </w:p>
        </w:tc>
        <w:tc>
          <w:tcPr>
            <w:tcW w:w="1276" w:type="dxa"/>
          </w:tcPr>
          <w:p w14:paraId="3B72A19C" w14:textId="77777777" w:rsidR="00E8305C" w:rsidRPr="0029266E" w:rsidRDefault="00E8305C" w:rsidP="00617565">
            <w:pPr>
              <w:jc w:val="both"/>
              <w:rPr>
                <w:rFonts w:asciiTheme="minorHAnsi" w:hAnsiTheme="minorHAnsi" w:cstheme="minorHAnsi"/>
                <w:b/>
                <w:szCs w:val="18"/>
              </w:rPr>
            </w:pPr>
            <w:r w:rsidRPr="0029266E">
              <w:rPr>
                <w:rFonts w:asciiTheme="minorHAnsi" w:hAnsiTheme="minorHAnsi" w:cstheme="minorHAnsi"/>
                <w:b/>
                <w:szCs w:val="18"/>
              </w:rPr>
              <w:t>High Risk</w:t>
            </w:r>
          </w:p>
        </w:tc>
      </w:tr>
      <w:tr w:rsidR="00E8305C" w:rsidRPr="0029266E" w14:paraId="3C6E8460" w14:textId="77777777" w:rsidTr="001E3CD5">
        <w:trPr>
          <w:trHeight w:val="285"/>
          <w:jc w:val="center"/>
        </w:trPr>
        <w:tc>
          <w:tcPr>
            <w:tcW w:w="2274" w:type="dxa"/>
          </w:tcPr>
          <w:p w14:paraId="4275A8C6" w14:textId="77777777" w:rsidR="00E8305C" w:rsidRPr="0029266E" w:rsidRDefault="00E8305C" w:rsidP="00617565">
            <w:pPr>
              <w:rPr>
                <w:rFonts w:asciiTheme="minorHAnsi" w:hAnsiTheme="minorHAnsi" w:cstheme="minorHAnsi"/>
                <w:szCs w:val="18"/>
              </w:rPr>
            </w:pPr>
            <w:r w:rsidRPr="0029266E">
              <w:rPr>
                <w:rFonts w:asciiTheme="minorHAnsi" w:hAnsiTheme="minorHAnsi" w:cstheme="minorHAnsi"/>
                <w:szCs w:val="18"/>
              </w:rPr>
              <w:t>Local content commitment</w:t>
            </w:r>
          </w:p>
        </w:tc>
        <w:tc>
          <w:tcPr>
            <w:tcW w:w="2268" w:type="dxa"/>
          </w:tcPr>
          <w:p w14:paraId="36D88E25" w14:textId="77777777" w:rsidR="00E8305C" w:rsidRPr="0029266E" w:rsidRDefault="00E8305C" w:rsidP="00617565">
            <w:pPr>
              <w:jc w:val="both"/>
              <w:rPr>
                <w:rFonts w:asciiTheme="minorHAnsi" w:hAnsiTheme="minorHAnsi" w:cstheme="minorHAnsi"/>
                <w:szCs w:val="18"/>
              </w:rPr>
            </w:pPr>
            <w:r w:rsidRPr="0029266E">
              <w:rPr>
                <w:rFonts w:asciiTheme="minorHAnsi" w:hAnsiTheme="minorHAnsi" w:cstheme="minorHAnsi"/>
                <w:szCs w:val="18"/>
              </w:rPr>
              <w:t>10 points</w:t>
            </w:r>
          </w:p>
        </w:tc>
        <w:tc>
          <w:tcPr>
            <w:tcW w:w="1417" w:type="dxa"/>
          </w:tcPr>
          <w:p w14:paraId="2CD1EF98" w14:textId="77777777" w:rsidR="00E8305C" w:rsidRPr="0029266E" w:rsidRDefault="00E8305C" w:rsidP="00617565">
            <w:pPr>
              <w:rPr>
                <w:rFonts w:asciiTheme="minorHAnsi" w:hAnsiTheme="minorHAnsi" w:cstheme="minorHAnsi"/>
                <w:szCs w:val="18"/>
              </w:rPr>
            </w:pPr>
            <w:r w:rsidRPr="0029266E">
              <w:rPr>
                <w:rFonts w:asciiTheme="minorHAnsi" w:hAnsiTheme="minorHAnsi" w:cstheme="minorHAnsi"/>
                <w:szCs w:val="18"/>
              </w:rPr>
              <w:t>No discount required</w:t>
            </w:r>
          </w:p>
        </w:tc>
        <w:tc>
          <w:tcPr>
            <w:tcW w:w="1701" w:type="dxa"/>
          </w:tcPr>
          <w:p w14:paraId="0CE15F02" w14:textId="77777777" w:rsidR="00E8305C" w:rsidRPr="0029266E" w:rsidRDefault="00E8305C" w:rsidP="00617565">
            <w:pPr>
              <w:rPr>
                <w:rFonts w:asciiTheme="minorHAnsi" w:hAnsiTheme="minorHAnsi" w:cstheme="minorHAnsi"/>
                <w:szCs w:val="18"/>
              </w:rPr>
            </w:pPr>
            <w:r w:rsidRPr="0029266E">
              <w:rPr>
                <w:rFonts w:asciiTheme="minorHAnsi" w:hAnsiTheme="minorHAnsi" w:cstheme="minorHAnsi"/>
                <w:szCs w:val="18"/>
              </w:rPr>
              <w:t>Discount 2 points</w:t>
            </w:r>
          </w:p>
        </w:tc>
        <w:tc>
          <w:tcPr>
            <w:tcW w:w="1276" w:type="dxa"/>
          </w:tcPr>
          <w:p w14:paraId="3D067976" w14:textId="77777777" w:rsidR="00E8305C" w:rsidRPr="0029266E" w:rsidRDefault="00E8305C" w:rsidP="00617565">
            <w:pPr>
              <w:rPr>
                <w:rFonts w:asciiTheme="minorHAnsi" w:hAnsiTheme="minorHAnsi" w:cstheme="minorHAnsi"/>
                <w:szCs w:val="18"/>
              </w:rPr>
            </w:pPr>
            <w:r w:rsidRPr="0029266E">
              <w:rPr>
                <w:rFonts w:asciiTheme="minorHAnsi" w:hAnsiTheme="minorHAnsi" w:cstheme="minorHAnsi"/>
                <w:szCs w:val="18"/>
              </w:rPr>
              <w:t>Zero score for industry development</w:t>
            </w:r>
          </w:p>
        </w:tc>
      </w:tr>
    </w:tbl>
    <w:p w14:paraId="0D98C449" w14:textId="77777777" w:rsidR="00C70919" w:rsidRDefault="00C70919" w:rsidP="00E8305C">
      <w:pPr>
        <w:rPr>
          <w:rFonts w:asciiTheme="minorHAnsi" w:hAnsiTheme="minorHAnsi" w:cstheme="minorHAnsi"/>
          <w:szCs w:val="18"/>
          <w:u w:val="single"/>
        </w:rPr>
      </w:pPr>
    </w:p>
    <w:p w14:paraId="04E9B143" w14:textId="465A3464" w:rsidR="00E8305C" w:rsidRPr="0029266E" w:rsidRDefault="00E8305C" w:rsidP="00E8305C">
      <w:pPr>
        <w:rPr>
          <w:rFonts w:asciiTheme="minorHAnsi" w:hAnsiTheme="minorHAnsi" w:cstheme="minorHAnsi"/>
          <w:szCs w:val="18"/>
          <w:u w:val="single"/>
        </w:rPr>
      </w:pPr>
      <w:r w:rsidRPr="0029266E">
        <w:rPr>
          <w:rFonts w:asciiTheme="minorHAnsi" w:hAnsiTheme="minorHAnsi" w:cstheme="minorHAnsi"/>
          <w:szCs w:val="18"/>
          <w:u w:val="single"/>
        </w:rPr>
        <w:t xml:space="preserve">Points for </w:t>
      </w:r>
      <w:r w:rsidR="00683F61">
        <w:rPr>
          <w:rFonts w:asciiTheme="minorHAnsi" w:hAnsiTheme="minorHAnsi" w:cstheme="minorHAnsi"/>
          <w:szCs w:val="18"/>
          <w:u w:val="single"/>
        </w:rPr>
        <w:t xml:space="preserve">Industry development </w:t>
      </w:r>
      <w:r w:rsidR="000B697F">
        <w:rPr>
          <w:rFonts w:asciiTheme="minorHAnsi" w:hAnsiTheme="minorHAnsi" w:cstheme="minorHAnsi"/>
          <w:szCs w:val="18"/>
          <w:u w:val="single"/>
        </w:rPr>
        <w:t>c</w:t>
      </w:r>
      <w:r w:rsidRPr="0029266E">
        <w:rPr>
          <w:rFonts w:asciiTheme="minorHAnsi" w:hAnsiTheme="minorHAnsi" w:cstheme="minorHAnsi"/>
          <w:szCs w:val="18"/>
          <w:u w:val="single"/>
        </w:rPr>
        <w:t>ommitment</w:t>
      </w:r>
    </w:p>
    <w:p w14:paraId="1441FA56" w14:textId="00A5ED15" w:rsidR="00E8305C" w:rsidRPr="00B46988" w:rsidRDefault="00E8305C" w:rsidP="005118B4">
      <w:pPr>
        <w:numPr>
          <w:ilvl w:val="0"/>
          <w:numId w:val="8"/>
        </w:numPr>
        <w:spacing w:before="0"/>
        <w:ind w:left="360"/>
        <w:jc w:val="both"/>
        <w:rPr>
          <w:rFonts w:cs="Arial"/>
        </w:rPr>
      </w:pPr>
      <w:r w:rsidRPr="00B46988">
        <w:rPr>
          <w:rFonts w:cs="Arial"/>
        </w:rPr>
        <w:t xml:space="preserve">Scoring for the local content can be calculated by dividing the local content commitment in a bid by </w:t>
      </w:r>
      <w:r w:rsidR="00875D96">
        <w:rPr>
          <w:rFonts w:cs="Arial"/>
        </w:rPr>
        <w:t>10</w:t>
      </w:r>
      <w:r w:rsidRPr="00B46988">
        <w:rPr>
          <w:rFonts w:cs="Arial"/>
        </w:rPr>
        <w:t xml:space="preserve"> and applying a ‘risk discount’ as required.  For example, a local content commitment of 94</w:t>
      </w:r>
      <w:r w:rsidR="00875D96">
        <w:rPr>
          <w:rFonts w:cs="Arial"/>
        </w:rPr>
        <w:t xml:space="preserve"> per cent</w:t>
      </w:r>
      <w:r w:rsidRPr="00B46988">
        <w:rPr>
          <w:rFonts w:cs="Arial"/>
        </w:rPr>
        <w:t xml:space="preserve"> in a bid would earn 9.4 points out of 10, a local content commitment of 90</w:t>
      </w:r>
      <w:r w:rsidR="00875D96">
        <w:rPr>
          <w:rFonts w:cs="Arial"/>
        </w:rPr>
        <w:t xml:space="preserve"> per cent</w:t>
      </w:r>
      <w:r w:rsidRPr="00B46988">
        <w:rPr>
          <w:rFonts w:cs="Arial"/>
        </w:rPr>
        <w:t xml:space="preserve"> would score 9 points out of 10 and a local content commitment of 100</w:t>
      </w:r>
      <w:r w:rsidR="00875D96">
        <w:rPr>
          <w:rFonts w:cs="Arial"/>
        </w:rPr>
        <w:t xml:space="preserve"> per cent</w:t>
      </w:r>
      <w:r w:rsidRPr="00B46988">
        <w:rPr>
          <w:rFonts w:cs="Arial"/>
        </w:rPr>
        <w:t xml:space="preserve"> in a tender would earn 10 points out of 10. </w:t>
      </w:r>
    </w:p>
    <w:p w14:paraId="559A9AF4" w14:textId="2A81E7DE" w:rsidR="00E9587A" w:rsidRPr="00B46988" w:rsidRDefault="00E8305C" w:rsidP="005118B4">
      <w:pPr>
        <w:numPr>
          <w:ilvl w:val="0"/>
          <w:numId w:val="8"/>
        </w:numPr>
        <w:spacing w:before="0"/>
        <w:ind w:left="360"/>
        <w:jc w:val="both"/>
        <w:rPr>
          <w:rFonts w:cs="Arial"/>
        </w:rPr>
      </w:pPr>
      <w:r w:rsidRPr="00B46988">
        <w:rPr>
          <w:rFonts w:cs="Arial"/>
        </w:rPr>
        <w:t xml:space="preserve">A risk discount should then be applied where required. The local content commitment should be discounted depending on the level of risk assigned by </w:t>
      </w:r>
      <w:r w:rsidR="000D2B9D">
        <w:rPr>
          <w:rFonts w:cs="Arial"/>
        </w:rPr>
        <w:t xml:space="preserve">the </w:t>
      </w:r>
      <w:r w:rsidRPr="00B46988">
        <w:rPr>
          <w:rFonts w:cs="Arial"/>
        </w:rPr>
        <w:t>ICN. The ICN assessment reports will classify the risk of achieving local content commitments as ‘high, medium or low’ and provide a summary for the assessment.</w:t>
      </w:r>
    </w:p>
    <w:p w14:paraId="547F453B" w14:textId="35CCF5F5" w:rsidR="00E9587A" w:rsidRPr="00B46988" w:rsidRDefault="00E9587A" w:rsidP="005118B4">
      <w:pPr>
        <w:numPr>
          <w:ilvl w:val="0"/>
          <w:numId w:val="8"/>
        </w:numPr>
        <w:spacing w:before="0"/>
        <w:ind w:left="360"/>
        <w:jc w:val="both"/>
        <w:rPr>
          <w:rFonts w:cs="Arial"/>
        </w:rPr>
      </w:pPr>
      <w:r w:rsidRPr="00B46988">
        <w:rPr>
          <w:rFonts w:cs="Arial"/>
        </w:rPr>
        <w:t>A ‘High Risk’ rating will mean the</w:t>
      </w:r>
      <w:r w:rsidR="005652F8">
        <w:rPr>
          <w:rFonts w:cs="Arial"/>
        </w:rPr>
        <w:t xml:space="preserve"> ICN believe the</w:t>
      </w:r>
      <w:r w:rsidRPr="00B46988">
        <w:rPr>
          <w:rFonts w:cs="Arial"/>
        </w:rPr>
        <w:t xml:space="preserve"> local content commitment</w:t>
      </w:r>
      <w:r w:rsidR="005652F8">
        <w:rPr>
          <w:rFonts w:cs="Arial"/>
        </w:rPr>
        <w:t xml:space="preserve"> in the LIDP</w:t>
      </w:r>
      <w:r w:rsidRPr="00B46988">
        <w:rPr>
          <w:rFonts w:cs="Arial"/>
        </w:rPr>
        <w:t xml:space="preserve"> </w:t>
      </w:r>
      <w:r w:rsidR="005652F8">
        <w:rPr>
          <w:rFonts w:cs="Arial"/>
        </w:rPr>
        <w:t xml:space="preserve">is unlikely to be </w:t>
      </w:r>
      <w:r w:rsidR="00952180">
        <w:rPr>
          <w:rFonts w:cs="Arial"/>
        </w:rPr>
        <w:t>met and</w:t>
      </w:r>
      <w:r w:rsidR="005652F8">
        <w:rPr>
          <w:rFonts w:cs="Arial"/>
        </w:rPr>
        <w:t xml:space="preserve"> will receive a </w:t>
      </w:r>
      <w:r w:rsidRPr="00B46988">
        <w:rPr>
          <w:rFonts w:cs="Arial"/>
        </w:rPr>
        <w:t>score of zero</w:t>
      </w:r>
      <w:r w:rsidR="00894872">
        <w:rPr>
          <w:rFonts w:cs="Arial"/>
        </w:rPr>
        <w:t>)</w:t>
      </w:r>
      <w:r w:rsidR="005652F8">
        <w:rPr>
          <w:rFonts w:cs="Arial"/>
        </w:rPr>
        <w:t>.</w:t>
      </w:r>
      <w:r w:rsidRPr="00B46988">
        <w:rPr>
          <w:rFonts w:cs="Arial"/>
        </w:rPr>
        <w:t xml:space="preserve"> </w:t>
      </w:r>
      <w:r w:rsidR="005652F8">
        <w:rPr>
          <w:rFonts w:cs="Arial"/>
        </w:rPr>
        <w:t>A</w:t>
      </w:r>
      <w:r w:rsidRPr="00B46988">
        <w:rPr>
          <w:rFonts w:cs="Arial"/>
        </w:rPr>
        <w:t xml:space="preserve"> ‘Medium Risk’ rating</w:t>
      </w:r>
      <w:r w:rsidR="00E11C6E">
        <w:rPr>
          <w:rFonts w:cs="Arial"/>
        </w:rPr>
        <w:t xml:space="preserve"> means there is a medium risk that the </w:t>
      </w:r>
      <w:r w:rsidR="00792638">
        <w:rPr>
          <w:rFonts w:cs="Arial"/>
        </w:rPr>
        <w:t xml:space="preserve">local content </w:t>
      </w:r>
      <w:r w:rsidR="00A81193">
        <w:rPr>
          <w:rFonts w:cs="Arial"/>
        </w:rPr>
        <w:t>commitments</w:t>
      </w:r>
      <w:r w:rsidR="00792638">
        <w:rPr>
          <w:rFonts w:cs="Arial"/>
        </w:rPr>
        <w:t xml:space="preserve"> </w:t>
      </w:r>
      <w:r w:rsidR="00A81193">
        <w:rPr>
          <w:rFonts w:cs="Arial"/>
        </w:rPr>
        <w:t>will</w:t>
      </w:r>
      <w:r w:rsidR="00792638">
        <w:rPr>
          <w:rFonts w:cs="Arial"/>
        </w:rPr>
        <w:t xml:space="preserve"> not be achieved, and</w:t>
      </w:r>
      <w:r w:rsidRPr="00B46988">
        <w:rPr>
          <w:rFonts w:cs="Arial"/>
        </w:rPr>
        <w:t xml:space="preserve"> has a discount of two points</w:t>
      </w:r>
      <w:r w:rsidR="00792638">
        <w:rPr>
          <w:rFonts w:cs="Arial"/>
        </w:rPr>
        <w:t>,</w:t>
      </w:r>
      <w:r w:rsidRPr="00B46988">
        <w:rPr>
          <w:rFonts w:cs="Arial"/>
        </w:rPr>
        <w:t xml:space="preserve"> and a ‘Low Risk’ rating</w:t>
      </w:r>
      <w:r w:rsidR="00792638">
        <w:rPr>
          <w:rFonts w:cs="Arial"/>
        </w:rPr>
        <w:t xml:space="preserve"> means there i</w:t>
      </w:r>
      <w:r w:rsidR="00527253">
        <w:rPr>
          <w:rFonts w:cs="Arial"/>
        </w:rPr>
        <w:t>s</w:t>
      </w:r>
      <w:r w:rsidR="00792638">
        <w:rPr>
          <w:rFonts w:cs="Arial"/>
        </w:rPr>
        <w:t xml:space="preserve"> minimal risk the local content commitments will not be achieved and</w:t>
      </w:r>
      <w:r w:rsidRPr="00B46988">
        <w:rPr>
          <w:rFonts w:cs="Arial"/>
        </w:rPr>
        <w:t xml:space="preserve"> receives nil discounts from the local content commitment. This becomes the score for industry development and gets added to the relevant bidder’s total score.</w:t>
      </w:r>
    </w:p>
    <w:p w14:paraId="62175806" w14:textId="77777777" w:rsidR="00E8305C" w:rsidRPr="00683F61" w:rsidRDefault="00E8305C" w:rsidP="00E8305C">
      <w:pPr>
        <w:rPr>
          <w:rFonts w:asciiTheme="minorHAnsi" w:hAnsiTheme="minorHAnsi" w:cstheme="minorHAnsi"/>
          <w:szCs w:val="18"/>
          <w:u w:val="single"/>
        </w:rPr>
      </w:pPr>
      <w:r w:rsidRPr="00683F61">
        <w:rPr>
          <w:rFonts w:asciiTheme="minorHAnsi" w:hAnsiTheme="minorHAnsi" w:cstheme="minorHAnsi"/>
          <w:szCs w:val="18"/>
          <w:u w:val="single"/>
        </w:rPr>
        <w:t>Example of scoring for industry development</w:t>
      </w:r>
    </w:p>
    <w:p w14:paraId="3498CD13" w14:textId="3758180A" w:rsidR="00E8305C" w:rsidRPr="001E3CD5" w:rsidRDefault="00E8305C" w:rsidP="001E3CD5">
      <w:pPr>
        <w:rPr>
          <w:rFonts w:asciiTheme="minorHAnsi" w:hAnsiTheme="minorHAnsi" w:cstheme="minorHAnsi"/>
          <w:b/>
          <w:szCs w:val="18"/>
        </w:rPr>
      </w:pPr>
      <w:r w:rsidRPr="001E3CD5">
        <w:rPr>
          <w:rFonts w:asciiTheme="minorHAnsi" w:hAnsiTheme="minorHAnsi" w:cstheme="minorHAnsi"/>
          <w:b/>
          <w:szCs w:val="18"/>
        </w:rPr>
        <w:t xml:space="preserve">Table 2- Standard Project Score Example   </w:t>
      </w:r>
    </w:p>
    <w:tbl>
      <w:tblPr>
        <w:tblStyle w:val="TableGrid"/>
        <w:tblW w:w="8926" w:type="dxa"/>
        <w:jc w:val="center"/>
        <w:tblLayout w:type="fixed"/>
        <w:tblLook w:val="04A0" w:firstRow="1" w:lastRow="0" w:firstColumn="1" w:lastColumn="0" w:noHBand="0" w:noVBand="1"/>
      </w:tblPr>
      <w:tblGrid>
        <w:gridCol w:w="2568"/>
        <w:gridCol w:w="2137"/>
        <w:gridCol w:w="1418"/>
        <w:gridCol w:w="1417"/>
        <w:gridCol w:w="1386"/>
      </w:tblGrid>
      <w:tr w:rsidR="00E8305C" w:rsidRPr="00683F61" w14:paraId="14A0FC24" w14:textId="77777777" w:rsidTr="00163AA6">
        <w:trPr>
          <w:trHeight w:val="725"/>
          <w:jc w:val="center"/>
        </w:trPr>
        <w:tc>
          <w:tcPr>
            <w:tcW w:w="2568" w:type="dxa"/>
            <w:shd w:val="clear" w:color="auto" w:fill="C00000"/>
          </w:tcPr>
          <w:p w14:paraId="65002525" w14:textId="77777777" w:rsidR="00E8305C" w:rsidRPr="00683F61" w:rsidRDefault="00E8305C" w:rsidP="00617565">
            <w:pPr>
              <w:rPr>
                <w:rFonts w:asciiTheme="minorHAnsi" w:hAnsiTheme="minorHAnsi" w:cstheme="minorHAnsi"/>
                <w:b/>
                <w:color w:val="FFFFFF" w:themeColor="background1"/>
                <w:szCs w:val="18"/>
              </w:rPr>
            </w:pPr>
            <w:r w:rsidRPr="00683F61">
              <w:rPr>
                <w:rFonts w:asciiTheme="minorHAnsi" w:hAnsiTheme="minorHAnsi" w:cstheme="minorHAnsi"/>
                <w:b/>
                <w:color w:val="FFFFFF" w:themeColor="background1"/>
                <w:szCs w:val="18"/>
              </w:rPr>
              <w:t>Shortlisted Bidder</w:t>
            </w:r>
          </w:p>
        </w:tc>
        <w:tc>
          <w:tcPr>
            <w:tcW w:w="2137" w:type="dxa"/>
            <w:shd w:val="clear" w:color="auto" w:fill="C00000"/>
          </w:tcPr>
          <w:p w14:paraId="519DF513" w14:textId="77777777" w:rsidR="00E8305C" w:rsidRPr="00683F61" w:rsidRDefault="00E8305C" w:rsidP="00617565">
            <w:pPr>
              <w:rPr>
                <w:rFonts w:asciiTheme="minorHAnsi" w:hAnsiTheme="minorHAnsi" w:cstheme="minorHAnsi"/>
                <w:b/>
                <w:color w:val="FFFFFF" w:themeColor="background1"/>
                <w:szCs w:val="18"/>
              </w:rPr>
            </w:pPr>
            <w:r w:rsidRPr="00683F61">
              <w:rPr>
                <w:rFonts w:asciiTheme="minorHAnsi" w:hAnsiTheme="minorHAnsi" w:cstheme="minorHAnsi"/>
                <w:b/>
                <w:color w:val="FFFFFF" w:themeColor="background1"/>
                <w:szCs w:val="18"/>
              </w:rPr>
              <w:t>Local content commitment</w:t>
            </w:r>
          </w:p>
        </w:tc>
        <w:tc>
          <w:tcPr>
            <w:tcW w:w="1418" w:type="dxa"/>
            <w:shd w:val="clear" w:color="auto" w:fill="C00000"/>
          </w:tcPr>
          <w:p w14:paraId="33CFC4AD" w14:textId="77777777" w:rsidR="00E8305C" w:rsidRPr="00683F61" w:rsidRDefault="00E8305C" w:rsidP="00617565">
            <w:pPr>
              <w:rPr>
                <w:rFonts w:asciiTheme="minorHAnsi" w:hAnsiTheme="minorHAnsi" w:cstheme="minorHAnsi"/>
                <w:b/>
                <w:color w:val="FFFFFF" w:themeColor="background1"/>
                <w:szCs w:val="18"/>
              </w:rPr>
            </w:pPr>
            <w:r w:rsidRPr="00683F61">
              <w:rPr>
                <w:rFonts w:asciiTheme="minorHAnsi" w:hAnsiTheme="minorHAnsi" w:cstheme="minorHAnsi"/>
                <w:b/>
                <w:color w:val="FFFFFF" w:themeColor="background1"/>
                <w:szCs w:val="18"/>
              </w:rPr>
              <w:t xml:space="preserve">Local Content Score </w:t>
            </w:r>
            <w:r w:rsidRPr="00683F61">
              <w:rPr>
                <w:rFonts w:asciiTheme="minorHAnsi" w:hAnsiTheme="minorHAnsi" w:cstheme="minorHAnsi"/>
                <w:b/>
                <w:color w:val="FFFFFF" w:themeColor="background1"/>
                <w:szCs w:val="18"/>
              </w:rPr>
              <w:br/>
            </w:r>
            <w:r w:rsidRPr="00683F61">
              <w:rPr>
                <w:rFonts w:asciiTheme="minorHAnsi" w:hAnsiTheme="minorHAnsi" w:cstheme="minorHAnsi"/>
                <w:color w:val="FFFFFF" w:themeColor="background1"/>
                <w:szCs w:val="18"/>
              </w:rPr>
              <w:t>(up to 10 points)</w:t>
            </w:r>
          </w:p>
        </w:tc>
        <w:tc>
          <w:tcPr>
            <w:tcW w:w="1417" w:type="dxa"/>
            <w:shd w:val="clear" w:color="auto" w:fill="C00000"/>
          </w:tcPr>
          <w:p w14:paraId="44B8F478" w14:textId="77777777" w:rsidR="00E8305C" w:rsidRPr="00683F61" w:rsidRDefault="00E8305C" w:rsidP="00617565">
            <w:pPr>
              <w:rPr>
                <w:rFonts w:asciiTheme="minorHAnsi" w:hAnsiTheme="minorHAnsi" w:cstheme="minorHAnsi"/>
                <w:b/>
                <w:color w:val="FFFFFF" w:themeColor="background1"/>
                <w:szCs w:val="18"/>
              </w:rPr>
            </w:pPr>
            <w:r w:rsidRPr="00683F61">
              <w:rPr>
                <w:rFonts w:asciiTheme="minorHAnsi" w:hAnsiTheme="minorHAnsi" w:cstheme="minorHAnsi"/>
                <w:b/>
                <w:color w:val="FFFFFF" w:themeColor="background1"/>
                <w:szCs w:val="18"/>
              </w:rPr>
              <w:t>Less Local Content ‘Risk Discount’</w:t>
            </w:r>
          </w:p>
        </w:tc>
        <w:tc>
          <w:tcPr>
            <w:tcW w:w="1386" w:type="dxa"/>
            <w:shd w:val="clear" w:color="auto" w:fill="C00000"/>
          </w:tcPr>
          <w:p w14:paraId="06876E59" w14:textId="77777777" w:rsidR="00E8305C" w:rsidRPr="00683F61" w:rsidRDefault="00E8305C" w:rsidP="00617565">
            <w:pPr>
              <w:rPr>
                <w:rFonts w:asciiTheme="minorHAnsi" w:hAnsiTheme="minorHAnsi" w:cstheme="minorHAnsi"/>
                <w:b/>
                <w:color w:val="FFFFFF" w:themeColor="background1"/>
                <w:szCs w:val="18"/>
              </w:rPr>
            </w:pPr>
            <w:r w:rsidRPr="00683F61">
              <w:rPr>
                <w:rFonts w:asciiTheme="minorHAnsi" w:hAnsiTheme="minorHAnsi" w:cstheme="minorHAnsi"/>
                <w:b/>
                <w:color w:val="FFFFFF" w:themeColor="background1"/>
                <w:szCs w:val="18"/>
              </w:rPr>
              <w:t>Total score</w:t>
            </w:r>
            <w:r w:rsidRPr="00683F61">
              <w:rPr>
                <w:rFonts w:asciiTheme="minorHAnsi" w:hAnsiTheme="minorHAnsi" w:cstheme="minorHAnsi"/>
                <w:b/>
                <w:color w:val="FFFFFF" w:themeColor="background1"/>
                <w:szCs w:val="18"/>
              </w:rPr>
              <w:br/>
              <w:t>(out of 10)</w:t>
            </w:r>
          </w:p>
        </w:tc>
      </w:tr>
      <w:tr w:rsidR="00E8305C" w:rsidRPr="00683F61" w14:paraId="4AFC2BA2" w14:textId="77777777" w:rsidTr="00163AA6">
        <w:trPr>
          <w:trHeight w:val="285"/>
          <w:jc w:val="center"/>
        </w:trPr>
        <w:tc>
          <w:tcPr>
            <w:tcW w:w="2568" w:type="dxa"/>
          </w:tcPr>
          <w:p w14:paraId="7EF5A034" w14:textId="77777777" w:rsidR="00E8305C" w:rsidRPr="00683F61" w:rsidRDefault="00E8305C" w:rsidP="00617565">
            <w:pPr>
              <w:rPr>
                <w:rFonts w:asciiTheme="minorHAnsi" w:hAnsiTheme="minorHAnsi" w:cstheme="minorHAnsi"/>
                <w:szCs w:val="18"/>
              </w:rPr>
            </w:pPr>
            <w:r w:rsidRPr="00683F61">
              <w:rPr>
                <w:rFonts w:asciiTheme="minorHAnsi" w:hAnsiTheme="minorHAnsi" w:cstheme="minorHAnsi"/>
                <w:szCs w:val="18"/>
              </w:rPr>
              <w:t>Bidder 1 – High Risk</w:t>
            </w:r>
          </w:p>
        </w:tc>
        <w:tc>
          <w:tcPr>
            <w:tcW w:w="2137" w:type="dxa"/>
          </w:tcPr>
          <w:p w14:paraId="300FF4C3" w14:textId="5F907A30"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94</w:t>
            </w:r>
            <w:r w:rsidR="00875D96">
              <w:rPr>
                <w:rFonts w:asciiTheme="minorHAnsi" w:hAnsiTheme="minorHAnsi" w:cstheme="minorHAnsi"/>
                <w:szCs w:val="18"/>
              </w:rPr>
              <w:t xml:space="preserve"> per cent</w:t>
            </w:r>
          </w:p>
        </w:tc>
        <w:tc>
          <w:tcPr>
            <w:tcW w:w="1418" w:type="dxa"/>
          </w:tcPr>
          <w:p w14:paraId="6F2D98B4" w14:textId="77777777"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9.4</w:t>
            </w:r>
          </w:p>
        </w:tc>
        <w:tc>
          <w:tcPr>
            <w:tcW w:w="1417" w:type="dxa"/>
          </w:tcPr>
          <w:p w14:paraId="4348369D" w14:textId="5E04FEC2" w:rsidR="00E8305C" w:rsidRPr="00683F61" w:rsidRDefault="00E8305C" w:rsidP="00A54B0B">
            <w:pPr>
              <w:rPr>
                <w:rFonts w:asciiTheme="minorHAnsi" w:hAnsiTheme="minorHAnsi" w:cstheme="minorHAnsi"/>
                <w:szCs w:val="18"/>
              </w:rPr>
            </w:pPr>
            <w:r w:rsidRPr="00683F61">
              <w:rPr>
                <w:rFonts w:asciiTheme="minorHAnsi" w:hAnsiTheme="minorHAnsi" w:cstheme="minorHAnsi"/>
                <w:szCs w:val="18"/>
              </w:rPr>
              <w:t>All</w:t>
            </w:r>
            <w:r w:rsidR="00A54B0B">
              <w:rPr>
                <w:rFonts w:asciiTheme="minorHAnsi" w:hAnsiTheme="minorHAnsi" w:cstheme="minorHAnsi"/>
                <w:szCs w:val="18"/>
              </w:rPr>
              <w:t xml:space="preserve"> </w:t>
            </w:r>
            <w:r w:rsidRPr="00683F61">
              <w:rPr>
                <w:rFonts w:asciiTheme="minorHAnsi" w:hAnsiTheme="minorHAnsi" w:cstheme="minorHAnsi"/>
                <w:szCs w:val="18"/>
              </w:rPr>
              <w:t>points deducted</w:t>
            </w:r>
          </w:p>
        </w:tc>
        <w:tc>
          <w:tcPr>
            <w:tcW w:w="1386" w:type="dxa"/>
          </w:tcPr>
          <w:p w14:paraId="4463FD60" w14:textId="77777777" w:rsidR="00E8305C" w:rsidRPr="00683F61" w:rsidRDefault="00E8305C" w:rsidP="00617565">
            <w:pPr>
              <w:rPr>
                <w:rFonts w:asciiTheme="minorHAnsi" w:hAnsiTheme="minorHAnsi" w:cstheme="minorHAnsi"/>
                <w:b/>
                <w:szCs w:val="18"/>
              </w:rPr>
            </w:pPr>
            <w:r w:rsidRPr="00683F61">
              <w:rPr>
                <w:rFonts w:asciiTheme="minorHAnsi" w:hAnsiTheme="minorHAnsi" w:cstheme="minorHAnsi"/>
                <w:b/>
                <w:szCs w:val="18"/>
              </w:rPr>
              <w:t>0</w:t>
            </w:r>
          </w:p>
        </w:tc>
      </w:tr>
      <w:tr w:rsidR="00E8305C" w:rsidRPr="00683F61" w14:paraId="4497730F" w14:textId="77777777" w:rsidTr="00163AA6">
        <w:trPr>
          <w:trHeight w:val="285"/>
          <w:jc w:val="center"/>
        </w:trPr>
        <w:tc>
          <w:tcPr>
            <w:tcW w:w="2568" w:type="dxa"/>
          </w:tcPr>
          <w:p w14:paraId="4722C4EF" w14:textId="77777777" w:rsidR="00E8305C" w:rsidRPr="00683F61" w:rsidRDefault="00E8305C" w:rsidP="00617565">
            <w:pPr>
              <w:rPr>
                <w:rFonts w:asciiTheme="minorHAnsi" w:hAnsiTheme="minorHAnsi" w:cstheme="minorHAnsi"/>
                <w:szCs w:val="18"/>
              </w:rPr>
            </w:pPr>
            <w:r w:rsidRPr="00683F61">
              <w:rPr>
                <w:rFonts w:asciiTheme="minorHAnsi" w:hAnsiTheme="minorHAnsi" w:cstheme="minorHAnsi"/>
                <w:szCs w:val="18"/>
              </w:rPr>
              <w:t>Bidder 2 – Low Risk</w:t>
            </w:r>
          </w:p>
        </w:tc>
        <w:tc>
          <w:tcPr>
            <w:tcW w:w="2137" w:type="dxa"/>
          </w:tcPr>
          <w:p w14:paraId="1BE9F1EC" w14:textId="44AC7D45"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90</w:t>
            </w:r>
            <w:r w:rsidR="00875D96">
              <w:rPr>
                <w:rFonts w:asciiTheme="minorHAnsi" w:hAnsiTheme="minorHAnsi" w:cstheme="minorHAnsi"/>
                <w:szCs w:val="18"/>
              </w:rPr>
              <w:t xml:space="preserve"> per cent</w:t>
            </w:r>
          </w:p>
        </w:tc>
        <w:tc>
          <w:tcPr>
            <w:tcW w:w="1418" w:type="dxa"/>
          </w:tcPr>
          <w:p w14:paraId="78F2B031" w14:textId="77777777"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9</w:t>
            </w:r>
          </w:p>
        </w:tc>
        <w:tc>
          <w:tcPr>
            <w:tcW w:w="1417" w:type="dxa"/>
          </w:tcPr>
          <w:p w14:paraId="115E3041" w14:textId="77777777"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0</w:t>
            </w:r>
          </w:p>
        </w:tc>
        <w:tc>
          <w:tcPr>
            <w:tcW w:w="1386" w:type="dxa"/>
          </w:tcPr>
          <w:p w14:paraId="656DE92E" w14:textId="77777777" w:rsidR="00E8305C" w:rsidRPr="00683F61" w:rsidRDefault="00E8305C" w:rsidP="00617565">
            <w:pPr>
              <w:rPr>
                <w:rFonts w:asciiTheme="minorHAnsi" w:hAnsiTheme="minorHAnsi" w:cstheme="minorHAnsi"/>
                <w:b/>
                <w:szCs w:val="18"/>
              </w:rPr>
            </w:pPr>
            <w:r w:rsidRPr="00683F61">
              <w:rPr>
                <w:rFonts w:asciiTheme="minorHAnsi" w:hAnsiTheme="minorHAnsi" w:cstheme="minorHAnsi"/>
                <w:b/>
                <w:szCs w:val="18"/>
              </w:rPr>
              <w:t>9.0</w:t>
            </w:r>
          </w:p>
        </w:tc>
      </w:tr>
      <w:tr w:rsidR="00E8305C" w:rsidRPr="00683F61" w14:paraId="18BDBF46" w14:textId="77777777" w:rsidTr="00163AA6">
        <w:trPr>
          <w:trHeight w:val="74"/>
          <w:jc w:val="center"/>
        </w:trPr>
        <w:tc>
          <w:tcPr>
            <w:tcW w:w="2568" w:type="dxa"/>
          </w:tcPr>
          <w:p w14:paraId="0125EF21" w14:textId="77777777" w:rsidR="00E8305C" w:rsidRPr="00683F61" w:rsidRDefault="00E8305C" w:rsidP="00617565">
            <w:pPr>
              <w:rPr>
                <w:rFonts w:asciiTheme="minorHAnsi" w:hAnsiTheme="minorHAnsi" w:cstheme="minorHAnsi"/>
                <w:szCs w:val="18"/>
              </w:rPr>
            </w:pPr>
            <w:r w:rsidRPr="00683F61">
              <w:rPr>
                <w:rFonts w:asciiTheme="minorHAnsi" w:hAnsiTheme="minorHAnsi" w:cstheme="minorHAnsi"/>
                <w:szCs w:val="18"/>
              </w:rPr>
              <w:t>Bidder 3 – Medium Risk</w:t>
            </w:r>
          </w:p>
        </w:tc>
        <w:tc>
          <w:tcPr>
            <w:tcW w:w="2137" w:type="dxa"/>
          </w:tcPr>
          <w:p w14:paraId="27536EF3" w14:textId="284EA73F"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84</w:t>
            </w:r>
            <w:r w:rsidR="00875D96">
              <w:rPr>
                <w:rFonts w:asciiTheme="minorHAnsi" w:hAnsiTheme="minorHAnsi" w:cstheme="minorHAnsi"/>
                <w:szCs w:val="18"/>
              </w:rPr>
              <w:t xml:space="preserve"> per cent</w:t>
            </w:r>
          </w:p>
        </w:tc>
        <w:tc>
          <w:tcPr>
            <w:tcW w:w="1418" w:type="dxa"/>
          </w:tcPr>
          <w:p w14:paraId="46D42F54" w14:textId="77777777"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8.4</w:t>
            </w:r>
          </w:p>
        </w:tc>
        <w:tc>
          <w:tcPr>
            <w:tcW w:w="1417" w:type="dxa"/>
          </w:tcPr>
          <w:p w14:paraId="552880B2" w14:textId="77777777" w:rsidR="00E8305C" w:rsidRPr="00683F61" w:rsidRDefault="00E8305C" w:rsidP="00617565">
            <w:pPr>
              <w:jc w:val="both"/>
              <w:rPr>
                <w:rFonts w:asciiTheme="minorHAnsi" w:hAnsiTheme="minorHAnsi" w:cstheme="minorHAnsi"/>
                <w:szCs w:val="18"/>
              </w:rPr>
            </w:pPr>
            <w:r w:rsidRPr="00683F61">
              <w:rPr>
                <w:rFonts w:asciiTheme="minorHAnsi" w:hAnsiTheme="minorHAnsi" w:cstheme="minorHAnsi"/>
                <w:szCs w:val="18"/>
              </w:rPr>
              <w:t>-2</w:t>
            </w:r>
          </w:p>
        </w:tc>
        <w:tc>
          <w:tcPr>
            <w:tcW w:w="1386" w:type="dxa"/>
          </w:tcPr>
          <w:p w14:paraId="0DDE004A" w14:textId="77777777" w:rsidR="00E8305C" w:rsidRPr="00683F61" w:rsidRDefault="00E8305C" w:rsidP="00617565">
            <w:pPr>
              <w:rPr>
                <w:rFonts w:asciiTheme="minorHAnsi" w:hAnsiTheme="minorHAnsi" w:cstheme="minorHAnsi"/>
                <w:b/>
                <w:szCs w:val="18"/>
              </w:rPr>
            </w:pPr>
            <w:r w:rsidRPr="00683F61">
              <w:rPr>
                <w:rFonts w:asciiTheme="minorHAnsi" w:hAnsiTheme="minorHAnsi" w:cstheme="minorHAnsi"/>
                <w:b/>
                <w:szCs w:val="18"/>
              </w:rPr>
              <w:t>6.4</w:t>
            </w:r>
          </w:p>
        </w:tc>
      </w:tr>
    </w:tbl>
    <w:p w14:paraId="72AF1E70" w14:textId="77777777" w:rsidR="0047323A" w:rsidRDefault="0047323A" w:rsidP="00E8305C">
      <w:pPr>
        <w:jc w:val="both"/>
        <w:rPr>
          <w:b/>
          <w:sz w:val="20"/>
        </w:rPr>
      </w:pPr>
    </w:p>
    <w:p w14:paraId="19B5E592" w14:textId="1ACAD737" w:rsidR="00E8305C" w:rsidRPr="005118B4" w:rsidRDefault="00E8305C" w:rsidP="00E8305C">
      <w:pPr>
        <w:jc w:val="both"/>
        <w:rPr>
          <w:b/>
          <w:szCs w:val="18"/>
        </w:rPr>
      </w:pPr>
      <w:r w:rsidRPr="005118B4">
        <w:rPr>
          <w:b/>
          <w:szCs w:val="18"/>
        </w:rPr>
        <w:t xml:space="preserve">Scoring for job outcomes </w:t>
      </w:r>
    </w:p>
    <w:p w14:paraId="7234D09A" w14:textId="6C72D3EE" w:rsidR="00E8305C" w:rsidRPr="00B46988" w:rsidRDefault="00A62CCC" w:rsidP="005118B4">
      <w:pPr>
        <w:numPr>
          <w:ilvl w:val="0"/>
          <w:numId w:val="8"/>
        </w:numPr>
        <w:spacing w:before="0"/>
        <w:ind w:left="360"/>
        <w:jc w:val="both"/>
        <w:rPr>
          <w:rFonts w:cs="Arial"/>
        </w:rPr>
      </w:pPr>
      <w:r w:rsidRPr="00B46988">
        <w:rPr>
          <w:rFonts w:cs="Arial"/>
        </w:rPr>
        <w:t>A maximum</w:t>
      </w:r>
      <w:r w:rsidR="00E8305C" w:rsidRPr="00B46988">
        <w:rPr>
          <w:rFonts w:cs="Arial"/>
        </w:rPr>
        <w:t xml:space="preserve"> of 10 points</w:t>
      </w:r>
      <w:r w:rsidR="006F3F95">
        <w:rPr>
          <w:rFonts w:cs="Arial"/>
        </w:rPr>
        <w:t xml:space="preserve"> for jobs ou</w:t>
      </w:r>
      <w:r w:rsidR="0028416B">
        <w:rPr>
          <w:rFonts w:cs="Arial"/>
        </w:rPr>
        <w:t>t</w:t>
      </w:r>
      <w:r w:rsidR="006F3F95">
        <w:rPr>
          <w:rFonts w:cs="Arial"/>
        </w:rPr>
        <w:t>comes</w:t>
      </w:r>
      <w:r w:rsidR="00E8305C" w:rsidRPr="00B46988">
        <w:rPr>
          <w:rFonts w:cs="Arial"/>
        </w:rPr>
        <w:t xml:space="preserve"> is allocated and bid scores are calculated using a reference or comparison method. </w:t>
      </w:r>
    </w:p>
    <w:p w14:paraId="6F33977B" w14:textId="65EBE6A3" w:rsidR="00E8305C" w:rsidRPr="00B46988" w:rsidRDefault="00E8305C" w:rsidP="005118B4">
      <w:pPr>
        <w:numPr>
          <w:ilvl w:val="0"/>
          <w:numId w:val="8"/>
        </w:numPr>
        <w:spacing w:before="0"/>
        <w:ind w:left="360"/>
        <w:jc w:val="both"/>
        <w:rPr>
          <w:rFonts w:cs="Arial"/>
        </w:rPr>
      </w:pPr>
      <w:r w:rsidRPr="00B46988">
        <w:rPr>
          <w:rFonts w:cs="Arial"/>
        </w:rPr>
        <w:t xml:space="preserve">Job outcomes in bids are required to be compared against each other and relative scores assigned. </w:t>
      </w:r>
      <w:r w:rsidR="00A62CCC" w:rsidRPr="00B46988">
        <w:rPr>
          <w:rFonts w:cs="Arial"/>
        </w:rPr>
        <w:t xml:space="preserve"> </w:t>
      </w:r>
    </w:p>
    <w:p w14:paraId="5979C8CE" w14:textId="0AA17473" w:rsidR="00A605AB" w:rsidRPr="00B46988" w:rsidRDefault="00E8305C" w:rsidP="005118B4">
      <w:pPr>
        <w:numPr>
          <w:ilvl w:val="0"/>
          <w:numId w:val="8"/>
        </w:numPr>
        <w:spacing w:before="0"/>
        <w:ind w:left="360"/>
        <w:jc w:val="both"/>
        <w:rPr>
          <w:rFonts w:cs="Arial"/>
        </w:rPr>
      </w:pPr>
      <w:r w:rsidRPr="00B46988">
        <w:rPr>
          <w:rFonts w:cs="Arial"/>
        </w:rPr>
        <w:t xml:space="preserve">The Scoring Table below should be used to rate the job outcomes of each bid out of 10. Bids that commit to creating </w:t>
      </w:r>
      <w:r w:rsidR="00B770F3" w:rsidRPr="00B46988">
        <w:rPr>
          <w:rFonts w:cs="Arial"/>
        </w:rPr>
        <w:t xml:space="preserve">or retaining </w:t>
      </w:r>
      <w:r w:rsidRPr="00B46988">
        <w:rPr>
          <w:rFonts w:cs="Arial"/>
        </w:rPr>
        <w:t xml:space="preserve">a higher number of Victorian jobs and job development opportunities are scored more highly than bids that commit to a lower number of jobs. The bid with the least number of jobs and job development opportunities will receive the lowest rating out of 10. Each element has equal weighting (e.g. Victorian jobs created or retained). </w:t>
      </w:r>
      <w:r w:rsidR="00367721" w:rsidRPr="00B46988">
        <w:rPr>
          <w:rFonts w:cs="Arial"/>
        </w:rPr>
        <w:t xml:space="preserve">Agencies should not favour created or retained jobs – they should be treated equally. </w:t>
      </w:r>
    </w:p>
    <w:p w14:paraId="301974FB" w14:textId="21F72D6F" w:rsidR="00A605AB" w:rsidRPr="00B46988" w:rsidRDefault="00A605AB" w:rsidP="005118B4">
      <w:pPr>
        <w:numPr>
          <w:ilvl w:val="0"/>
          <w:numId w:val="8"/>
        </w:numPr>
        <w:spacing w:before="0"/>
        <w:ind w:left="360"/>
        <w:jc w:val="both"/>
        <w:rPr>
          <w:rFonts w:cs="Arial"/>
        </w:rPr>
      </w:pPr>
      <w:r w:rsidRPr="00B46988">
        <w:rPr>
          <w:rFonts w:cs="Arial"/>
        </w:rPr>
        <w:t>If the Tenderer’s submission contains no job creation (Victorian, ANZ or otherwise) the tenderer gets 0</w:t>
      </w:r>
      <w:r w:rsidR="006F3F95">
        <w:rPr>
          <w:rFonts w:cs="Arial"/>
        </w:rPr>
        <w:t>.</w:t>
      </w:r>
    </w:p>
    <w:p w14:paraId="5BA99B79" w14:textId="6722CF1F" w:rsidR="00A605AB" w:rsidRPr="00B46988" w:rsidRDefault="00A605AB" w:rsidP="005118B4">
      <w:pPr>
        <w:numPr>
          <w:ilvl w:val="0"/>
          <w:numId w:val="8"/>
        </w:numPr>
        <w:spacing w:before="0"/>
        <w:ind w:left="360"/>
        <w:jc w:val="both"/>
        <w:rPr>
          <w:rFonts w:cs="Arial"/>
        </w:rPr>
      </w:pPr>
      <w:r w:rsidRPr="00B46988">
        <w:rPr>
          <w:rFonts w:cs="Arial"/>
        </w:rPr>
        <w:t xml:space="preserve">If </w:t>
      </w:r>
      <w:r w:rsidR="00293026">
        <w:rPr>
          <w:rFonts w:cs="Arial"/>
        </w:rPr>
        <w:t>the Tenderer</w:t>
      </w:r>
      <w:r w:rsidR="00293026" w:rsidRPr="00B46988">
        <w:rPr>
          <w:rFonts w:cs="Arial"/>
        </w:rPr>
        <w:t xml:space="preserve"> </w:t>
      </w:r>
      <w:r w:rsidR="00CA4B5A">
        <w:rPr>
          <w:rFonts w:cs="Arial"/>
        </w:rPr>
        <w:t>is</w:t>
      </w:r>
      <w:r w:rsidRPr="00B46988">
        <w:rPr>
          <w:rFonts w:cs="Arial"/>
        </w:rPr>
        <w:t xml:space="preserve"> not committing</w:t>
      </w:r>
      <w:r w:rsidR="00293026">
        <w:rPr>
          <w:rFonts w:cs="Arial"/>
        </w:rPr>
        <w:t xml:space="preserve"> to</w:t>
      </w:r>
      <w:r w:rsidRPr="00B46988">
        <w:rPr>
          <w:rFonts w:cs="Arial"/>
        </w:rPr>
        <w:t xml:space="preserve"> any new or retained jobs then </w:t>
      </w:r>
      <w:r w:rsidR="00293026">
        <w:rPr>
          <w:rFonts w:cs="Arial"/>
        </w:rPr>
        <w:t xml:space="preserve">the score </w:t>
      </w:r>
      <w:r w:rsidRPr="00B46988">
        <w:rPr>
          <w:rFonts w:cs="Arial"/>
        </w:rPr>
        <w:t xml:space="preserve">would be a 0. However, if </w:t>
      </w:r>
      <w:r w:rsidR="001F0A66">
        <w:rPr>
          <w:rFonts w:cs="Arial"/>
        </w:rPr>
        <w:t>it is</w:t>
      </w:r>
      <w:r w:rsidRPr="00B46988">
        <w:rPr>
          <w:rFonts w:cs="Arial"/>
        </w:rPr>
        <w:t xml:space="preserve"> still committing to retaining jobs then </w:t>
      </w:r>
      <w:r w:rsidR="00293026">
        <w:rPr>
          <w:rFonts w:cs="Arial"/>
        </w:rPr>
        <w:t>this should be</w:t>
      </w:r>
      <w:r w:rsidRPr="00B46988">
        <w:rPr>
          <w:rFonts w:cs="Arial"/>
        </w:rPr>
        <w:t xml:space="preserve"> judge</w:t>
      </w:r>
      <w:r w:rsidR="00293026">
        <w:rPr>
          <w:rFonts w:cs="Arial"/>
        </w:rPr>
        <w:t>d</w:t>
      </w:r>
      <w:r w:rsidRPr="00B46988">
        <w:rPr>
          <w:rFonts w:cs="Arial"/>
        </w:rPr>
        <w:t xml:space="preserve"> accordingly. The Policy does not </w:t>
      </w:r>
      <w:r w:rsidR="00C14CF9" w:rsidRPr="00B46988">
        <w:rPr>
          <w:rFonts w:cs="Arial"/>
        </w:rPr>
        <w:t>differentiate</w:t>
      </w:r>
      <w:r w:rsidRPr="00B46988">
        <w:rPr>
          <w:rFonts w:cs="Arial"/>
        </w:rPr>
        <w:t xml:space="preserve"> against new/retained jobs. </w:t>
      </w:r>
    </w:p>
    <w:p w14:paraId="62932DED" w14:textId="1A591446" w:rsidR="00A605AB" w:rsidRPr="00C70919" w:rsidRDefault="00A605AB" w:rsidP="005118B4">
      <w:pPr>
        <w:numPr>
          <w:ilvl w:val="0"/>
          <w:numId w:val="8"/>
        </w:numPr>
        <w:spacing w:before="0"/>
        <w:ind w:left="360"/>
        <w:jc w:val="both"/>
        <w:rPr>
          <w:rFonts w:cs="Arial"/>
        </w:rPr>
      </w:pPr>
      <w:r w:rsidRPr="00B46988">
        <w:rPr>
          <w:rFonts w:cs="Arial"/>
        </w:rPr>
        <w:t xml:space="preserve">If the Tender’s submission contains no job creation (Victorian, ANZ or otherwise), but details a very low number of Victorian jobs retained, the Tenderer gets 1-3. However, it is important to keep in mind the context of the specific tender and bidder. The </w:t>
      </w:r>
      <w:r w:rsidR="00747161" w:rsidRPr="00B46988">
        <w:rPr>
          <w:rFonts w:cs="Arial"/>
        </w:rPr>
        <w:t>delivery</w:t>
      </w:r>
      <w:r w:rsidRPr="00B46988">
        <w:rPr>
          <w:rFonts w:cs="Arial"/>
        </w:rPr>
        <w:t xml:space="preserve"> agency should consider the likely employment needed to fulfil the contract and benchmark jobs commitments against this </w:t>
      </w:r>
      <w:r w:rsidR="0076703E">
        <w:rPr>
          <w:rFonts w:cs="Arial"/>
        </w:rPr>
        <w:t>a</w:t>
      </w:r>
      <w:r w:rsidRPr="00B46988">
        <w:rPr>
          <w:rFonts w:cs="Arial"/>
        </w:rPr>
        <w:t xml:space="preserve">ccordingly. Also, a large company will naturally be able to commit a larger (and perhaps ultimately unrealistic) number of jobs, so the size and capability of a company should also be taken into consideration. </w:t>
      </w:r>
    </w:p>
    <w:p w14:paraId="63B57309" w14:textId="3CBC15A0" w:rsidR="00E8305C" w:rsidRPr="001E3CD5" w:rsidRDefault="00163AA6" w:rsidP="001E3CD5">
      <w:pPr>
        <w:rPr>
          <w:rFonts w:asciiTheme="minorHAnsi" w:hAnsiTheme="minorHAnsi" w:cstheme="minorHAnsi"/>
          <w:b/>
          <w:szCs w:val="18"/>
        </w:rPr>
      </w:pPr>
      <w:r w:rsidRPr="001E3CD5">
        <w:rPr>
          <w:rFonts w:asciiTheme="minorHAnsi" w:hAnsiTheme="minorHAnsi" w:cstheme="minorHAnsi"/>
          <w:b/>
          <w:szCs w:val="18"/>
        </w:rPr>
        <w:t xml:space="preserve">Table 3 - </w:t>
      </w:r>
      <w:r w:rsidR="00E8305C" w:rsidRPr="001E3CD5">
        <w:rPr>
          <w:rFonts w:asciiTheme="minorHAnsi" w:hAnsiTheme="minorHAnsi" w:cstheme="minorHAnsi"/>
          <w:b/>
          <w:szCs w:val="18"/>
        </w:rPr>
        <w:t xml:space="preserve">Relative scores for </w:t>
      </w:r>
      <w:r w:rsidR="00072E9F">
        <w:rPr>
          <w:rFonts w:asciiTheme="minorHAnsi" w:hAnsiTheme="minorHAnsi" w:cstheme="minorHAnsi"/>
          <w:b/>
          <w:szCs w:val="18"/>
        </w:rPr>
        <w:t>S</w:t>
      </w:r>
      <w:r w:rsidR="0043627C" w:rsidRPr="001E3CD5">
        <w:rPr>
          <w:rFonts w:asciiTheme="minorHAnsi" w:hAnsiTheme="minorHAnsi" w:cstheme="minorHAnsi"/>
          <w:b/>
          <w:szCs w:val="18"/>
        </w:rPr>
        <w:t xml:space="preserve">tandard </w:t>
      </w:r>
      <w:r w:rsidR="00072E9F">
        <w:rPr>
          <w:rFonts w:asciiTheme="minorHAnsi" w:hAnsiTheme="minorHAnsi" w:cstheme="minorHAnsi"/>
          <w:b/>
          <w:szCs w:val="18"/>
        </w:rPr>
        <w:t>P</w:t>
      </w:r>
      <w:r w:rsidR="0043627C" w:rsidRPr="001E3CD5">
        <w:rPr>
          <w:rFonts w:asciiTheme="minorHAnsi" w:hAnsiTheme="minorHAnsi" w:cstheme="minorHAnsi"/>
          <w:b/>
          <w:szCs w:val="18"/>
        </w:rPr>
        <w:t xml:space="preserve">rojects </w:t>
      </w:r>
      <w:r w:rsidR="00E8305C" w:rsidRPr="001E3CD5">
        <w:rPr>
          <w:rFonts w:asciiTheme="minorHAnsi" w:hAnsiTheme="minorHAnsi" w:cstheme="minorHAnsi"/>
          <w:b/>
          <w:szCs w:val="18"/>
        </w:rPr>
        <w:t xml:space="preserve"> </w:t>
      </w:r>
    </w:p>
    <w:tbl>
      <w:tblPr>
        <w:tblStyle w:val="TableGrid"/>
        <w:tblW w:w="9776" w:type="dxa"/>
        <w:tblLayout w:type="fixed"/>
        <w:tblLook w:val="04A0" w:firstRow="1" w:lastRow="0" w:firstColumn="1" w:lastColumn="0" w:noHBand="0" w:noVBand="1"/>
      </w:tblPr>
      <w:tblGrid>
        <w:gridCol w:w="1134"/>
        <w:gridCol w:w="2405"/>
        <w:gridCol w:w="1843"/>
        <w:gridCol w:w="2126"/>
        <w:gridCol w:w="2268"/>
      </w:tblGrid>
      <w:tr w:rsidR="00E8305C" w:rsidRPr="00A62CCC" w14:paraId="7C407434" w14:textId="77777777" w:rsidTr="00617565">
        <w:trPr>
          <w:trHeight w:val="597"/>
        </w:trPr>
        <w:tc>
          <w:tcPr>
            <w:tcW w:w="1134" w:type="dxa"/>
            <w:shd w:val="clear" w:color="auto" w:fill="C00000"/>
          </w:tcPr>
          <w:p w14:paraId="430AF9BC" w14:textId="77777777" w:rsidR="00E8305C" w:rsidRPr="00A62CCC" w:rsidRDefault="00E8305C" w:rsidP="00617565">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Score</w:t>
            </w:r>
          </w:p>
        </w:tc>
        <w:tc>
          <w:tcPr>
            <w:tcW w:w="2405" w:type="dxa"/>
            <w:shd w:val="clear" w:color="auto" w:fill="C00000"/>
          </w:tcPr>
          <w:p w14:paraId="171B767E" w14:textId="77777777" w:rsidR="00E8305C" w:rsidRPr="00A62CCC" w:rsidRDefault="00E8305C" w:rsidP="00617565">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0</w:t>
            </w:r>
          </w:p>
          <w:p w14:paraId="139D8768" w14:textId="77777777" w:rsidR="00E8305C" w:rsidRPr="00A62CCC" w:rsidRDefault="00E8305C" w:rsidP="00617565">
            <w:pPr>
              <w:rPr>
                <w:rFonts w:asciiTheme="minorHAnsi" w:hAnsiTheme="minorHAnsi" w:cstheme="minorHAnsi"/>
                <w:b/>
                <w:color w:val="FFFFFF" w:themeColor="background1"/>
                <w:szCs w:val="18"/>
              </w:rPr>
            </w:pPr>
          </w:p>
        </w:tc>
        <w:tc>
          <w:tcPr>
            <w:tcW w:w="1843" w:type="dxa"/>
            <w:shd w:val="clear" w:color="auto" w:fill="C00000"/>
          </w:tcPr>
          <w:p w14:paraId="1D606D23" w14:textId="77777777" w:rsidR="00E8305C" w:rsidRPr="00A62CCC" w:rsidRDefault="00E8305C" w:rsidP="00617565">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1-3</w:t>
            </w:r>
          </w:p>
        </w:tc>
        <w:tc>
          <w:tcPr>
            <w:tcW w:w="2126" w:type="dxa"/>
            <w:shd w:val="clear" w:color="auto" w:fill="C00000"/>
          </w:tcPr>
          <w:p w14:paraId="17478EB7" w14:textId="77777777" w:rsidR="00E8305C" w:rsidRPr="00A62CCC" w:rsidRDefault="00E8305C" w:rsidP="00617565">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4-7</w:t>
            </w:r>
          </w:p>
        </w:tc>
        <w:tc>
          <w:tcPr>
            <w:tcW w:w="2268" w:type="dxa"/>
            <w:shd w:val="clear" w:color="auto" w:fill="C00000"/>
          </w:tcPr>
          <w:p w14:paraId="2F3AC265" w14:textId="77777777" w:rsidR="00E8305C" w:rsidRPr="00A62CCC" w:rsidRDefault="00E8305C" w:rsidP="00617565">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8-10</w:t>
            </w:r>
          </w:p>
        </w:tc>
      </w:tr>
      <w:tr w:rsidR="00E8305C" w:rsidRPr="00A62CCC" w14:paraId="539B8E58" w14:textId="77777777" w:rsidTr="00617565">
        <w:trPr>
          <w:trHeight w:val="49"/>
        </w:trPr>
        <w:tc>
          <w:tcPr>
            <w:tcW w:w="1134" w:type="dxa"/>
          </w:tcPr>
          <w:p w14:paraId="4FB6F516" w14:textId="77777777" w:rsidR="00E8305C" w:rsidRPr="00A62CCC" w:rsidRDefault="00E8305C" w:rsidP="00617565">
            <w:pPr>
              <w:rPr>
                <w:rFonts w:asciiTheme="minorHAnsi" w:hAnsiTheme="minorHAnsi" w:cstheme="minorHAnsi"/>
                <w:b/>
                <w:szCs w:val="18"/>
              </w:rPr>
            </w:pPr>
            <w:r w:rsidRPr="00A62CCC">
              <w:rPr>
                <w:rFonts w:asciiTheme="minorHAnsi" w:hAnsiTheme="minorHAnsi" w:cstheme="minorHAnsi"/>
                <w:b/>
                <w:szCs w:val="18"/>
              </w:rPr>
              <w:t>Mandatory</w:t>
            </w:r>
          </w:p>
          <w:p w14:paraId="38E5331F" w14:textId="77777777" w:rsidR="00E8305C" w:rsidRPr="00A62CCC" w:rsidRDefault="00E8305C" w:rsidP="00617565">
            <w:pPr>
              <w:rPr>
                <w:rFonts w:asciiTheme="minorHAnsi" w:hAnsiTheme="minorHAnsi" w:cstheme="minorHAnsi"/>
                <w:b/>
                <w:szCs w:val="18"/>
              </w:rPr>
            </w:pPr>
          </w:p>
        </w:tc>
        <w:tc>
          <w:tcPr>
            <w:tcW w:w="2405" w:type="dxa"/>
          </w:tcPr>
          <w:p w14:paraId="4BE6F5D7"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No Victorian jobs created or retained</w:t>
            </w:r>
          </w:p>
          <w:p w14:paraId="7672212E" w14:textId="77777777" w:rsidR="00E8305C" w:rsidRPr="00A62CCC" w:rsidRDefault="00E8305C" w:rsidP="00617565">
            <w:pPr>
              <w:rPr>
                <w:rFonts w:asciiTheme="minorHAnsi" w:hAnsiTheme="minorHAnsi" w:cstheme="minorHAnsi"/>
                <w:szCs w:val="18"/>
              </w:rPr>
            </w:pPr>
          </w:p>
          <w:p w14:paraId="136FC704"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No Australian/New Zealand jobs created or retained. </w:t>
            </w:r>
          </w:p>
          <w:p w14:paraId="4232AE1C" w14:textId="77777777" w:rsidR="00E8305C" w:rsidRPr="00A62CCC" w:rsidRDefault="00E8305C" w:rsidP="00617565">
            <w:pPr>
              <w:rPr>
                <w:rFonts w:asciiTheme="minorHAnsi" w:hAnsiTheme="minorHAnsi" w:cstheme="minorHAnsi"/>
                <w:szCs w:val="18"/>
              </w:rPr>
            </w:pPr>
          </w:p>
          <w:p w14:paraId="2D4E30DB"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No use of apprentices, cadets and trainees </w:t>
            </w:r>
          </w:p>
          <w:p w14:paraId="2BB4FC61" w14:textId="77777777" w:rsidR="00E8305C" w:rsidRPr="00A62CCC" w:rsidRDefault="00E8305C" w:rsidP="00617565">
            <w:pPr>
              <w:rPr>
                <w:rFonts w:asciiTheme="minorHAnsi" w:hAnsiTheme="minorHAnsi" w:cstheme="minorHAnsi"/>
                <w:szCs w:val="18"/>
              </w:rPr>
            </w:pPr>
          </w:p>
          <w:p w14:paraId="5942DF44"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No job development/ training opportunities have been identified</w:t>
            </w:r>
          </w:p>
          <w:p w14:paraId="757C1F39" w14:textId="77777777" w:rsidR="00E8305C" w:rsidRPr="00A62CCC" w:rsidRDefault="00E8305C" w:rsidP="00617565">
            <w:pPr>
              <w:rPr>
                <w:rFonts w:asciiTheme="minorHAnsi" w:hAnsiTheme="minorHAnsi" w:cstheme="minorHAnsi"/>
                <w:szCs w:val="18"/>
              </w:rPr>
            </w:pPr>
          </w:p>
        </w:tc>
        <w:tc>
          <w:tcPr>
            <w:tcW w:w="1843" w:type="dxa"/>
          </w:tcPr>
          <w:p w14:paraId="35C6C0A6"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Very low number of Victorian jobs created or retained</w:t>
            </w:r>
          </w:p>
          <w:p w14:paraId="24D96C5C" w14:textId="77777777" w:rsidR="00E8305C" w:rsidRPr="00A62CCC" w:rsidRDefault="00E8305C" w:rsidP="00617565">
            <w:pPr>
              <w:rPr>
                <w:rFonts w:asciiTheme="minorHAnsi" w:hAnsiTheme="minorHAnsi" w:cstheme="minorHAnsi"/>
                <w:szCs w:val="18"/>
              </w:rPr>
            </w:pPr>
          </w:p>
          <w:p w14:paraId="441EC6E9"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Very low number of Australian/New Zealand jobs created or retained.</w:t>
            </w:r>
          </w:p>
          <w:p w14:paraId="6BC1A90A"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Low use of apprentices, cadets and trainees </w:t>
            </w:r>
          </w:p>
          <w:p w14:paraId="7F7EE103" w14:textId="77777777" w:rsidR="00E8305C" w:rsidRPr="00A62CCC" w:rsidRDefault="00E8305C" w:rsidP="00617565">
            <w:pPr>
              <w:rPr>
                <w:rFonts w:asciiTheme="minorHAnsi" w:hAnsiTheme="minorHAnsi" w:cstheme="minorHAnsi"/>
                <w:b/>
                <w:szCs w:val="18"/>
              </w:rPr>
            </w:pPr>
            <w:r w:rsidRPr="00A62CCC">
              <w:rPr>
                <w:rFonts w:asciiTheme="minorHAnsi" w:hAnsiTheme="minorHAnsi" w:cstheme="minorHAnsi"/>
                <w:szCs w:val="18"/>
              </w:rPr>
              <w:t>No job development/ training opportunities have been identified</w:t>
            </w:r>
          </w:p>
        </w:tc>
        <w:tc>
          <w:tcPr>
            <w:tcW w:w="2126" w:type="dxa"/>
          </w:tcPr>
          <w:p w14:paraId="418B1E03"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Medium number of Victorian jobs created or retained. </w:t>
            </w:r>
          </w:p>
          <w:p w14:paraId="110B1E8D" w14:textId="77777777" w:rsidR="00E8305C" w:rsidRPr="00A62CCC" w:rsidRDefault="00E8305C" w:rsidP="00617565">
            <w:pPr>
              <w:rPr>
                <w:rFonts w:asciiTheme="minorHAnsi" w:hAnsiTheme="minorHAnsi" w:cstheme="minorHAnsi"/>
                <w:szCs w:val="18"/>
              </w:rPr>
            </w:pPr>
          </w:p>
          <w:p w14:paraId="729FC94F"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Medium number of Australian/New Zealand jobs created or retained. </w:t>
            </w:r>
          </w:p>
          <w:p w14:paraId="76FABD7A"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Some use of apprentices, cadets and trainees</w:t>
            </w:r>
          </w:p>
          <w:p w14:paraId="0C43F32D"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Job development/ training opportunities have been identified.</w:t>
            </w:r>
          </w:p>
          <w:p w14:paraId="25D4B095" w14:textId="77777777" w:rsidR="00E8305C" w:rsidRPr="00A62CCC" w:rsidRDefault="00E8305C" w:rsidP="00617565">
            <w:pPr>
              <w:rPr>
                <w:rFonts w:asciiTheme="minorHAnsi" w:hAnsiTheme="minorHAnsi" w:cstheme="minorHAnsi"/>
                <w:szCs w:val="18"/>
              </w:rPr>
            </w:pPr>
          </w:p>
          <w:p w14:paraId="6B87168C" w14:textId="77777777" w:rsidR="00E8305C" w:rsidRPr="00A62CCC" w:rsidRDefault="00E8305C" w:rsidP="00617565">
            <w:pPr>
              <w:rPr>
                <w:rFonts w:asciiTheme="minorHAnsi" w:hAnsiTheme="minorHAnsi" w:cstheme="minorHAnsi"/>
                <w:b/>
                <w:szCs w:val="18"/>
              </w:rPr>
            </w:pPr>
          </w:p>
        </w:tc>
        <w:tc>
          <w:tcPr>
            <w:tcW w:w="2268" w:type="dxa"/>
          </w:tcPr>
          <w:p w14:paraId="3878F192"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Very high number of Victorian jobs created or retained. </w:t>
            </w:r>
          </w:p>
          <w:p w14:paraId="12D8397F" w14:textId="77777777" w:rsidR="00E8305C" w:rsidRPr="00A62CCC" w:rsidRDefault="00E8305C" w:rsidP="00617565">
            <w:pPr>
              <w:rPr>
                <w:rFonts w:asciiTheme="minorHAnsi" w:hAnsiTheme="minorHAnsi" w:cstheme="minorHAnsi"/>
                <w:szCs w:val="18"/>
              </w:rPr>
            </w:pPr>
          </w:p>
          <w:p w14:paraId="0C226D3F"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 xml:space="preserve">Very high number of Australian/New Zealand jobs created or retained. </w:t>
            </w:r>
          </w:p>
          <w:p w14:paraId="1FC5AE87"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Very high number of apprentices, cadets and traineeship positions created</w:t>
            </w:r>
          </w:p>
          <w:p w14:paraId="7DC5440F" w14:textId="77777777" w:rsidR="00E8305C" w:rsidRPr="00A62CCC" w:rsidRDefault="00E8305C" w:rsidP="00617565">
            <w:pPr>
              <w:rPr>
                <w:rFonts w:asciiTheme="minorHAnsi" w:hAnsiTheme="minorHAnsi" w:cstheme="minorHAnsi"/>
                <w:szCs w:val="18"/>
              </w:rPr>
            </w:pPr>
          </w:p>
          <w:p w14:paraId="13D0FD8C" w14:textId="77777777" w:rsidR="00E8305C" w:rsidRPr="00A62CCC" w:rsidRDefault="00E8305C" w:rsidP="00617565">
            <w:pPr>
              <w:rPr>
                <w:rFonts w:asciiTheme="minorHAnsi" w:hAnsiTheme="minorHAnsi" w:cstheme="minorHAnsi"/>
                <w:szCs w:val="18"/>
              </w:rPr>
            </w:pPr>
            <w:r w:rsidRPr="00A62CCC">
              <w:rPr>
                <w:rFonts w:asciiTheme="minorHAnsi" w:hAnsiTheme="minorHAnsi" w:cstheme="minorHAnsi"/>
                <w:szCs w:val="18"/>
              </w:rPr>
              <w:t>High number of job development/ training opportunities have been identified in detail.</w:t>
            </w:r>
          </w:p>
        </w:tc>
      </w:tr>
    </w:tbl>
    <w:p w14:paraId="72BFFE9C" w14:textId="405873BF" w:rsidR="00701534" w:rsidRPr="00865235" w:rsidRDefault="00701534" w:rsidP="00865235">
      <w:pPr>
        <w:rPr>
          <w:b/>
          <w:sz w:val="20"/>
        </w:rPr>
      </w:pPr>
      <w:bookmarkStart w:id="41" w:name="_Toc516042392"/>
      <w:r w:rsidRPr="00A62CCC">
        <w:rPr>
          <w:b/>
          <w:sz w:val="20"/>
        </w:rPr>
        <w:t xml:space="preserve">Step </w:t>
      </w:r>
      <w:r w:rsidR="00B76E57" w:rsidRPr="00A62CCC">
        <w:rPr>
          <w:b/>
          <w:sz w:val="20"/>
        </w:rPr>
        <w:t>7</w:t>
      </w:r>
      <w:r w:rsidRPr="00A62CCC">
        <w:rPr>
          <w:b/>
          <w:sz w:val="20"/>
        </w:rPr>
        <w:t xml:space="preserve"> – Awarding a contract</w:t>
      </w:r>
      <w:bookmarkEnd w:id="41"/>
      <w:r w:rsidRPr="00865235">
        <w:rPr>
          <w:b/>
          <w:sz w:val="20"/>
        </w:rPr>
        <w:t xml:space="preserve"> </w:t>
      </w:r>
    </w:p>
    <w:p w14:paraId="4A97AA78" w14:textId="5BBA9F60" w:rsidR="00701534" w:rsidRDefault="00701534" w:rsidP="005118B4">
      <w:pPr>
        <w:numPr>
          <w:ilvl w:val="0"/>
          <w:numId w:val="8"/>
        </w:numPr>
        <w:spacing w:before="0"/>
        <w:ind w:left="360"/>
        <w:jc w:val="both"/>
        <w:rPr>
          <w:rFonts w:cs="Arial"/>
        </w:rPr>
      </w:pPr>
      <w:r w:rsidRPr="001856B3">
        <w:rPr>
          <w:rFonts w:cs="Arial"/>
        </w:rPr>
        <w:t xml:space="preserve">The </w:t>
      </w:r>
      <w:r w:rsidR="00BD4F55">
        <w:rPr>
          <w:rFonts w:cs="Arial"/>
        </w:rPr>
        <w:t xml:space="preserve">agency project </w:t>
      </w:r>
      <w:r w:rsidRPr="001856B3">
        <w:rPr>
          <w:rFonts w:cs="Arial"/>
        </w:rPr>
        <w:t xml:space="preserve">manager must </w:t>
      </w:r>
      <w:r w:rsidR="00BD4F55">
        <w:rPr>
          <w:rFonts w:cs="Arial"/>
        </w:rPr>
        <w:t xml:space="preserve">notify the ICN of the </w:t>
      </w:r>
      <w:r w:rsidRPr="00AE74D9">
        <w:rPr>
          <w:rFonts w:cs="Arial"/>
        </w:rPr>
        <w:t>appointed supplier for a given tender</w:t>
      </w:r>
      <w:r w:rsidR="003E5E54">
        <w:rPr>
          <w:rFonts w:cs="Arial"/>
        </w:rPr>
        <w:t>.</w:t>
      </w:r>
      <w:r w:rsidR="00C14CF9">
        <w:rPr>
          <w:rFonts w:cs="Arial"/>
        </w:rPr>
        <w:t xml:space="preserve"> </w:t>
      </w:r>
      <w:r w:rsidR="00BD4F55">
        <w:rPr>
          <w:rFonts w:cs="Arial"/>
        </w:rPr>
        <w:t xml:space="preserve">This </w:t>
      </w:r>
      <w:r w:rsidR="00C14CF9">
        <w:rPr>
          <w:rFonts w:cs="Arial"/>
        </w:rPr>
        <w:t xml:space="preserve">must </w:t>
      </w:r>
      <w:r w:rsidR="00BD4F55">
        <w:rPr>
          <w:rFonts w:cs="Arial"/>
        </w:rPr>
        <w:t xml:space="preserve">be done through the VMC and must occur within </w:t>
      </w:r>
      <w:r w:rsidR="00972EB5">
        <w:rPr>
          <w:rFonts w:cs="Arial"/>
        </w:rPr>
        <w:t xml:space="preserve">five </w:t>
      </w:r>
      <w:r w:rsidR="00BD4F55">
        <w:rPr>
          <w:rFonts w:cs="Arial"/>
        </w:rPr>
        <w:t>business days of awarding a contract.</w:t>
      </w:r>
      <w:r w:rsidR="00584E02">
        <w:rPr>
          <w:rFonts w:cs="Arial"/>
        </w:rPr>
        <w:t xml:space="preserve"> </w:t>
      </w:r>
    </w:p>
    <w:p w14:paraId="5CB7F199" w14:textId="218110CD" w:rsidR="00BD4F55" w:rsidRDefault="00BD4F55" w:rsidP="005118B4">
      <w:pPr>
        <w:numPr>
          <w:ilvl w:val="0"/>
          <w:numId w:val="8"/>
        </w:numPr>
        <w:spacing w:before="0"/>
        <w:ind w:left="360"/>
        <w:jc w:val="both"/>
        <w:rPr>
          <w:rFonts w:cs="Arial"/>
        </w:rPr>
      </w:pPr>
      <w:r w:rsidRPr="009C3338">
        <w:rPr>
          <w:rFonts w:cs="Arial"/>
        </w:rPr>
        <w:t>The LIDP</w:t>
      </w:r>
      <w:r w:rsidR="00AC1E78">
        <w:rPr>
          <w:rFonts w:cs="Arial"/>
        </w:rPr>
        <w:t xml:space="preserve"> and </w:t>
      </w:r>
      <w:r w:rsidR="003E5E54">
        <w:rPr>
          <w:rFonts w:cs="Arial"/>
        </w:rPr>
        <w:t>LJF</w:t>
      </w:r>
      <w:r w:rsidR="00AC1E78">
        <w:rPr>
          <w:rFonts w:cs="Arial"/>
        </w:rPr>
        <w:t xml:space="preserve"> </w:t>
      </w:r>
      <w:r w:rsidRPr="009C3338">
        <w:rPr>
          <w:rFonts w:cs="Arial"/>
        </w:rPr>
        <w:t>c</w:t>
      </w:r>
      <w:r w:rsidR="00701534" w:rsidRPr="009C3338">
        <w:rPr>
          <w:rFonts w:cs="Arial"/>
        </w:rPr>
        <w:t xml:space="preserve">ommitments </w:t>
      </w:r>
      <w:r w:rsidRPr="009C3338">
        <w:rPr>
          <w:rFonts w:cs="Arial"/>
        </w:rPr>
        <w:t xml:space="preserve">must be incorporated into the contract as project deliverables. </w:t>
      </w:r>
      <w:r w:rsidR="00701534" w:rsidRPr="009C3338">
        <w:rPr>
          <w:rFonts w:cs="Arial"/>
        </w:rPr>
        <w:t xml:space="preserve">This can be achieved by attaching the final agreed LIDP to the contract and including the relevant model clauses in the agreement. </w:t>
      </w:r>
      <w:r w:rsidRPr="009C3338">
        <w:rPr>
          <w:rFonts w:cs="Arial"/>
        </w:rPr>
        <w:t xml:space="preserve">Refer to the LJF </w:t>
      </w:r>
      <w:r w:rsidR="00701534" w:rsidRPr="009C3338">
        <w:rPr>
          <w:rFonts w:cs="Arial"/>
        </w:rPr>
        <w:t>Model Clauses, which have been prepared</w:t>
      </w:r>
      <w:r w:rsidR="00BC093D" w:rsidRPr="009C3338">
        <w:rPr>
          <w:rFonts w:cs="Arial"/>
        </w:rPr>
        <w:t xml:space="preserve"> </w:t>
      </w:r>
      <w:r w:rsidR="00060EFA" w:rsidRPr="009C3338">
        <w:rPr>
          <w:rFonts w:cs="Arial"/>
        </w:rPr>
        <w:t>by</w:t>
      </w:r>
      <w:r w:rsidR="00701534" w:rsidRPr="009C3338">
        <w:rPr>
          <w:rFonts w:cs="Arial"/>
        </w:rPr>
        <w:t xml:space="preserve"> the Victorian Government Solicitor's Office</w:t>
      </w:r>
      <w:r w:rsidR="00D717D1" w:rsidRPr="009C3338">
        <w:rPr>
          <w:rFonts w:cs="Arial"/>
        </w:rPr>
        <w:t xml:space="preserve"> </w:t>
      </w:r>
      <w:r w:rsidR="00D14A8C" w:rsidRPr="009C3338">
        <w:rPr>
          <w:rFonts w:cs="Arial"/>
        </w:rPr>
        <w:t>(VGSO)</w:t>
      </w:r>
      <w:r w:rsidR="00701534" w:rsidRPr="009C3338">
        <w:rPr>
          <w:rFonts w:cs="Arial"/>
        </w:rPr>
        <w:t xml:space="preserve"> and is available on the </w:t>
      </w:r>
      <w:r w:rsidR="00A108CD" w:rsidRPr="009C3338">
        <w:rPr>
          <w:rFonts w:cs="Arial"/>
        </w:rPr>
        <w:t xml:space="preserve">Local Jobs First </w:t>
      </w:r>
      <w:r w:rsidR="00701534" w:rsidRPr="009C3338">
        <w:rPr>
          <w:rFonts w:cs="Arial"/>
        </w:rPr>
        <w:t xml:space="preserve">website. </w:t>
      </w:r>
    </w:p>
    <w:p w14:paraId="260EC7CA" w14:textId="6F6E43AA" w:rsidR="004E02A5" w:rsidRPr="004E02A5" w:rsidRDefault="004E02A5" w:rsidP="005118B4">
      <w:pPr>
        <w:numPr>
          <w:ilvl w:val="0"/>
          <w:numId w:val="8"/>
        </w:numPr>
        <w:spacing w:before="0"/>
        <w:ind w:left="360"/>
        <w:jc w:val="both"/>
        <w:rPr>
          <w:rFonts w:cs="Arial"/>
        </w:rPr>
      </w:pPr>
      <w:r w:rsidRPr="004E02A5">
        <w:rPr>
          <w:rFonts w:cs="Arial"/>
        </w:rPr>
        <w:lastRenderedPageBreak/>
        <w:t>If a bidder wishes to receive feedback on a successful or unsuccessful tender, then an agency must provide it</w:t>
      </w:r>
      <w:r w:rsidR="00AC7489">
        <w:rPr>
          <w:rFonts w:cs="Arial"/>
        </w:rPr>
        <w:t xml:space="preserve"> to the bidder</w:t>
      </w:r>
      <w:r w:rsidRPr="004E02A5">
        <w:rPr>
          <w:rFonts w:cs="Arial"/>
        </w:rPr>
        <w:t xml:space="preserve">. Agencies can provide the feedback provided by the ICN in the ICN risk evaluation report to suppliers. </w:t>
      </w:r>
    </w:p>
    <w:p w14:paraId="24855D59" w14:textId="44B8CCEB" w:rsidR="00C14CF9" w:rsidRPr="00636236" w:rsidRDefault="00C14CF9" w:rsidP="005118B4">
      <w:pPr>
        <w:rPr>
          <w:b/>
          <w:sz w:val="20"/>
        </w:rPr>
      </w:pPr>
      <w:bookmarkStart w:id="42" w:name="_Hlk524333561"/>
      <w:r w:rsidRPr="00636236">
        <w:rPr>
          <w:b/>
          <w:sz w:val="20"/>
        </w:rPr>
        <w:t xml:space="preserve">Step 8 – Monitoring Local Jobs First during delivery of the project </w:t>
      </w:r>
    </w:p>
    <w:p w14:paraId="2FCB7068" w14:textId="706522D6" w:rsidR="00C14CF9" w:rsidRPr="003D5F83" w:rsidRDefault="003D5F83" w:rsidP="005118B4">
      <w:pPr>
        <w:numPr>
          <w:ilvl w:val="0"/>
          <w:numId w:val="8"/>
        </w:numPr>
        <w:spacing w:before="0"/>
        <w:ind w:left="360"/>
        <w:jc w:val="both"/>
        <w:rPr>
          <w:rFonts w:cs="Arial"/>
        </w:rPr>
      </w:pPr>
      <w:r>
        <w:rPr>
          <w:rFonts w:cs="Arial"/>
        </w:rPr>
        <w:t xml:space="preserve">There are reporting requirements for all projects. </w:t>
      </w:r>
      <w:r w:rsidR="00AC1E78" w:rsidRPr="003D5F83">
        <w:rPr>
          <w:rFonts w:cs="Arial"/>
        </w:rPr>
        <w:t>Suppliers</w:t>
      </w:r>
      <w:r w:rsidR="00701534" w:rsidRPr="003D5F83">
        <w:rPr>
          <w:rFonts w:cs="Arial"/>
        </w:rPr>
        <w:t xml:space="preserve"> are required to report on </w:t>
      </w:r>
      <w:r w:rsidR="00A108CD" w:rsidRPr="003D5F83">
        <w:rPr>
          <w:rFonts w:cs="Arial"/>
        </w:rPr>
        <w:t xml:space="preserve">their </w:t>
      </w:r>
      <w:r w:rsidR="00CF29F9" w:rsidRPr="003D5F83">
        <w:rPr>
          <w:rFonts w:cs="Arial"/>
        </w:rPr>
        <w:t xml:space="preserve">LJF </w:t>
      </w:r>
      <w:r w:rsidR="00BD4F55" w:rsidRPr="003D5F83">
        <w:rPr>
          <w:rFonts w:cs="Arial"/>
        </w:rPr>
        <w:t xml:space="preserve">commitments </w:t>
      </w:r>
      <w:r w:rsidR="00701534" w:rsidRPr="003D5F83">
        <w:rPr>
          <w:rFonts w:cs="Arial"/>
        </w:rPr>
        <w:t xml:space="preserve">as contained in the </w:t>
      </w:r>
      <w:r w:rsidR="006445F1" w:rsidRPr="003D5F83">
        <w:rPr>
          <w:rFonts w:cs="Arial"/>
        </w:rPr>
        <w:t xml:space="preserve">LIDP </w:t>
      </w:r>
      <w:r w:rsidR="0024297F" w:rsidRPr="003D5F83">
        <w:rPr>
          <w:rFonts w:cs="Arial"/>
        </w:rPr>
        <w:t xml:space="preserve">during the life of the project to </w:t>
      </w:r>
      <w:r w:rsidR="00701534" w:rsidRPr="003D5F83">
        <w:rPr>
          <w:rFonts w:cs="Arial"/>
        </w:rPr>
        <w:t>practical completion</w:t>
      </w:r>
      <w:r w:rsidR="00C14CF9" w:rsidRPr="003D5F83">
        <w:rPr>
          <w:rFonts w:cs="Arial"/>
        </w:rPr>
        <w:t>.</w:t>
      </w:r>
    </w:p>
    <w:bookmarkEnd w:id="42"/>
    <w:p w14:paraId="17BC5D91" w14:textId="7777601D" w:rsidR="00701534" w:rsidRDefault="00C14CF9" w:rsidP="005118B4">
      <w:pPr>
        <w:numPr>
          <w:ilvl w:val="0"/>
          <w:numId w:val="8"/>
        </w:numPr>
        <w:spacing w:before="0"/>
        <w:ind w:left="360"/>
        <w:jc w:val="both"/>
        <w:rPr>
          <w:rFonts w:cs="Arial"/>
        </w:rPr>
      </w:pPr>
      <w:r w:rsidRPr="00C14CF9">
        <w:rPr>
          <w:rFonts w:cs="Arial"/>
        </w:rPr>
        <w:t>For all projects valued over $20 million, agencies monitor and report local content and job outcomes</w:t>
      </w:r>
      <w:r w:rsidR="007A3EE5">
        <w:rPr>
          <w:rFonts w:cs="Arial"/>
        </w:rPr>
        <w:t xml:space="preserve"> on a six-monthly basis</w:t>
      </w:r>
      <w:r w:rsidRPr="00C14CF9">
        <w:rPr>
          <w:rFonts w:cs="Arial"/>
        </w:rPr>
        <w:t xml:space="preserve">. </w:t>
      </w:r>
    </w:p>
    <w:p w14:paraId="6C36C6F4" w14:textId="34108EFE" w:rsidR="00310E4F" w:rsidRDefault="00310E4F" w:rsidP="005118B4">
      <w:pPr>
        <w:numPr>
          <w:ilvl w:val="0"/>
          <w:numId w:val="8"/>
        </w:numPr>
        <w:spacing w:before="0"/>
        <w:ind w:left="360"/>
        <w:jc w:val="both"/>
        <w:rPr>
          <w:rFonts w:cs="Arial"/>
        </w:rPr>
      </w:pPr>
      <w:r>
        <w:rPr>
          <w:rFonts w:cs="Arial"/>
        </w:rPr>
        <w:t xml:space="preserve">Further information regarding Local Jobs First monitoring and reporting is available </w:t>
      </w:r>
      <w:r w:rsidR="00111DB7">
        <w:rPr>
          <w:rFonts w:cs="Arial"/>
        </w:rPr>
        <w:t>at section 10.</w:t>
      </w:r>
      <w:r>
        <w:rPr>
          <w:rFonts w:cs="Arial"/>
        </w:rPr>
        <w:t xml:space="preserve"> </w:t>
      </w:r>
    </w:p>
    <w:p w14:paraId="305E3521" w14:textId="77777777" w:rsidR="00373787" w:rsidRDefault="00AF644A" w:rsidP="00373787">
      <w:r w:rsidRPr="003E3110">
        <w:rPr>
          <w:rFonts w:asciiTheme="minorHAnsi" w:hAnsiTheme="minorHAnsi" w:cstheme="minorHAnsi"/>
          <w:noProof/>
          <w:szCs w:val="18"/>
        </w:rPr>
        <mc:AlternateContent>
          <mc:Choice Requires="wps">
            <w:drawing>
              <wp:inline distT="0" distB="0" distL="0" distR="0" wp14:anchorId="06572146" wp14:editId="5162EC83">
                <wp:extent cx="5731510" cy="1693627"/>
                <wp:effectExtent l="0" t="0" r="21590" b="2095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3627"/>
                        </a:xfrm>
                        <a:prstGeom prst="rect">
                          <a:avLst/>
                        </a:prstGeom>
                        <a:solidFill>
                          <a:srgbClr val="FFFFFF"/>
                        </a:solidFill>
                        <a:ln w="9525">
                          <a:solidFill>
                            <a:srgbClr val="000000"/>
                          </a:solidFill>
                          <a:miter lim="800000"/>
                          <a:headEnd/>
                          <a:tailEnd/>
                        </a:ln>
                      </wps:spPr>
                      <wps:txbx>
                        <w:txbxContent>
                          <w:p w14:paraId="582C2E3E" w14:textId="3DE4BAEE" w:rsidR="00DE4B66" w:rsidRDefault="00DE4B66" w:rsidP="00AF644A">
                            <w:pPr>
                              <w:jc w:val="center"/>
                            </w:pPr>
                            <w:r w:rsidRPr="003C0DDE">
                              <w:t xml:space="preserve">Bidders must submit their LIDP and ICN </w:t>
                            </w:r>
                            <w:r w:rsidR="00B5557E">
                              <w:t>Acknowledgement Letter</w:t>
                            </w:r>
                            <w:r w:rsidRPr="003C0DDE">
                              <w:t xml:space="preserve"> to the agency’s tender evaluation panel. </w:t>
                            </w:r>
                          </w:p>
                          <w:p w14:paraId="31F6EA79" w14:textId="5776CB97" w:rsidR="00DE4B66" w:rsidRDefault="00DE4B66" w:rsidP="00AF644A">
                            <w:pPr>
                              <w:jc w:val="center"/>
                            </w:pPr>
                            <w:r>
                              <w:t xml:space="preserve">Agencies </w:t>
                            </w:r>
                            <w:r w:rsidRPr="003C0DDE">
                              <w:t xml:space="preserve">must use the </w:t>
                            </w:r>
                            <w:r w:rsidRPr="008D1DDF">
                              <w:t xml:space="preserve">LJF risk evaluation report </w:t>
                            </w:r>
                            <w:r w:rsidRPr="003C0DDE">
                              <w:t xml:space="preserve">during the evaluation process. </w:t>
                            </w:r>
                          </w:p>
                          <w:p w14:paraId="688DF7A6" w14:textId="54B5DCB5" w:rsidR="00DE4B66" w:rsidRDefault="00DE4B66" w:rsidP="00AF644A">
                            <w:pPr>
                              <w:jc w:val="center"/>
                            </w:pPr>
                            <w:r w:rsidRPr="003C0DDE">
                              <w:t>Agencies are required to apply a mandatory minimum 10</w:t>
                            </w:r>
                            <w:r>
                              <w:t xml:space="preserve"> per cent</w:t>
                            </w:r>
                            <w:r w:rsidRPr="003C0DDE">
                              <w:t xml:space="preserve"> weighting for local industry development and 10</w:t>
                            </w:r>
                            <w:r>
                              <w:t xml:space="preserve"> per cent</w:t>
                            </w:r>
                            <w:r w:rsidRPr="003C0DDE">
                              <w:t xml:space="preserve"> for job outcomes</w:t>
                            </w:r>
                            <w:r>
                              <w:t xml:space="preserve"> and </w:t>
                            </w:r>
                            <w:r w:rsidRPr="003C0DDE">
                              <w:t xml:space="preserve">notify the ICN of the appointed supplier. </w:t>
                            </w:r>
                          </w:p>
                          <w:p w14:paraId="29629763" w14:textId="072487B6" w:rsidR="00DE4B66" w:rsidRPr="007A3EE5" w:rsidRDefault="00DE4B66" w:rsidP="00780D48">
                            <w:pPr>
                              <w:spacing w:before="0"/>
                              <w:ind w:left="720"/>
                              <w:jc w:val="both"/>
                              <w:rPr>
                                <w:rFonts w:cs="Arial"/>
                              </w:rPr>
                            </w:pPr>
                            <w:r w:rsidRPr="003C0DDE">
                              <w:t xml:space="preserve">For </w:t>
                            </w:r>
                            <w:r>
                              <w:t xml:space="preserve">all </w:t>
                            </w:r>
                            <w:r w:rsidRPr="003C0DDE">
                              <w:t>projects valued over $20 million</w:t>
                            </w:r>
                            <w:r>
                              <w:t>,</w:t>
                            </w:r>
                            <w:r w:rsidRPr="003C0DDE">
                              <w:t xml:space="preserve"> agencies must </w:t>
                            </w:r>
                            <w:r w:rsidRPr="00C14CF9">
                              <w:rPr>
                                <w:rFonts w:cs="Arial"/>
                              </w:rPr>
                              <w:t>agencies monitor and report local content and job outcomes</w:t>
                            </w:r>
                            <w:r>
                              <w:rPr>
                                <w:rFonts w:cs="Arial"/>
                              </w:rPr>
                              <w:t xml:space="preserve"> on a six-monthly basis</w:t>
                            </w:r>
                            <w:r w:rsidRPr="00C14CF9">
                              <w:rPr>
                                <w:rFonts w:cs="Arial"/>
                              </w:rPr>
                              <w:t xml:space="preserve">. </w:t>
                            </w:r>
                          </w:p>
                          <w:p w14:paraId="46568303" w14:textId="39875519" w:rsidR="00DE4B66" w:rsidRPr="003C0DDE" w:rsidRDefault="00DE4B66" w:rsidP="00AF644A">
                            <w:pPr>
                              <w:jc w:val="center"/>
                              <w:rPr>
                                <w:b/>
                              </w:rPr>
                            </w:pPr>
                            <w:r>
                              <w:rPr>
                                <w:b/>
                              </w:rPr>
                              <w:t>LIDP</w:t>
                            </w:r>
                            <w:r w:rsidRPr="00A51772">
                              <w:rPr>
                                <w:b/>
                              </w:rPr>
                              <w:t xml:space="preserve"> commitments must be incorporated into the contract as project deliverables</w:t>
                            </w:r>
                            <w:r>
                              <w:rPr>
                                <w:b/>
                              </w:rPr>
                              <w:t xml:space="preserve">. </w:t>
                            </w:r>
                          </w:p>
                        </w:txbxContent>
                      </wps:txbx>
                      <wps:bodyPr rot="0" vert="horz" wrap="square" lIns="91440" tIns="45720" rIns="91440" bIns="45720" anchor="t" anchorCtr="0">
                        <a:noAutofit/>
                      </wps:bodyPr>
                    </wps:wsp>
                  </a:graphicData>
                </a:graphic>
              </wp:inline>
            </w:drawing>
          </mc:Choice>
          <mc:Fallback>
            <w:pict>
              <v:shape w14:anchorId="06572146" id="_x0000_s1028" type="#_x0000_t202" style="width:451.3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">
                <v:textbox>
                  <w:txbxContent>
                    <w:p w14:paraId="582C2E3E" w14:textId="3DE4BAEE" w:rsidR="00DE4B66" w:rsidRDefault="00DE4B66" w:rsidP="00AF644A">
                      <w:pPr>
                        <w:jc w:val="center"/>
                      </w:pPr>
                      <w:r w:rsidRPr="003C0DDE">
                        <w:t xml:space="preserve">Bidders must submit their LIDP and ICN </w:t>
                      </w:r>
                      <w:r w:rsidR="00B5557E">
                        <w:t>Acknowledgement Letter</w:t>
                      </w:r>
                      <w:r w:rsidRPr="003C0DDE">
                        <w:t xml:space="preserve"> to the agency’s tender evaluation panel. </w:t>
                      </w:r>
                    </w:p>
                    <w:p w14:paraId="31F6EA79" w14:textId="5776CB97" w:rsidR="00DE4B66" w:rsidRDefault="00DE4B66" w:rsidP="00AF644A">
                      <w:pPr>
                        <w:jc w:val="center"/>
                      </w:pPr>
                      <w:r>
                        <w:t xml:space="preserve">Agencies </w:t>
                      </w:r>
                      <w:r w:rsidRPr="003C0DDE">
                        <w:t xml:space="preserve">must use the </w:t>
                      </w:r>
                      <w:r w:rsidRPr="008D1DDF">
                        <w:t xml:space="preserve">LJF risk evaluation report </w:t>
                      </w:r>
                      <w:r w:rsidRPr="003C0DDE">
                        <w:t xml:space="preserve">during the evaluation process. </w:t>
                      </w:r>
                    </w:p>
                    <w:p w14:paraId="688DF7A6" w14:textId="54B5DCB5" w:rsidR="00DE4B66" w:rsidRDefault="00DE4B66" w:rsidP="00AF644A">
                      <w:pPr>
                        <w:jc w:val="center"/>
                      </w:pPr>
                      <w:r w:rsidRPr="003C0DDE">
                        <w:t>Agencies are required to apply a mandatory minimum 10</w:t>
                      </w:r>
                      <w:r>
                        <w:t xml:space="preserve"> per cent</w:t>
                      </w:r>
                      <w:r w:rsidRPr="003C0DDE">
                        <w:t xml:space="preserve"> weighting for local industry development and 10</w:t>
                      </w:r>
                      <w:r>
                        <w:t xml:space="preserve"> per cent</w:t>
                      </w:r>
                      <w:r w:rsidRPr="003C0DDE">
                        <w:t xml:space="preserve"> for job outcomes</w:t>
                      </w:r>
                      <w:r>
                        <w:t xml:space="preserve"> and </w:t>
                      </w:r>
                      <w:r w:rsidRPr="003C0DDE">
                        <w:t xml:space="preserve">notify the ICN of the appointed supplier. </w:t>
                      </w:r>
                    </w:p>
                    <w:p w14:paraId="29629763" w14:textId="072487B6" w:rsidR="00DE4B66" w:rsidRPr="007A3EE5" w:rsidRDefault="00DE4B66" w:rsidP="00780D48">
                      <w:pPr>
                        <w:spacing w:before="0"/>
                        <w:ind w:left="720"/>
                        <w:jc w:val="both"/>
                        <w:rPr>
                          <w:rFonts w:cs="Arial"/>
                        </w:rPr>
                      </w:pPr>
                      <w:r w:rsidRPr="003C0DDE">
                        <w:t xml:space="preserve">For </w:t>
                      </w:r>
                      <w:r>
                        <w:t xml:space="preserve">all </w:t>
                      </w:r>
                      <w:r w:rsidRPr="003C0DDE">
                        <w:t>projects valued over $20 million</w:t>
                      </w:r>
                      <w:r>
                        <w:t>,</w:t>
                      </w:r>
                      <w:r w:rsidRPr="003C0DDE">
                        <w:t xml:space="preserve"> agencies must </w:t>
                      </w:r>
                      <w:r w:rsidRPr="00C14CF9">
                        <w:rPr>
                          <w:rFonts w:cs="Arial"/>
                        </w:rPr>
                        <w:t>agencies monitor and report local content and job outcomes</w:t>
                      </w:r>
                      <w:r>
                        <w:rPr>
                          <w:rFonts w:cs="Arial"/>
                        </w:rPr>
                        <w:t xml:space="preserve"> on a six-monthly basis</w:t>
                      </w:r>
                      <w:r w:rsidRPr="00C14CF9">
                        <w:rPr>
                          <w:rFonts w:cs="Arial"/>
                        </w:rPr>
                        <w:t xml:space="preserve">. </w:t>
                      </w:r>
                    </w:p>
                    <w:p w14:paraId="46568303" w14:textId="39875519" w:rsidR="00DE4B66" w:rsidRPr="003C0DDE" w:rsidRDefault="00DE4B66" w:rsidP="00AF644A">
                      <w:pPr>
                        <w:jc w:val="center"/>
                        <w:rPr>
                          <w:b/>
                        </w:rPr>
                      </w:pPr>
                      <w:r>
                        <w:rPr>
                          <w:b/>
                        </w:rPr>
                        <w:t>LIDP</w:t>
                      </w:r>
                      <w:r w:rsidRPr="00A51772">
                        <w:rPr>
                          <w:b/>
                        </w:rPr>
                        <w:t xml:space="preserve"> commitments must be incorporated into the contract as project deliverables</w:t>
                      </w:r>
                      <w:r>
                        <w:rPr>
                          <w:b/>
                        </w:rPr>
                        <w:t xml:space="preserve">. </w:t>
                      </w:r>
                    </w:p>
                  </w:txbxContent>
                </v:textbox>
                <w10:anchorlock/>
              </v:shape>
            </w:pict>
          </mc:Fallback>
        </mc:AlternateContent>
      </w:r>
    </w:p>
    <w:p w14:paraId="4996A8D0" w14:textId="57377810" w:rsidR="0041248D" w:rsidRDefault="0041248D" w:rsidP="0041248D">
      <w:pPr>
        <w:rPr>
          <w:b/>
          <w:sz w:val="20"/>
        </w:rPr>
      </w:pPr>
      <w:bookmarkStart w:id="43" w:name="_Hlk524333699"/>
      <w:r w:rsidRPr="0002578D">
        <w:rPr>
          <w:b/>
          <w:sz w:val="20"/>
        </w:rPr>
        <w:t xml:space="preserve">Step </w:t>
      </w:r>
      <w:r w:rsidR="000F2972">
        <w:rPr>
          <w:b/>
          <w:sz w:val="20"/>
        </w:rPr>
        <w:t>9</w:t>
      </w:r>
      <w:r w:rsidR="00A713AB">
        <w:rPr>
          <w:b/>
          <w:sz w:val="20"/>
        </w:rPr>
        <w:t xml:space="preserve"> – </w:t>
      </w:r>
      <w:r w:rsidR="004E02A5">
        <w:rPr>
          <w:b/>
          <w:sz w:val="20"/>
        </w:rPr>
        <w:t xml:space="preserve">Changes during the delivery of the Project </w:t>
      </w:r>
    </w:p>
    <w:p w14:paraId="10AA5057" w14:textId="71CB064D" w:rsidR="00FB6A97" w:rsidRDefault="003B2234" w:rsidP="005118B4">
      <w:pPr>
        <w:numPr>
          <w:ilvl w:val="0"/>
          <w:numId w:val="8"/>
        </w:numPr>
        <w:spacing w:before="0"/>
        <w:ind w:left="360"/>
        <w:jc w:val="both"/>
        <w:rPr>
          <w:rFonts w:cs="Arial"/>
        </w:rPr>
      </w:pPr>
      <w:r w:rsidRPr="0002578D">
        <w:rPr>
          <w:rFonts w:cs="Arial"/>
        </w:rPr>
        <w:t xml:space="preserve">If an agency </w:t>
      </w:r>
      <w:r w:rsidR="003D5F83">
        <w:rPr>
          <w:rFonts w:cs="Arial"/>
        </w:rPr>
        <w:t xml:space="preserve">or </w:t>
      </w:r>
      <w:r w:rsidRPr="0002578D">
        <w:rPr>
          <w:rFonts w:cs="Arial"/>
        </w:rPr>
        <w:t xml:space="preserve">supplier </w:t>
      </w:r>
      <w:r w:rsidR="000F2972">
        <w:rPr>
          <w:rFonts w:cs="Arial"/>
        </w:rPr>
        <w:t>vary</w:t>
      </w:r>
      <w:r w:rsidRPr="0002578D">
        <w:rPr>
          <w:rFonts w:cs="Arial"/>
        </w:rPr>
        <w:t xml:space="preserve"> a contract, then </w:t>
      </w:r>
      <w:r w:rsidR="000F2972">
        <w:rPr>
          <w:rFonts w:cs="Arial"/>
        </w:rPr>
        <w:t xml:space="preserve">LJF </w:t>
      </w:r>
      <w:r w:rsidRPr="0002578D">
        <w:rPr>
          <w:rFonts w:cs="Arial"/>
        </w:rPr>
        <w:t xml:space="preserve">must </w:t>
      </w:r>
      <w:r w:rsidR="000F2972">
        <w:rPr>
          <w:rFonts w:cs="Arial"/>
        </w:rPr>
        <w:t>be considered when changing the</w:t>
      </w:r>
      <w:r w:rsidRPr="0002578D">
        <w:rPr>
          <w:rFonts w:cs="Arial"/>
        </w:rPr>
        <w:t xml:space="preserve"> value </w:t>
      </w:r>
      <w:r w:rsidR="00BC38AE" w:rsidRPr="0002578D">
        <w:rPr>
          <w:rFonts w:cs="Arial"/>
        </w:rPr>
        <w:t>of the contract or scope of work.</w:t>
      </w:r>
      <w:r w:rsidR="00C0609D">
        <w:rPr>
          <w:rFonts w:cs="Arial"/>
        </w:rPr>
        <w:t xml:space="preserve"> If the</w:t>
      </w:r>
      <w:r w:rsidR="003D5F83">
        <w:rPr>
          <w:rFonts w:cs="Arial"/>
        </w:rPr>
        <w:t>re</w:t>
      </w:r>
      <w:r w:rsidR="009C4431">
        <w:rPr>
          <w:rFonts w:cs="Arial"/>
        </w:rPr>
        <w:t xml:space="preserve"> are</w:t>
      </w:r>
      <w:r w:rsidR="003D5F83">
        <w:rPr>
          <w:rFonts w:cs="Arial"/>
        </w:rPr>
        <w:t xml:space="preserve"> changes to the list of items for the project deemed </w:t>
      </w:r>
      <w:r w:rsidR="00C533B1">
        <w:rPr>
          <w:rFonts w:cs="Arial"/>
        </w:rPr>
        <w:t>contestable</w:t>
      </w:r>
      <w:r w:rsidR="003D5F83">
        <w:rPr>
          <w:rFonts w:cs="Arial"/>
        </w:rPr>
        <w:t xml:space="preserve"> or non-contestable, </w:t>
      </w:r>
      <w:r w:rsidR="00C0609D">
        <w:rPr>
          <w:rFonts w:cs="Arial"/>
        </w:rPr>
        <w:t>the supplier must re</w:t>
      </w:r>
      <w:r w:rsidR="00CD2171">
        <w:rPr>
          <w:rFonts w:cs="Arial"/>
        </w:rPr>
        <w:t>-submit</w:t>
      </w:r>
      <w:r w:rsidR="005E3D51">
        <w:rPr>
          <w:rFonts w:cs="Arial"/>
        </w:rPr>
        <w:t xml:space="preserve"> the LIDP</w:t>
      </w:r>
      <w:r w:rsidR="00EA4237">
        <w:rPr>
          <w:rFonts w:cs="Arial"/>
        </w:rPr>
        <w:t xml:space="preserve"> to the IC</w:t>
      </w:r>
      <w:r w:rsidR="00AB5B69">
        <w:rPr>
          <w:rFonts w:cs="Arial"/>
        </w:rPr>
        <w:t xml:space="preserve">N </w:t>
      </w:r>
      <w:r w:rsidR="00EA4237">
        <w:rPr>
          <w:rFonts w:cs="Arial"/>
        </w:rPr>
        <w:t>for re-evaluation</w:t>
      </w:r>
      <w:r w:rsidR="00207822">
        <w:rPr>
          <w:rFonts w:cs="Arial"/>
        </w:rPr>
        <w:t>, in order that their commitments can be re-assessed</w:t>
      </w:r>
      <w:r w:rsidR="009C3338">
        <w:rPr>
          <w:rFonts w:cs="Arial"/>
        </w:rPr>
        <w:t xml:space="preserve">. </w:t>
      </w:r>
      <w:r w:rsidR="009B453B">
        <w:rPr>
          <w:rFonts w:cs="Arial"/>
        </w:rPr>
        <w:t xml:space="preserve">Contact </w:t>
      </w:r>
      <w:r w:rsidR="00EF441A">
        <w:rPr>
          <w:rFonts w:cs="Arial"/>
        </w:rPr>
        <w:t xml:space="preserve">DJPR </w:t>
      </w:r>
      <w:r w:rsidR="00E7273F">
        <w:rPr>
          <w:rFonts w:cs="Arial"/>
        </w:rPr>
        <w:t xml:space="preserve">for more advice on a project by project basis. </w:t>
      </w:r>
    </w:p>
    <w:p w14:paraId="551E60AF" w14:textId="65F29836" w:rsidR="003E2984" w:rsidRDefault="003E2984" w:rsidP="00636236">
      <w:pPr>
        <w:rPr>
          <w:b/>
          <w:sz w:val="20"/>
        </w:rPr>
      </w:pPr>
      <w:r w:rsidRPr="0002578D">
        <w:rPr>
          <w:b/>
          <w:sz w:val="20"/>
        </w:rPr>
        <w:t xml:space="preserve">Step </w:t>
      </w:r>
      <w:r w:rsidR="000F2972">
        <w:rPr>
          <w:b/>
          <w:sz w:val="20"/>
        </w:rPr>
        <w:t>10</w:t>
      </w:r>
      <w:r w:rsidRPr="0002578D">
        <w:rPr>
          <w:b/>
          <w:sz w:val="20"/>
        </w:rPr>
        <w:t xml:space="preserve"> – Project completion </w:t>
      </w:r>
    </w:p>
    <w:p w14:paraId="2A895353" w14:textId="20E85D5A" w:rsidR="00DE0932" w:rsidRPr="0002578D" w:rsidRDefault="00DE0932" w:rsidP="005118B4">
      <w:pPr>
        <w:numPr>
          <w:ilvl w:val="0"/>
          <w:numId w:val="8"/>
        </w:numPr>
        <w:spacing w:before="0"/>
        <w:ind w:left="360"/>
        <w:jc w:val="both"/>
        <w:rPr>
          <w:rFonts w:cs="Arial"/>
        </w:rPr>
      </w:pPr>
      <w:r w:rsidRPr="0002578D">
        <w:rPr>
          <w:rFonts w:cs="Arial"/>
        </w:rPr>
        <w:t xml:space="preserve">The </w:t>
      </w:r>
      <w:r w:rsidR="000F2972">
        <w:rPr>
          <w:rFonts w:cs="Arial"/>
        </w:rPr>
        <w:t>LJF</w:t>
      </w:r>
      <w:r w:rsidRPr="0002578D">
        <w:rPr>
          <w:rFonts w:cs="Arial"/>
        </w:rPr>
        <w:t xml:space="preserve"> model clauses include a requirement that the contractor must submit a final </w:t>
      </w:r>
      <w:r w:rsidR="00904114">
        <w:rPr>
          <w:rFonts w:cs="Arial"/>
        </w:rPr>
        <w:t>LJF</w:t>
      </w:r>
      <w:r w:rsidR="000B697F">
        <w:rPr>
          <w:rFonts w:cs="Arial"/>
        </w:rPr>
        <w:t xml:space="preserve"> </w:t>
      </w:r>
      <w:r w:rsidRPr="0002578D">
        <w:rPr>
          <w:rFonts w:cs="Arial"/>
        </w:rPr>
        <w:t>monitoring report, including jobs data. You will need to ensure that this is obtained from the contractor at project completion. For construction projects, this is practical completion. For goods projects, it is at the time of full supply (ahead of the defects period). For services projects, it is often at the end of the life of the contract.</w:t>
      </w:r>
    </w:p>
    <w:p w14:paraId="714E53C4" w14:textId="66F397C3" w:rsidR="00DE0932" w:rsidRPr="0002578D" w:rsidRDefault="00DE0932" w:rsidP="005118B4">
      <w:pPr>
        <w:numPr>
          <w:ilvl w:val="0"/>
          <w:numId w:val="8"/>
        </w:numPr>
        <w:spacing w:before="0"/>
        <w:ind w:left="360"/>
        <w:jc w:val="both"/>
        <w:rPr>
          <w:rFonts w:cs="Arial"/>
        </w:rPr>
      </w:pPr>
      <w:r w:rsidRPr="0002578D">
        <w:rPr>
          <w:rFonts w:cs="Arial"/>
        </w:rPr>
        <w:t xml:space="preserve">The final </w:t>
      </w:r>
      <w:r w:rsidR="008D1187">
        <w:rPr>
          <w:rFonts w:cs="Arial"/>
        </w:rPr>
        <w:t>LJF</w:t>
      </w:r>
      <w:r w:rsidR="00542E99">
        <w:rPr>
          <w:rFonts w:cs="Arial"/>
        </w:rPr>
        <w:t xml:space="preserve"> </w:t>
      </w:r>
      <w:r w:rsidRPr="0002578D">
        <w:rPr>
          <w:rFonts w:cs="Arial"/>
        </w:rPr>
        <w:t xml:space="preserve">monitoring report must be submitted to </w:t>
      </w:r>
      <w:r w:rsidR="005D0877">
        <w:rPr>
          <w:rFonts w:cs="Arial"/>
        </w:rPr>
        <w:t>the</w:t>
      </w:r>
      <w:r w:rsidR="003D5F83">
        <w:rPr>
          <w:rFonts w:cs="Arial"/>
        </w:rPr>
        <w:t xml:space="preserve"> agency</w:t>
      </w:r>
      <w:r w:rsidRPr="0002578D">
        <w:rPr>
          <w:rFonts w:cs="Arial"/>
        </w:rPr>
        <w:t xml:space="preserve">, </w:t>
      </w:r>
      <w:r w:rsidR="005D0877">
        <w:rPr>
          <w:rFonts w:cs="Arial"/>
        </w:rPr>
        <w:t>who will provide</w:t>
      </w:r>
      <w:r w:rsidR="009C4431">
        <w:rPr>
          <w:rFonts w:cs="Arial"/>
        </w:rPr>
        <w:t xml:space="preserve"> this</w:t>
      </w:r>
      <w:r w:rsidR="005D0877">
        <w:rPr>
          <w:rFonts w:cs="Arial"/>
        </w:rPr>
        <w:t xml:space="preserve"> to the </w:t>
      </w:r>
      <w:r w:rsidR="003D5F83">
        <w:rPr>
          <w:rFonts w:cs="Arial"/>
        </w:rPr>
        <w:t>ICN</w:t>
      </w:r>
      <w:r w:rsidR="005D0877">
        <w:rPr>
          <w:rFonts w:cs="Arial"/>
        </w:rPr>
        <w:t xml:space="preserve">, </w:t>
      </w:r>
      <w:r w:rsidRPr="0002578D">
        <w:rPr>
          <w:rFonts w:cs="Arial"/>
        </w:rPr>
        <w:t xml:space="preserve">which will review the final local content and job outcomes and include this in </w:t>
      </w:r>
      <w:r w:rsidR="005D0877">
        <w:rPr>
          <w:rFonts w:cs="Arial"/>
        </w:rPr>
        <w:t>their</w:t>
      </w:r>
      <w:r w:rsidR="008D1187">
        <w:rPr>
          <w:rFonts w:cs="Arial"/>
        </w:rPr>
        <w:t xml:space="preserve"> LJF</w:t>
      </w:r>
      <w:r w:rsidRPr="0002578D">
        <w:rPr>
          <w:rFonts w:cs="Arial"/>
        </w:rPr>
        <w:t xml:space="preserve"> reporting.</w:t>
      </w:r>
      <w:r w:rsidR="001E7C96">
        <w:rPr>
          <w:rFonts w:cs="Arial"/>
        </w:rPr>
        <w:t xml:space="preserve"> </w:t>
      </w:r>
    </w:p>
    <w:p w14:paraId="7D2A6CD3" w14:textId="120494BF" w:rsidR="004A3C5B" w:rsidRDefault="004A3C5B" w:rsidP="005118B4">
      <w:pPr>
        <w:numPr>
          <w:ilvl w:val="0"/>
          <w:numId w:val="8"/>
        </w:numPr>
        <w:spacing w:before="0"/>
        <w:ind w:left="360"/>
        <w:jc w:val="both"/>
        <w:rPr>
          <w:rFonts w:cs="Arial"/>
        </w:rPr>
      </w:pPr>
      <w:r>
        <w:rPr>
          <w:rFonts w:cs="Arial"/>
        </w:rPr>
        <w:t xml:space="preserve">Detailed steps for completing a project are at section 11. </w:t>
      </w:r>
    </w:p>
    <w:p w14:paraId="6C0E82F7" w14:textId="1B646D8A" w:rsidR="00F2416B" w:rsidRPr="00636236" w:rsidRDefault="00F2416B" w:rsidP="00310E4F">
      <w:pPr>
        <w:pStyle w:val="Heading1"/>
        <w:spacing w:before="240" w:after="240" w:line="276" w:lineRule="auto"/>
        <w:ind w:left="431" w:hanging="431"/>
      </w:pPr>
      <w:bookmarkStart w:id="44" w:name="_Toc31116358"/>
      <w:bookmarkEnd w:id="30"/>
      <w:r w:rsidRPr="00636236">
        <w:t xml:space="preserve">Step by step process in applying Local Jobs First </w:t>
      </w:r>
      <w:r w:rsidR="00C9365D" w:rsidRPr="00636236">
        <w:t>to Major Projects Skills Guarantee applicable projects</w:t>
      </w:r>
      <w:bookmarkEnd w:id="44"/>
    </w:p>
    <w:p w14:paraId="78EBB986" w14:textId="6CD45077" w:rsidR="007E2C2F" w:rsidRPr="0002578D" w:rsidRDefault="007E2C2F" w:rsidP="001D4767">
      <w:pPr>
        <w:numPr>
          <w:ilvl w:val="0"/>
          <w:numId w:val="14"/>
        </w:numPr>
        <w:jc w:val="both"/>
        <w:rPr>
          <w:rFonts w:asciiTheme="minorHAnsi" w:hAnsiTheme="minorHAnsi" w:cstheme="minorHAnsi"/>
          <w:szCs w:val="18"/>
          <w:lang w:val="en-US"/>
        </w:rPr>
      </w:pPr>
      <w:r w:rsidRPr="0002578D">
        <w:rPr>
          <w:rFonts w:asciiTheme="minorHAnsi" w:hAnsiTheme="minorHAnsi" w:cstheme="minorHAnsi"/>
          <w:szCs w:val="18"/>
          <w:lang w:val="en-US"/>
        </w:rPr>
        <w:t>The Major Project Skills Guarantee</w:t>
      </w:r>
      <w:r w:rsidR="008D1187">
        <w:rPr>
          <w:rFonts w:asciiTheme="minorHAnsi" w:hAnsiTheme="minorHAnsi" w:cstheme="minorHAnsi"/>
          <w:szCs w:val="18"/>
          <w:lang w:val="en-US"/>
        </w:rPr>
        <w:t xml:space="preserve"> (MPSG)</w:t>
      </w:r>
      <w:r w:rsidRPr="0002578D">
        <w:rPr>
          <w:rFonts w:asciiTheme="minorHAnsi" w:hAnsiTheme="minorHAnsi" w:cstheme="minorHAnsi"/>
          <w:szCs w:val="18"/>
          <w:lang w:val="en-US"/>
        </w:rPr>
        <w:t xml:space="preserve"> applies to construction projects with a total project value of $20 million or more. MPSG may therefore apply to both </w:t>
      </w:r>
      <w:r w:rsidR="00636236">
        <w:rPr>
          <w:rFonts w:asciiTheme="minorHAnsi" w:hAnsiTheme="minorHAnsi" w:cstheme="minorHAnsi"/>
          <w:szCs w:val="18"/>
          <w:lang w:val="en-US"/>
        </w:rPr>
        <w:t>S</w:t>
      </w:r>
      <w:r w:rsidRPr="0002578D">
        <w:rPr>
          <w:rFonts w:asciiTheme="minorHAnsi" w:hAnsiTheme="minorHAnsi" w:cstheme="minorHAnsi"/>
          <w:szCs w:val="18"/>
          <w:lang w:val="en-US"/>
        </w:rPr>
        <w:t xml:space="preserve">tandard or </w:t>
      </w:r>
      <w:r w:rsidR="00636236">
        <w:rPr>
          <w:rFonts w:asciiTheme="minorHAnsi" w:hAnsiTheme="minorHAnsi" w:cstheme="minorHAnsi"/>
          <w:szCs w:val="18"/>
          <w:lang w:val="en-US"/>
        </w:rPr>
        <w:t>S</w:t>
      </w:r>
      <w:r w:rsidRPr="0002578D">
        <w:rPr>
          <w:rFonts w:asciiTheme="minorHAnsi" w:hAnsiTheme="minorHAnsi" w:cstheme="minorHAnsi"/>
          <w:szCs w:val="18"/>
          <w:lang w:val="en-US"/>
        </w:rPr>
        <w:t xml:space="preserve">trategic (more </w:t>
      </w:r>
      <w:r w:rsidR="001E7C96" w:rsidRPr="001E7C96">
        <w:rPr>
          <w:rFonts w:asciiTheme="minorHAnsi" w:hAnsiTheme="minorHAnsi" w:cstheme="minorHAnsi"/>
          <w:szCs w:val="18"/>
          <w:lang w:val="en-US"/>
        </w:rPr>
        <w:t>than</w:t>
      </w:r>
      <w:r w:rsidRPr="0002578D">
        <w:rPr>
          <w:rFonts w:asciiTheme="minorHAnsi" w:hAnsiTheme="minorHAnsi" w:cstheme="minorHAnsi"/>
          <w:szCs w:val="18"/>
          <w:lang w:val="en-US"/>
        </w:rPr>
        <w:t xml:space="preserve"> $50 million) </w:t>
      </w:r>
      <w:r w:rsidR="00636236">
        <w:rPr>
          <w:rFonts w:asciiTheme="minorHAnsi" w:hAnsiTheme="minorHAnsi" w:cstheme="minorHAnsi"/>
          <w:szCs w:val="18"/>
          <w:lang w:val="en-US"/>
        </w:rPr>
        <w:t>P</w:t>
      </w:r>
      <w:r w:rsidRPr="0002578D">
        <w:rPr>
          <w:rFonts w:asciiTheme="minorHAnsi" w:hAnsiTheme="minorHAnsi" w:cstheme="minorHAnsi"/>
          <w:szCs w:val="18"/>
          <w:lang w:val="en-US"/>
        </w:rPr>
        <w:t xml:space="preserve">rojects.   </w:t>
      </w:r>
    </w:p>
    <w:p w14:paraId="2F314A4B" w14:textId="2478A815" w:rsidR="00C5137B" w:rsidRPr="0002578D" w:rsidRDefault="00C5137B" w:rsidP="001D4767">
      <w:pPr>
        <w:numPr>
          <w:ilvl w:val="0"/>
          <w:numId w:val="14"/>
        </w:numPr>
        <w:jc w:val="both"/>
        <w:rPr>
          <w:rFonts w:asciiTheme="minorHAnsi" w:hAnsiTheme="minorHAnsi" w:cstheme="minorHAnsi"/>
          <w:szCs w:val="18"/>
          <w:lang w:val="en-US"/>
        </w:rPr>
      </w:pPr>
      <w:r w:rsidRPr="0002578D">
        <w:rPr>
          <w:rFonts w:asciiTheme="minorHAnsi" w:hAnsiTheme="minorHAnsi" w:cstheme="minorHAnsi"/>
          <w:szCs w:val="18"/>
          <w:lang w:val="en-US"/>
        </w:rPr>
        <w:t xml:space="preserve">The MPSG applies </w:t>
      </w:r>
      <w:r w:rsidR="00BC13B0" w:rsidRPr="0002578D">
        <w:rPr>
          <w:rFonts w:asciiTheme="minorHAnsi" w:hAnsiTheme="minorHAnsi" w:cstheme="minorHAnsi"/>
          <w:szCs w:val="18"/>
          <w:lang w:val="en-US"/>
        </w:rPr>
        <w:t xml:space="preserve">regardless of the amount given over </w:t>
      </w:r>
      <w:r w:rsidR="00542E99" w:rsidRPr="0002578D">
        <w:rPr>
          <w:rFonts w:asciiTheme="minorHAnsi" w:hAnsiTheme="minorHAnsi" w:cstheme="minorHAnsi"/>
          <w:szCs w:val="18"/>
          <w:lang w:val="en-US"/>
        </w:rPr>
        <w:t>in</w:t>
      </w:r>
      <w:r w:rsidR="00BC13B0" w:rsidRPr="0002578D">
        <w:rPr>
          <w:rFonts w:asciiTheme="minorHAnsi" w:hAnsiTheme="minorHAnsi" w:cstheme="minorHAnsi"/>
          <w:szCs w:val="18"/>
          <w:lang w:val="en-US"/>
        </w:rPr>
        <w:t xml:space="preserve"> a project budget to the actual </w:t>
      </w:r>
      <w:r w:rsidR="002B3103" w:rsidRPr="0002578D">
        <w:rPr>
          <w:rFonts w:asciiTheme="minorHAnsi" w:hAnsiTheme="minorHAnsi" w:cstheme="minorHAnsi"/>
          <w:szCs w:val="18"/>
          <w:lang w:val="en-US"/>
        </w:rPr>
        <w:t>construction</w:t>
      </w:r>
      <w:r w:rsidR="00BC13B0" w:rsidRPr="0002578D">
        <w:rPr>
          <w:rFonts w:asciiTheme="minorHAnsi" w:hAnsiTheme="minorHAnsi" w:cstheme="minorHAnsi"/>
          <w:szCs w:val="18"/>
          <w:lang w:val="en-US"/>
        </w:rPr>
        <w:t xml:space="preserve">. If </w:t>
      </w:r>
      <w:r w:rsidR="0065760A" w:rsidRPr="0002578D">
        <w:rPr>
          <w:rFonts w:asciiTheme="minorHAnsi" w:hAnsiTheme="minorHAnsi" w:cstheme="minorHAnsi"/>
          <w:szCs w:val="18"/>
          <w:lang w:val="en-US"/>
        </w:rPr>
        <w:t xml:space="preserve">only $20 million of a $60 million construction project is for actual </w:t>
      </w:r>
      <w:r w:rsidR="002B3103" w:rsidRPr="0002578D">
        <w:rPr>
          <w:rFonts w:asciiTheme="minorHAnsi" w:hAnsiTheme="minorHAnsi" w:cstheme="minorHAnsi"/>
          <w:szCs w:val="18"/>
          <w:lang w:val="en-US"/>
        </w:rPr>
        <w:t>construction</w:t>
      </w:r>
      <w:r w:rsidR="0065760A" w:rsidRPr="0002578D">
        <w:rPr>
          <w:rFonts w:asciiTheme="minorHAnsi" w:hAnsiTheme="minorHAnsi" w:cstheme="minorHAnsi"/>
          <w:szCs w:val="18"/>
          <w:lang w:val="en-US"/>
        </w:rPr>
        <w:t xml:space="preserve"> (as opposed to </w:t>
      </w:r>
      <w:r w:rsidR="002B3103" w:rsidRPr="0002578D">
        <w:rPr>
          <w:rFonts w:asciiTheme="minorHAnsi" w:hAnsiTheme="minorHAnsi" w:cstheme="minorHAnsi"/>
          <w:szCs w:val="18"/>
          <w:lang w:val="en-US"/>
        </w:rPr>
        <w:t>things such as traffic or transport management)</w:t>
      </w:r>
      <w:r w:rsidR="00FE4F6D">
        <w:rPr>
          <w:rFonts w:asciiTheme="minorHAnsi" w:hAnsiTheme="minorHAnsi" w:cstheme="minorHAnsi"/>
          <w:szCs w:val="18"/>
          <w:lang w:val="en-US"/>
        </w:rPr>
        <w:t xml:space="preserve"> </w:t>
      </w:r>
      <w:r w:rsidR="00E80827" w:rsidRPr="0002578D">
        <w:rPr>
          <w:rFonts w:asciiTheme="minorHAnsi" w:hAnsiTheme="minorHAnsi" w:cstheme="minorHAnsi"/>
          <w:szCs w:val="18"/>
          <w:lang w:val="en-US"/>
        </w:rPr>
        <w:t xml:space="preserve">the MPSG still applies to the total project </w:t>
      </w:r>
      <w:r w:rsidR="00FE4F6D" w:rsidRPr="0002578D">
        <w:rPr>
          <w:rFonts w:asciiTheme="minorHAnsi" w:hAnsiTheme="minorHAnsi" w:cstheme="minorHAnsi"/>
          <w:szCs w:val="18"/>
          <w:lang w:val="en-US"/>
        </w:rPr>
        <w:t>value but</w:t>
      </w:r>
      <w:r w:rsidR="002C6AAC" w:rsidRPr="0002578D">
        <w:rPr>
          <w:rFonts w:asciiTheme="minorHAnsi" w:hAnsiTheme="minorHAnsi" w:cstheme="minorHAnsi"/>
          <w:szCs w:val="18"/>
          <w:lang w:val="en-US"/>
        </w:rPr>
        <w:t xml:space="preserve"> can be </w:t>
      </w:r>
      <w:proofErr w:type="spellStart"/>
      <w:r w:rsidR="002C6AAC" w:rsidRPr="0002578D">
        <w:rPr>
          <w:rFonts w:asciiTheme="minorHAnsi" w:hAnsiTheme="minorHAnsi" w:cstheme="minorHAnsi"/>
          <w:szCs w:val="18"/>
          <w:lang w:val="en-US"/>
        </w:rPr>
        <w:t>u</w:t>
      </w:r>
      <w:r w:rsidR="00071D30" w:rsidRPr="0002578D">
        <w:rPr>
          <w:rFonts w:asciiTheme="minorHAnsi" w:hAnsiTheme="minorHAnsi" w:cstheme="minorHAnsi"/>
          <w:szCs w:val="18"/>
          <w:lang w:val="en-US"/>
        </w:rPr>
        <w:t>tilised</w:t>
      </w:r>
      <w:proofErr w:type="spellEnd"/>
      <w:r w:rsidR="00071D30" w:rsidRPr="0002578D">
        <w:rPr>
          <w:rFonts w:asciiTheme="minorHAnsi" w:hAnsiTheme="minorHAnsi" w:cstheme="minorHAnsi"/>
          <w:szCs w:val="18"/>
          <w:lang w:val="en-US"/>
        </w:rPr>
        <w:t xml:space="preserve"> </w:t>
      </w:r>
      <w:r w:rsidR="002C6AAC" w:rsidRPr="0002578D">
        <w:rPr>
          <w:rFonts w:asciiTheme="minorHAnsi" w:hAnsiTheme="minorHAnsi" w:cstheme="minorHAnsi"/>
          <w:szCs w:val="18"/>
          <w:lang w:val="en-US"/>
        </w:rPr>
        <w:t xml:space="preserve">across </w:t>
      </w:r>
      <w:r w:rsidR="00071D30" w:rsidRPr="0002578D">
        <w:rPr>
          <w:rFonts w:asciiTheme="minorHAnsi" w:hAnsiTheme="minorHAnsi" w:cstheme="minorHAnsi"/>
          <w:szCs w:val="18"/>
          <w:lang w:val="en-US"/>
        </w:rPr>
        <w:t>all aspects of the</w:t>
      </w:r>
      <w:r w:rsidR="002C6AAC" w:rsidRPr="0002578D">
        <w:rPr>
          <w:rFonts w:asciiTheme="minorHAnsi" w:hAnsiTheme="minorHAnsi" w:cstheme="minorHAnsi"/>
          <w:szCs w:val="18"/>
          <w:lang w:val="en-US"/>
        </w:rPr>
        <w:t xml:space="preserve"> project. </w:t>
      </w:r>
    </w:p>
    <w:p w14:paraId="6041447F" w14:textId="34679EAB" w:rsidR="007E2C2F" w:rsidRPr="00C43B9E" w:rsidRDefault="007E2C2F" w:rsidP="001D4767">
      <w:pPr>
        <w:numPr>
          <w:ilvl w:val="0"/>
          <w:numId w:val="14"/>
        </w:numPr>
        <w:jc w:val="both"/>
      </w:pPr>
      <w:r w:rsidRPr="003E4B29">
        <w:rPr>
          <w:rFonts w:asciiTheme="minorHAnsi" w:hAnsiTheme="minorHAnsi" w:cstheme="minorHAnsi"/>
          <w:b/>
          <w:szCs w:val="18"/>
          <w:lang w:val="en-US"/>
        </w:rPr>
        <w:t xml:space="preserve">All steps for applying the </w:t>
      </w:r>
      <w:r w:rsidR="001E7C96" w:rsidRPr="003E4B29">
        <w:rPr>
          <w:rFonts w:asciiTheme="minorHAnsi" w:hAnsiTheme="minorHAnsi" w:cstheme="minorHAnsi"/>
          <w:b/>
          <w:szCs w:val="18"/>
          <w:lang w:val="en-US"/>
        </w:rPr>
        <w:t>MPSG are</w:t>
      </w:r>
      <w:r w:rsidRPr="003E4B29">
        <w:rPr>
          <w:rFonts w:asciiTheme="minorHAnsi" w:hAnsiTheme="minorHAnsi" w:cstheme="minorHAnsi"/>
          <w:b/>
          <w:szCs w:val="18"/>
          <w:lang w:val="en-US"/>
        </w:rPr>
        <w:t xml:space="preserve"> identical to those applying to Standard Projects,</w:t>
      </w:r>
      <w:r w:rsidR="00D77383" w:rsidRPr="003E4B29">
        <w:rPr>
          <w:rFonts w:asciiTheme="minorHAnsi" w:hAnsiTheme="minorHAnsi" w:cstheme="minorHAnsi"/>
          <w:b/>
          <w:szCs w:val="18"/>
          <w:lang w:val="en-US"/>
        </w:rPr>
        <w:t xml:space="preserve"> outlined above, excluding steps 2,</w:t>
      </w:r>
      <w:r w:rsidR="003A7ED3" w:rsidRPr="003E4B29">
        <w:rPr>
          <w:rFonts w:asciiTheme="minorHAnsi" w:hAnsiTheme="minorHAnsi" w:cstheme="minorHAnsi"/>
          <w:b/>
          <w:szCs w:val="18"/>
          <w:lang w:val="en-US"/>
        </w:rPr>
        <w:t>3</w:t>
      </w:r>
      <w:r w:rsidR="00D77383" w:rsidRPr="003E4B29">
        <w:rPr>
          <w:rFonts w:asciiTheme="minorHAnsi" w:hAnsiTheme="minorHAnsi" w:cstheme="minorHAnsi"/>
          <w:b/>
          <w:szCs w:val="18"/>
          <w:lang w:val="en-US"/>
        </w:rPr>
        <w:t xml:space="preserve"> and 5</w:t>
      </w:r>
      <w:r w:rsidR="00E97824">
        <w:rPr>
          <w:rFonts w:asciiTheme="minorHAnsi" w:hAnsiTheme="minorHAnsi" w:cstheme="minorHAnsi"/>
          <w:b/>
          <w:szCs w:val="18"/>
          <w:lang w:val="en-US"/>
        </w:rPr>
        <w:t>,</w:t>
      </w:r>
      <w:r w:rsidR="00D77383">
        <w:rPr>
          <w:rFonts w:asciiTheme="minorHAnsi" w:hAnsiTheme="minorHAnsi" w:cstheme="minorHAnsi"/>
          <w:szCs w:val="18"/>
          <w:lang w:val="en-US"/>
        </w:rPr>
        <w:t xml:space="preserve"> </w:t>
      </w:r>
      <w:r w:rsidR="00C106C6" w:rsidRPr="00C106C6">
        <w:rPr>
          <w:rFonts w:asciiTheme="minorHAnsi" w:hAnsiTheme="minorHAnsi" w:cstheme="minorHAnsi"/>
          <w:b/>
          <w:szCs w:val="18"/>
          <w:lang w:val="en-US"/>
        </w:rPr>
        <w:t xml:space="preserve">as </w:t>
      </w:r>
      <w:r w:rsidR="00D77383" w:rsidRPr="0039713B">
        <w:rPr>
          <w:rFonts w:asciiTheme="minorHAnsi" w:hAnsiTheme="minorHAnsi" w:cstheme="minorHAnsi"/>
          <w:b/>
          <w:szCs w:val="18"/>
          <w:lang w:val="en-US"/>
        </w:rPr>
        <w:t>detailed below</w:t>
      </w:r>
      <w:r w:rsidR="00D77383">
        <w:rPr>
          <w:rFonts w:asciiTheme="minorHAnsi" w:hAnsiTheme="minorHAnsi" w:cstheme="minorHAnsi"/>
          <w:szCs w:val="18"/>
          <w:lang w:val="en-US"/>
        </w:rPr>
        <w:t xml:space="preserve">. </w:t>
      </w:r>
      <w:r>
        <w:t>This process also applies in full to Public Private Partnership (PPP) projects and other forms of contracting such as alliance contracts, auctions, or the use of a panel of suppliers that are LJF Strategic Projects.</w:t>
      </w:r>
    </w:p>
    <w:p w14:paraId="33B2DA8C" w14:textId="64741680" w:rsidR="007E2C2F" w:rsidRPr="0039713B" w:rsidRDefault="007E2C2F" w:rsidP="0039713B">
      <w:pPr>
        <w:rPr>
          <w:b/>
          <w:sz w:val="20"/>
        </w:rPr>
      </w:pPr>
      <w:r w:rsidRPr="0039713B">
        <w:rPr>
          <w:b/>
          <w:sz w:val="20"/>
        </w:rPr>
        <w:lastRenderedPageBreak/>
        <w:t>Step 2 – registering with</w:t>
      </w:r>
      <w:r w:rsidR="000D2B9D">
        <w:rPr>
          <w:b/>
          <w:sz w:val="20"/>
        </w:rPr>
        <w:t xml:space="preserve"> the</w:t>
      </w:r>
      <w:r w:rsidRPr="0039713B">
        <w:rPr>
          <w:b/>
          <w:sz w:val="20"/>
        </w:rPr>
        <w:t xml:space="preserve"> ICN and preparing </w:t>
      </w:r>
      <w:r w:rsidR="00B849E7">
        <w:rPr>
          <w:b/>
          <w:sz w:val="20"/>
        </w:rPr>
        <w:t>an LIDP</w:t>
      </w:r>
      <w:r w:rsidRPr="0039713B">
        <w:rPr>
          <w:b/>
          <w:sz w:val="20"/>
        </w:rPr>
        <w:t xml:space="preserve"> </w:t>
      </w:r>
    </w:p>
    <w:p w14:paraId="3607C080" w14:textId="720C3576" w:rsidR="007E2C2F" w:rsidRPr="00031F20" w:rsidRDefault="007E2C2F" w:rsidP="001D4767">
      <w:pPr>
        <w:numPr>
          <w:ilvl w:val="0"/>
          <w:numId w:val="14"/>
        </w:numPr>
        <w:jc w:val="both"/>
        <w:rPr>
          <w:rFonts w:asciiTheme="minorHAnsi" w:hAnsiTheme="minorHAnsi" w:cstheme="minorHAnsi"/>
          <w:szCs w:val="18"/>
          <w:lang w:val="en-US"/>
        </w:rPr>
      </w:pPr>
      <w:r w:rsidRPr="00031F20">
        <w:rPr>
          <w:rFonts w:asciiTheme="minorHAnsi" w:hAnsiTheme="minorHAnsi" w:cstheme="minorHAnsi"/>
          <w:szCs w:val="18"/>
          <w:lang w:val="en-US"/>
        </w:rPr>
        <w:t xml:space="preserve">In order </w:t>
      </w:r>
      <w:r>
        <w:rPr>
          <w:rFonts w:asciiTheme="minorHAnsi" w:hAnsiTheme="minorHAnsi" w:cstheme="minorHAnsi"/>
          <w:szCs w:val="18"/>
          <w:lang w:val="en-US"/>
        </w:rPr>
        <w:t>t</w:t>
      </w:r>
      <w:r w:rsidRPr="00031F20">
        <w:rPr>
          <w:rFonts w:asciiTheme="minorHAnsi" w:hAnsiTheme="minorHAnsi" w:cstheme="minorHAnsi"/>
          <w:szCs w:val="18"/>
          <w:lang w:val="en-US"/>
        </w:rPr>
        <w:t xml:space="preserve">o work out MPSG commitments, </w:t>
      </w:r>
      <w:r>
        <w:rPr>
          <w:rFonts w:asciiTheme="minorHAnsi" w:hAnsiTheme="minorHAnsi" w:cstheme="minorHAnsi"/>
          <w:szCs w:val="18"/>
          <w:lang w:val="en-US"/>
        </w:rPr>
        <w:t>bidders</w:t>
      </w:r>
      <w:r w:rsidRPr="00031F20">
        <w:rPr>
          <w:rFonts w:asciiTheme="minorHAnsi" w:hAnsiTheme="minorHAnsi" w:cstheme="minorHAnsi"/>
          <w:szCs w:val="18"/>
          <w:lang w:val="en-US"/>
        </w:rPr>
        <w:t xml:space="preserve"> must follow what is called the “Deemed Hours Formula” </w:t>
      </w:r>
    </w:p>
    <w:p w14:paraId="6270AF63" w14:textId="77777777" w:rsidR="007E2C2F" w:rsidRPr="00031F20" w:rsidRDefault="007E2C2F" w:rsidP="001D4767">
      <w:pPr>
        <w:numPr>
          <w:ilvl w:val="0"/>
          <w:numId w:val="14"/>
        </w:numPr>
        <w:jc w:val="both"/>
        <w:rPr>
          <w:rFonts w:asciiTheme="minorHAnsi" w:hAnsiTheme="minorHAnsi" w:cstheme="minorHAnsi"/>
          <w:szCs w:val="18"/>
          <w:lang w:val="en-US"/>
        </w:rPr>
      </w:pPr>
      <w:r w:rsidRPr="00031F20">
        <w:rPr>
          <w:rFonts w:asciiTheme="minorHAnsi" w:hAnsiTheme="minorHAnsi" w:cstheme="minorHAnsi"/>
          <w:szCs w:val="18"/>
          <w:lang w:val="en-US"/>
        </w:rPr>
        <w:t xml:space="preserve">The total labour hours under the MPSG are based on the total value of the contract, including all sub-contracting under the principal contract, and is determined by using the prescribed Deemed Hours Formula. </w:t>
      </w:r>
    </w:p>
    <w:p w14:paraId="03378621" w14:textId="0B71C0DD" w:rsidR="000B697F" w:rsidRPr="00310E4F" w:rsidRDefault="007E2C2F" w:rsidP="001D4767">
      <w:pPr>
        <w:numPr>
          <w:ilvl w:val="0"/>
          <w:numId w:val="14"/>
        </w:numPr>
        <w:jc w:val="both"/>
        <w:rPr>
          <w:rFonts w:asciiTheme="minorHAnsi" w:hAnsiTheme="minorHAnsi" w:cstheme="minorHAnsi"/>
          <w:szCs w:val="18"/>
        </w:rPr>
      </w:pPr>
      <w:r w:rsidRPr="00031F20">
        <w:rPr>
          <w:rFonts w:asciiTheme="minorHAnsi" w:hAnsiTheme="minorHAnsi" w:cstheme="minorHAnsi"/>
          <w:szCs w:val="18"/>
          <w:lang w:val="en-US"/>
        </w:rPr>
        <w:t>The ratios and rates used within the Deemed Hours Formula vary with the type of project. Separate labour ratios and hourly rates have been developed for building construction projects, civil and infrastructure projects, and for mixed building</w:t>
      </w:r>
      <w:r>
        <w:rPr>
          <w:rFonts w:asciiTheme="minorHAnsi" w:hAnsiTheme="minorHAnsi" w:cstheme="minorHAnsi"/>
          <w:szCs w:val="18"/>
        </w:rPr>
        <w:t xml:space="preserve"> </w:t>
      </w:r>
      <w:r w:rsidRPr="00A718F5">
        <w:rPr>
          <w:rFonts w:asciiTheme="minorHAnsi" w:hAnsiTheme="minorHAnsi" w:cstheme="minorHAnsi"/>
          <w:szCs w:val="18"/>
        </w:rPr>
        <w:t>and infrastructure</w:t>
      </w:r>
      <w:r>
        <w:rPr>
          <w:rFonts w:asciiTheme="minorHAnsi" w:hAnsiTheme="minorHAnsi" w:cstheme="minorHAnsi"/>
          <w:szCs w:val="18"/>
        </w:rPr>
        <w:t xml:space="preserve"> construction</w:t>
      </w:r>
      <w:r w:rsidRPr="00A718F5">
        <w:rPr>
          <w:rFonts w:asciiTheme="minorHAnsi" w:hAnsiTheme="minorHAnsi" w:cstheme="minorHAnsi"/>
          <w:szCs w:val="18"/>
        </w:rPr>
        <w:t xml:space="preserve"> projects based on industry data </w:t>
      </w:r>
      <w:r>
        <w:rPr>
          <w:rFonts w:asciiTheme="minorHAnsi" w:hAnsiTheme="minorHAnsi" w:cstheme="minorHAnsi"/>
          <w:szCs w:val="18"/>
        </w:rPr>
        <w:t>as detailed in the table below</w:t>
      </w:r>
      <w:r w:rsidRPr="00A718F5">
        <w:rPr>
          <w:rFonts w:asciiTheme="minorHAnsi" w:hAnsiTheme="minorHAnsi" w:cstheme="minorHAnsi"/>
          <w:szCs w:val="18"/>
        </w:rPr>
        <w:t xml:space="preserve">. </w:t>
      </w:r>
    </w:p>
    <w:p w14:paraId="1E9B5698" w14:textId="24D6CABE" w:rsidR="007E2C2F" w:rsidRPr="001E3CD5" w:rsidRDefault="007E2C2F" w:rsidP="001E3CD5">
      <w:pPr>
        <w:rPr>
          <w:rFonts w:asciiTheme="minorHAnsi" w:hAnsiTheme="minorHAnsi" w:cstheme="minorHAnsi"/>
          <w:b/>
          <w:szCs w:val="18"/>
        </w:rPr>
      </w:pPr>
      <w:r w:rsidRPr="001E3CD5">
        <w:rPr>
          <w:rFonts w:asciiTheme="minorHAnsi" w:hAnsiTheme="minorHAnsi" w:cstheme="minorHAnsi"/>
          <w:b/>
          <w:szCs w:val="18"/>
        </w:rPr>
        <w:t xml:space="preserve">Table </w:t>
      </w:r>
      <w:r w:rsidR="003D04C1" w:rsidRPr="001E3CD5">
        <w:rPr>
          <w:rFonts w:asciiTheme="minorHAnsi" w:hAnsiTheme="minorHAnsi" w:cstheme="minorHAnsi"/>
          <w:b/>
          <w:szCs w:val="18"/>
        </w:rPr>
        <w:t>4</w:t>
      </w:r>
      <w:r w:rsidRPr="001E3CD5">
        <w:rPr>
          <w:rFonts w:asciiTheme="minorHAnsi" w:hAnsiTheme="minorHAnsi" w:cstheme="minorHAnsi"/>
          <w:b/>
          <w:szCs w:val="18"/>
        </w:rPr>
        <w:t>: Project Types and the Deemed Hours Formula</w:t>
      </w:r>
    </w:p>
    <w:tbl>
      <w:tblPr>
        <w:tblStyle w:val="ListTable3"/>
        <w:tblW w:w="9327" w:type="dxa"/>
        <w:tblInd w:w="-5" w:type="dxa"/>
        <w:tblLook w:val="04A0" w:firstRow="1" w:lastRow="0" w:firstColumn="1" w:lastColumn="0" w:noHBand="0" w:noVBand="1"/>
      </w:tblPr>
      <w:tblGrid>
        <w:gridCol w:w="2209"/>
        <w:gridCol w:w="4374"/>
        <w:gridCol w:w="1433"/>
        <w:gridCol w:w="1311"/>
      </w:tblGrid>
      <w:tr w:rsidR="007E2C2F" w:rsidRPr="00B102D3" w14:paraId="321F8626" w14:textId="77777777" w:rsidTr="001E3C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209" w:type="dxa"/>
            <w:tcBorders>
              <w:top w:val="single" w:sz="4" w:space="0" w:color="201547" w:themeColor="text1"/>
              <w:bottom w:val="single" w:sz="4" w:space="0" w:color="201547" w:themeColor="text1"/>
            </w:tcBorders>
            <w:shd w:val="clear" w:color="auto" w:fill="auto"/>
          </w:tcPr>
          <w:p w14:paraId="4855C9C7" w14:textId="77777777" w:rsidR="007E2C2F" w:rsidRPr="00B102D3" w:rsidRDefault="007E2C2F" w:rsidP="00617565">
            <w:pPr>
              <w:spacing w:after="200"/>
            </w:pPr>
            <w:r w:rsidRPr="00B102D3">
              <w:t>Project Type</w:t>
            </w:r>
          </w:p>
        </w:tc>
        <w:tc>
          <w:tcPr>
            <w:tcW w:w="4374" w:type="dxa"/>
            <w:tcBorders>
              <w:top w:val="single" w:sz="4" w:space="0" w:color="201547" w:themeColor="text1"/>
              <w:bottom w:val="single" w:sz="4" w:space="0" w:color="201547" w:themeColor="text1"/>
            </w:tcBorders>
            <w:shd w:val="clear" w:color="auto" w:fill="auto"/>
          </w:tcPr>
          <w:p w14:paraId="1E2AB8DA" w14:textId="77777777" w:rsidR="007E2C2F" w:rsidRPr="00B102D3" w:rsidRDefault="007E2C2F" w:rsidP="00617565">
            <w:pPr>
              <w:spacing w:after="200"/>
              <w:cnfStyle w:val="100000000000" w:firstRow="1" w:lastRow="0" w:firstColumn="0" w:lastColumn="0" w:oddVBand="0" w:evenVBand="0" w:oddHBand="0" w:evenHBand="0" w:firstRowFirstColumn="0" w:firstRowLastColumn="0" w:lastRowFirstColumn="0" w:lastRowLastColumn="0"/>
            </w:pPr>
            <w:r w:rsidRPr="00B102D3">
              <w:t>Project Description</w:t>
            </w:r>
          </w:p>
        </w:tc>
        <w:tc>
          <w:tcPr>
            <w:tcW w:w="1433" w:type="dxa"/>
            <w:tcBorders>
              <w:top w:val="single" w:sz="4" w:space="0" w:color="201547" w:themeColor="text1"/>
              <w:bottom w:val="single" w:sz="4" w:space="0" w:color="201547" w:themeColor="text1"/>
            </w:tcBorders>
            <w:shd w:val="clear" w:color="auto" w:fill="auto"/>
          </w:tcPr>
          <w:p w14:paraId="680249B3" w14:textId="77777777" w:rsidR="007E2C2F" w:rsidRPr="00B102D3" w:rsidRDefault="007E2C2F" w:rsidP="00617565">
            <w:pPr>
              <w:spacing w:after="200"/>
              <w:cnfStyle w:val="100000000000" w:firstRow="1" w:lastRow="0" w:firstColumn="0" w:lastColumn="0" w:oddVBand="0" w:evenVBand="0" w:oddHBand="0" w:evenHBand="0" w:firstRowFirstColumn="0" w:firstRowLastColumn="0" w:lastRowFirstColumn="0" w:lastRowLastColumn="0"/>
            </w:pPr>
            <w:r w:rsidRPr="00B102D3">
              <w:t>Deemed Labour Ratio</w:t>
            </w:r>
          </w:p>
        </w:tc>
        <w:tc>
          <w:tcPr>
            <w:tcW w:w="1311" w:type="dxa"/>
            <w:tcBorders>
              <w:top w:val="single" w:sz="4" w:space="0" w:color="201547" w:themeColor="text1"/>
              <w:bottom w:val="single" w:sz="4" w:space="0" w:color="201547" w:themeColor="text1"/>
            </w:tcBorders>
            <w:shd w:val="clear" w:color="auto" w:fill="auto"/>
          </w:tcPr>
          <w:p w14:paraId="3AD2554F" w14:textId="77777777" w:rsidR="007E2C2F" w:rsidRPr="00B102D3" w:rsidRDefault="007E2C2F" w:rsidP="00617565">
            <w:pPr>
              <w:spacing w:after="200"/>
              <w:cnfStyle w:val="100000000000" w:firstRow="1" w:lastRow="0" w:firstColumn="0" w:lastColumn="0" w:oddVBand="0" w:evenVBand="0" w:oddHBand="0" w:evenHBand="0" w:firstRowFirstColumn="0" w:firstRowLastColumn="0" w:lastRowFirstColumn="0" w:lastRowLastColumn="0"/>
            </w:pPr>
            <w:r w:rsidRPr="00B102D3">
              <w:t>Deemed Hourly Rate</w:t>
            </w:r>
          </w:p>
        </w:tc>
      </w:tr>
      <w:tr w:rsidR="007E2C2F" w:rsidRPr="00B102D3" w14:paraId="5AD1B9DF" w14:textId="77777777" w:rsidTr="001E3C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09" w:type="dxa"/>
          </w:tcPr>
          <w:p w14:paraId="7E6A4075" w14:textId="77777777" w:rsidR="007E2C2F" w:rsidRPr="00B102D3" w:rsidRDefault="007E2C2F" w:rsidP="00617565">
            <w:pPr>
              <w:spacing w:after="200"/>
            </w:pPr>
            <w:r w:rsidRPr="00B102D3">
              <w:t>Building construction projects</w:t>
            </w:r>
          </w:p>
        </w:tc>
        <w:tc>
          <w:tcPr>
            <w:tcW w:w="4374" w:type="dxa"/>
          </w:tcPr>
          <w:p w14:paraId="4D37D4D8" w14:textId="77777777" w:rsidR="007E2C2F" w:rsidRPr="00B102D3" w:rsidRDefault="007E2C2F" w:rsidP="00617565">
            <w:pPr>
              <w:spacing w:after="200"/>
              <w:cnfStyle w:val="000000100000" w:firstRow="0" w:lastRow="0" w:firstColumn="0" w:lastColumn="0" w:oddVBand="0" w:evenVBand="0" w:oddHBand="1" w:evenHBand="0" w:firstRowFirstColumn="0" w:firstRowLastColumn="0" w:lastRowFirstColumn="0" w:lastRowLastColumn="0"/>
            </w:pPr>
            <w:r w:rsidRPr="00B102D3">
              <w:t xml:space="preserve">Building </w:t>
            </w:r>
            <w:r>
              <w:t xml:space="preserve">construction projects </w:t>
            </w:r>
            <w:r w:rsidRPr="00B102D3">
              <w:t xml:space="preserve">include commercial </w:t>
            </w:r>
            <w:r>
              <w:t xml:space="preserve">building </w:t>
            </w:r>
            <w:r w:rsidRPr="00B102D3">
              <w:t xml:space="preserve">projects, schools, education, hospitals, police, fire and ambulance stations, civic buildings, courts and </w:t>
            </w:r>
            <w:r>
              <w:t>similar structures</w:t>
            </w:r>
            <w:r w:rsidRPr="00B102D3">
              <w:t xml:space="preserve">. </w:t>
            </w:r>
          </w:p>
        </w:tc>
        <w:tc>
          <w:tcPr>
            <w:tcW w:w="1433" w:type="dxa"/>
          </w:tcPr>
          <w:p w14:paraId="71ED448C" w14:textId="0DC34FE7" w:rsidR="007E2C2F" w:rsidRPr="00B102D3" w:rsidRDefault="007E2C2F" w:rsidP="00617565">
            <w:pPr>
              <w:spacing w:after="200"/>
              <w:cnfStyle w:val="000000100000" w:firstRow="0" w:lastRow="0" w:firstColumn="0" w:lastColumn="0" w:oddVBand="0" w:evenVBand="0" w:oddHBand="1" w:evenHBand="0" w:firstRowFirstColumn="0" w:firstRowLastColumn="0" w:lastRowFirstColumn="0" w:lastRowLastColumn="0"/>
            </w:pPr>
            <w:r w:rsidRPr="00B102D3">
              <w:t>35</w:t>
            </w:r>
            <w:r w:rsidR="00D77383">
              <w:t xml:space="preserve"> per cent</w:t>
            </w:r>
          </w:p>
        </w:tc>
        <w:tc>
          <w:tcPr>
            <w:tcW w:w="1311" w:type="dxa"/>
          </w:tcPr>
          <w:p w14:paraId="366BA625" w14:textId="77777777" w:rsidR="007E2C2F" w:rsidRPr="00B102D3" w:rsidRDefault="007E2C2F" w:rsidP="00617565">
            <w:pPr>
              <w:spacing w:after="200"/>
              <w:cnfStyle w:val="000000100000" w:firstRow="0" w:lastRow="0" w:firstColumn="0" w:lastColumn="0" w:oddVBand="0" w:evenVBand="0" w:oddHBand="1" w:evenHBand="0" w:firstRowFirstColumn="0" w:firstRowLastColumn="0" w:lastRowFirstColumn="0" w:lastRowLastColumn="0"/>
            </w:pPr>
            <w:r w:rsidRPr="00B102D3">
              <w:t>$75.00</w:t>
            </w:r>
          </w:p>
        </w:tc>
      </w:tr>
      <w:tr w:rsidR="007E2C2F" w:rsidRPr="00B102D3" w14:paraId="773ECE6D" w14:textId="77777777" w:rsidTr="001E3CD5">
        <w:trPr>
          <w:cantSplit/>
        </w:trPr>
        <w:tc>
          <w:tcPr>
            <w:cnfStyle w:val="001000000000" w:firstRow="0" w:lastRow="0" w:firstColumn="1" w:lastColumn="0" w:oddVBand="0" w:evenVBand="0" w:oddHBand="0" w:evenHBand="0" w:firstRowFirstColumn="0" w:firstRowLastColumn="0" w:lastRowFirstColumn="0" w:lastRowLastColumn="0"/>
            <w:tcW w:w="2209" w:type="dxa"/>
            <w:tcBorders>
              <w:bottom w:val="single" w:sz="4" w:space="0" w:color="201547" w:themeColor="text1"/>
            </w:tcBorders>
          </w:tcPr>
          <w:p w14:paraId="3AD49773" w14:textId="77777777" w:rsidR="007E2C2F" w:rsidRPr="00B102D3" w:rsidRDefault="007E2C2F" w:rsidP="00617565">
            <w:pPr>
              <w:spacing w:after="200"/>
            </w:pPr>
            <w:r w:rsidRPr="00B102D3">
              <w:t xml:space="preserve">Civil and infrastructure </w:t>
            </w:r>
            <w:r>
              <w:t xml:space="preserve">construction </w:t>
            </w:r>
            <w:r w:rsidRPr="00B102D3">
              <w:t>projects</w:t>
            </w:r>
          </w:p>
        </w:tc>
        <w:tc>
          <w:tcPr>
            <w:tcW w:w="4374" w:type="dxa"/>
            <w:tcBorders>
              <w:bottom w:val="single" w:sz="4" w:space="0" w:color="201547" w:themeColor="text1"/>
            </w:tcBorders>
          </w:tcPr>
          <w:p w14:paraId="08C2DECA" w14:textId="77777777" w:rsidR="007E2C2F" w:rsidRPr="00B102D3" w:rsidRDefault="007E2C2F" w:rsidP="00617565">
            <w:pPr>
              <w:spacing w:after="200"/>
              <w:cnfStyle w:val="000000000000" w:firstRow="0" w:lastRow="0" w:firstColumn="0" w:lastColumn="0" w:oddVBand="0" w:evenVBand="0" w:oddHBand="0" w:evenHBand="0" w:firstRowFirstColumn="0" w:firstRowLastColumn="0" w:lastRowFirstColumn="0" w:lastRowLastColumn="0"/>
            </w:pPr>
            <w:r w:rsidRPr="00B102D3">
              <w:t>Civil a</w:t>
            </w:r>
            <w:r>
              <w:t>nd i</w:t>
            </w:r>
            <w:r w:rsidRPr="00B102D3">
              <w:t>nfrastructure project</w:t>
            </w:r>
            <w:r>
              <w:t>s</w:t>
            </w:r>
            <w:r w:rsidRPr="00B102D3">
              <w:t xml:space="preserve"> include engineering-based </w:t>
            </w:r>
            <w:r>
              <w:t>projects</w:t>
            </w:r>
            <w:r w:rsidRPr="00B102D3">
              <w:t xml:space="preserve"> </w:t>
            </w:r>
            <w:r>
              <w:t>that i</w:t>
            </w:r>
            <w:r w:rsidRPr="00B102D3">
              <w:t>nclude, but not limited to, roads, bridges, tunnels, train and tramway</w:t>
            </w:r>
            <w:r>
              <w:t xml:space="preserve"> works</w:t>
            </w:r>
            <w:r w:rsidRPr="00B102D3">
              <w:t xml:space="preserve">, water and sewerage treatment plants, water and sewerage reticulation pipelines and </w:t>
            </w:r>
            <w:r>
              <w:t>similar works</w:t>
            </w:r>
            <w:r w:rsidRPr="00B102D3">
              <w:t xml:space="preserve">. </w:t>
            </w:r>
          </w:p>
        </w:tc>
        <w:tc>
          <w:tcPr>
            <w:tcW w:w="1433" w:type="dxa"/>
            <w:tcBorders>
              <w:bottom w:val="single" w:sz="4" w:space="0" w:color="201547" w:themeColor="text1"/>
            </w:tcBorders>
          </w:tcPr>
          <w:p w14:paraId="36E98DDA" w14:textId="18DCFDA7" w:rsidR="007E2C2F" w:rsidRPr="00B102D3" w:rsidRDefault="007E2C2F" w:rsidP="00617565">
            <w:pPr>
              <w:spacing w:after="200"/>
              <w:cnfStyle w:val="000000000000" w:firstRow="0" w:lastRow="0" w:firstColumn="0" w:lastColumn="0" w:oddVBand="0" w:evenVBand="0" w:oddHBand="0" w:evenHBand="0" w:firstRowFirstColumn="0" w:firstRowLastColumn="0" w:lastRowFirstColumn="0" w:lastRowLastColumn="0"/>
            </w:pPr>
            <w:r w:rsidRPr="00B102D3">
              <w:t>15</w:t>
            </w:r>
            <w:r w:rsidR="00D77383">
              <w:t xml:space="preserve"> per cent</w:t>
            </w:r>
          </w:p>
        </w:tc>
        <w:tc>
          <w:tcPr>
            <w:tcW w:w="1311" w:type="dxa"/>
            <w:tcBorders>
              <w:bottom w:val="single" w:sz="4" w:space="0" w:color="201547" w:themeColor="text1"/>
            </w:tcBorders>
          </w:tcPr>
          <w:p w14:paraId="38F3ACF4" w14:textId="77777777" w:rsidR="007E2C2F" w:rsidRPr="00B102D3" w:rsidRDefault="007E2C2F" w:rsidP="00617565">
            <w:pPr>
              <w:spacing w:after="200"/>
              <w:cnfStyle w:val="000000000000" w:firstRow="0" w:lastRow="0" w:firstColumn="0" w:lastColumn="0" w:oddVBand="0" w:evenVBand="0" w:oddHBand="0" w:evenHBand="0" w:firstRowFirstColumn="0" w:firstRowLastColumn="0" w:lastRowFirstColumn="0" w:lastRowLastColumn="0"/>
            </w:pPr>
            <w:r w:rsidRPr="00B102D3">
              <w:t>$70.00</w:t>
            </w:r>
          </w:p>
        </w:tc>
      </w:tr>
      <w:tr w:rsidR="007E2C2F" w:rsidRPr="00B102D3" w14:paraId="1186141D" w14:textId="77777777" w:rsidTr="001E3C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09" w:type="dxa"/>
            <w:tcBorders>
              <w:bottom w:val="single" w:sz="4" w:space="0" w:color="auto"/>
            </w:tcBorders>
          </w:tcPr>
          <w:p w14:paraId="3F8217DF" w14:textId="77777777" w:rsidR="007E2C2F" w:rsidRPr="00B102D3" w:rsidRDefault="007E2C2F" w:rsidP="00617565">
            <w:pPr>
              <w:spacing w:after="200"/>
            </w:pPr>
            <w:r>
              <w:t>Building</w:t>
            </w:r>
            <w:r w:rsidRPr="00B102D3">
              <w:t xml:space="preserve"> and infrastructure </w:t>
            </w:r>
            <w:r>
              <w:t xml:space="preserve">construction </w:t>
            </w:r>
            <w:r w:rsidRPr="00B102D3">
              <w:t>(mixed) projects</w:t>
            </w:r>
          </w:p>
        </w:tc>
        <w:tc>
          <w:tcPr>
            <w:tcW w:w="4374" w:type="dxa"/>
            <w:tcBorders>
              <w:bottom w:val="single" w:sz="4" w:space="0" w:color="auto"/>
            </w:tcBorders>
          </w:tcPr>
          <w:p w14:paraId="7CDA8B9E" w14:textId="77777777" w:rsidR="007E2C2F" w:rsidRPr="00B102D3" w:rsidRDefault="007E2C2F" w:rsidP="00617565">
            <w:pPr>
              <w:spacing w:after="200"/>
              <w:cnfStyle w:val="000000100000" w:firstRow="0" w:lastRow="0" w:firstColumn="0" w:lastColumn="0" w:oddVBand="0" w:evenVBand="0" w:oddHBand="1" w:evenHBand="0" w:firstRowFirstColumn="0" w:firstRowLastColumn="0" w:lastRowFirstColumn="0" w:lastRowLastColumn="0"/>
            </w:pPr>
            <w:r>
              <w:t xml:space="preserve">Building and </w:t>
            </w:r>
            <w:r w:rsidRPr="00B102D3">
              <w:t xml:space="preserve">infrastructure </w:t>
            </w:r>
            <w:r>
              <w:t xml:space="preserve">construction </w:t>
            </w:r>
            <w:r w:rsidRPr="00B102D3">
              <w:t>(mixed) project</w:t>
            </w:r>
            <w:r>
              <w:t xml:space="preserve">s are where the </w:t>
            </w:r>
            <w:r w:rsidRPr="00B102D3">
              <w:t xml:space="preserve">specified works are civil/infrastructure in nature but include significant building construction elements such </w:t>
            </w:r>
            <w:r>
              <w:t xml:space="preserve">rail </w:t>
            </w:r>
            <w:r w:rsidRPr="00B102D3">
              <w:t xml:space="preserve">upgrades </w:t>
            </w:r>
            <w:r>
              <w:t xml:space="preserve">or projects </w:t>
            </w:r>
            <w:r w:rsidRPr="00B102D3">
              <w:t xml:space="preserve">that include stations, or water treatment plants that include facility buildings or sheds. </w:t>
            </w:r>
          </w:p>
        </w:tc>
        <w:tc>
          <w:tcPr>
            <w:tcW w:w="1433" w:type="dxa"/>
            <w:tcBorders>
              <w:bottom w:val="single" w:sz="4" w:space="0" w:color="auto"/>
            </w:tcBorders>
          </w:tcPr>
          <w:p w14:paraId="672B22C8" w14:textId="6BA2C4E6" w:rsidR="007E2C2F" w:rsidRPr="00B102D3" w:rsidRDefault="007E2C2F" w:rsidP="00617565">
            <w:pPr>
              <w:spacing w:after="200"/>
              <w:cnfStyle w:val="000000100000" w:firstRow="0" w:lastRow="0" w:firstColumn="0" w:lastColumn="0" w:oddVBand="0" w:evenVBand="0" w:oddHBand="1" w:evenHBand="0" w:firstRowFirstColumn="0" w:firstRowLastColumn="0" w:lastRowFirstColumn="0" w:lastRowLastColumn="0"/>
            </w:pPr>
            <w:r w:rsidRPr="00B102D3">
              <w:t>25</w:t>
            </w:r>
            <w:r w:rsidR="0071345F">
              <w:t xml:space="preserve"> </w:t>
            </w:r>
            <w:r w:rsidR="00D77383">
              <w:t>per cent</w:t>
            </w:r>
          </w:p>
        </w:tc>
        <w:tc>
          <w:tcPr>
            <w:tcW w:w="1311" w:type="dxa"/>
            <w:tcBorders>
              <w:bottom w:val="single" w:sz="4" w:space="0" w:color="auto"/>
            </w:tcBorders>
          </w:tcPr>
          <w:p w14:paraId="7CE2528E" w14:textId="77777777" w:rsidR="007E2C2F" w:rsidRPr="00B102D3" w:rsidRDefault="007E2C2F" w:rsidP="00617565">
            <w:pPr>
              <w:spacing w:after="200"/>
              <w:cnfStyle w:val="000000100000" w:firstRow="0" w:lastRow="0" w:firstColumn="0" w:lastColumn="0" w:oddVBand="0" w:evenVBand="0" w:oddHBand="1" w:evenHBand="0" w:firstRowFirstColumn="0" w:firstRowLastColumn="0" w:lastRowFirstColumn="0" w:lastRowLastColumn="0"/>
            </w:pPr>
            <w:r w:rsidRPr="00B102D3">
              <w:t>$75.00</w:t>
            </w:r>
          </w:p>
        </w:tc>
      </w:tr>
    </w:tbl>
    <w:p w14:paraId="5FBE6032" w14:textId="77777777" w:rsidR="007E2C2F" w:rsidRPr="007400EE" w:rsidRDefault="007E2C2F" w:rsidP="007E2C2F">
      <w:pPr>
        <w:rPr>
          <w:rFonts w:asciiTheme="minorHAnsi" w:hAnsiTheme="minorHAnsi" w:cstheme="minorHAnsi"/>
          <w:b/>
          <w:szCs w:val="18"/>
          <w:u w:val="single"/>
        </w:rPr>
      </w:pPr>
      <w:r w:rsidRPr="007400EE">
        <w:rPr>
          <w:rFonts w:asciiTheme="minorHAnsi" w:hAnsiTheme="minorHAnsi" w:cstheme="minorHAnsi"/>
          <w:b/>
          <w:szCs w:val="18"/>
          <w:u w:val="single"/>
        </w:rPr>
        <w:t>Deemed hours formula</w:t>
      </w:r>
    </w:p>
    <w:p w14:paraId="4BF76292" w14:textId="6E4234FF" w:rsidR="00110696" w:rsidRPr="0002578D" w:rsidRDefault="007E2C2F" w:rsidP="001D4767">
      <w:pPr>
        <w:numPr>
          <w:ilvl w:val="0"/>
          <w:numId w:val="14"/>
        </w:numPr>
        <w:jc w:val="both"/>
        <w:rPr>
          <w:rFonts w:asciiTheme="minorHAnsi" w:hAnsiTheme="minorHAnsi" w:cstheme="minorHAnsi"/>
          <w:szCs w:val="18"/>
          <w:lang w:val="en-US"/>
        </w:rPr>
      </w:pPr>
      <w:r w:rsidRPr="0002578D">
        <w:rPr>
          <w:rFonts w:asciiTheme="minorHAnsi" w:hAnsiTheme="minorHAnsi" w:cstheme="minorHAnsi"/>
          <w:szCs w:val="18"/>
          <w:lang w:val="en-US"/>
        </w:rPr>
        <w:t xml:space="preserve">Use the above project definitions to pick the deemed labour ratios and hourly rates for your specific construction project. </w:t>
      </w:r>
    </w:p>
    <w:p w14:paraId="1F044E3B" w14:textId="3C20B0D2" w:rsidR="00110696" w:rsidRPr="0002578D" w:rsidRDefault="00110696" w:rsidP="001D4767">
      <w:pPr>
        <w:numPr>
          <w:ilvl w:val="0"/>
          <w:numId w:val="14"/>
        </w:numPr>
        <w:jc w:val="both"/>
        <w:rPr>
          <w:rFonts w:asciiTheme="minorHAnsi" w:hAnsiTheme="minorHAnsi" w:cstheme="minorHAnsi"/>
          <w:szCs w:val="18"/>
          <w:lang w:val="en-US"/>
        </w:rPr>
      </w:pPr>
      <w:r w:rsidRPr="0040112F">
        <w:rPr>
          <w:rFonts w:asciiTheme="minorHAnsi" w:hAnsiTheme="minorHAnsi" w:cstheme="minorHAnsi"/>
          <w:b/>
          <w:szCs w:val="18"/>
          <w:lang w:val="en-US"/>
        </w:rPr>
        <w:t xml:space="preserve">Agencies are required to select </w:t>
      </w:r>
      <w:r w:rsidR="003514E9" w:rsidRPr="0040112F">
        <w:rPr>
          <w:rFonts w:asciiTheme="minorHAnsi" w:hAnsiTheme="minorHAnsi" w:cstheme="minorHAnsi"/>
          <w:b/>
          <w:szCs w:val="18"/>
          <w:lang w:val="en-US"/>
        </w:rPr>
        <w:t xml:space="preserve">the appropriate deemed labour ratios and hourly rates for your specific construction project. This must be nominated at project registration on the VMC </w:t>
      </w:r>
      <w:r w:rsidR="00D57531" w:rsidRPr="0040112F">
        <w:rPr>
          <w:rFonts w:asciiTheme="minorHAnsi" w:hAnsiTheme="minorHAnsi" w:cstheme="minorHAnsi"/>
          <w:b/>
          <w:szCs w:val="18"/>
          <w:lang w:val="en-US"/>
        </w:rPr>
        <w:t xml:space="preserve">to enable this to be reflected in the </w:t>
      </w:r>
      <w:r w:rsidR="005300A5">
        <w:rPr>
          <w:rFonts w:asciiTheme="minorHAnsi" w:hAnsiTheme="minorHAnsi" w:cstheme="minorHAnsi"/>
          <w:b/>
          <w:szCs w:val="18"/>
          <w:lang w:val="en-US"/>
        </w:rPr>
        <w:t>LIDP</w:t>
      </w:r>
      <w:r w:rsidR="00D57531" w:rsidRPr="0002578D">
        <w:rPr>
          <w:rFonts w:asciiTheme="minorHAnsi" w:hAnsiTheme="minorHAnsi" w:cstheme="minorHAnsi"/>
          <w:szCs w:val="18"/>
          <w:lang w:val="en-US"/>
        </w:rPr>
        <w:t xml:space="preserve">. Agencies must also reflect these two figures in the </w:t>
      </w:r>
      <w:r w:rsidR="005300A5">
        <w:rPr>
          <w:rFonts w:asciiTheme="minorHAnsi" w:hAnsiTheme="minorHAnsi" w:cstheme="minorHAnsi"/>
          <w:szCs w:val="18"/>
          <w:lang w:val="en-US"/>
        </w:rPr>
        <w:t>LJF</w:t>
      </w:r>
      <w:r w:rsidR="00F21D1E" w:rsidRPr="0002578D">
        <w:rPr>
          <w:rFonts w:asciiTheme="minorHAnsi" w:hAnsiTheme="minorHAnsi" w:cstheme="minorHAnsi"/>
          <w:szCs w:val="18"/>
          <w:lang w:val="en-US"/>
        </w:rPr>
        <w:t xml:space="preserve"> </w:t>
      </w:r>
      <w:r w:rsidR="00D57531" w:rsidRPr="0002578D">
        <w:rPr>
          <w:rFonts w:asciiTheme="minorHAnsi" w:hAnsiTheme="minorHAnsi" w:cstheme="minorHAnsi"/>
          <w:szCs w:val="18"/>
          <w:lang w:val="en-US"/>
        </w:rPr>
        <w:t xml:space="preserve">approach to market </w:t>
      </w:r>
      <w:r w:rsidR="00F21D1E" w:rsidRPr="0002578D">
        <w:rPr>
          <w:rFonts w:asciiTheme="minorHAnsi" w:hAnsiTheme="minorHAnsi" w:cstheme="minorHAnsi"/>
          <w:szCs w:val="18"/>
          <w:lang w:val="en-US"/>
        </w:rPr>
        <w:t xml:space="preserve">model clauses. This ensures all bidders are preparing the deemed hours formula fairly and consistently. </w:t>
      </w:r>
    </w:p>
    <w:p w14:paraId="5FA6A908" w14:textId="03803830" w:rsidR="00046B11" w:rsidRPr="00046B11" w:rsidRDefault="00F21D1E" w:rsidP="00046B11">
      <w:pPr>
        <w:numPr>
          <w:ilvl w:val="0"/>
          <w:numId w:val="14"/>
        </w:numPr>
        <w:jc w:val="both"/>
        <w:rPr>
          <w:rFonts w:asciiTheme="minorHAnsi" w:hAnsiTheme="minorHAnsi" w:cstheme="minorHAnsi"/>
          <w:szCs w:val="18"/>
          <w:lang w:val="en-US"/>
        </w:rPr>
      </w:pPr>
      <w:r w:rsidRPr="007639C5">
        <w:rPr>
          <w:rFonts w:asciiTheme="minorHAnsi" w:hAnsiTheme="minorHAnsi" w:cstheme="minorHAnsi"/>
          <w:b/>
          <w:szCs w:val="18"/>
          <w:lang w:val="en-US"/>
        </w:rPr>
        <w:t>A</w:t>
      </w:r>
      <w:r w:rsidR="008F29A4" w:rsidRPr="007639C5">
        <w:rPr>
          <w:rFonts w:asciiTheme="minorHAnsi" w:hAnsiTheme="minorHAnsi" w:cstheme="minorHAnsi"/>
          <w:b/>
          <w:szCs w:val="18"/>
          <w:lang w:val="en-US"/>
        </w:rPr>
        <w:t>n</w:t>
      </w:r>
      <w:r w:rsidRPr="007639C5">
        <w:rPr>
          <w:rFonts w:asciiTheme="minorHAnsi" w:hAnsiTheme="minorHAnsi" w:cstheme="minorHAnsi"/>
          <w:b/>
          <w:szCs w:val="18"/>
          <w:lang w:val="en-US"/>
        </w:rPr>
        <w:t xml:space="preserve"> agency can also specify </w:t>
      </w:r>
      <w:r w:rsidR="008F29A4" w:rsidRPr="007639C5">
        <w:rPr>
          <w:rFonts w:asciiTheme="minorHAnsi" w:hAnsiTheme="minorHAnsi" w:cstheme="minorHAnsi"/>
          <w:b/>
          <w:szCs w:val="18"/>
          <w:lang w:val="en-US"/>
        </w:rPr>
        <w:t>what specialist equipment is appropriate for inclusion with the bidder to determine the value.</w:t>
      </w:r>
      <w:r w:rsidR="008F29A4">
        <w:rPr>
          <w:rFonts w:asciiTheme="minorHAnsi" w:hAnsiTheme="minorHAnsi" w:cstheme="minorHAnsi"/>
          <w:szCs w:val="18"/>
          <w:lang w:val="en-US"/>
        </w:rPr>
        <w:t xml:space="preserve"> </w:t>
      </w:r>
      <w:r w:rsidR="00F708F9">
        <w:rPr>
          <w:rFonts w:asciiTheme="minorHAnsi" w:hAnsiTheme="minorHAnsi" w:cstheme="minorHAnsi"/>
          <w:szCs w:val="18"/>
          <w:lang w:val="en-US"/>
        </w:rPr>
        <w:t>S</w:t>
      </w:r>
      <w:r w:rsidR="00F708F9" w:rsidRPr="00F708F9">
        <w:rPr>
          <w:rFonts w:asciiTheme="minorHAnsi" w:hAnsiTheme="minorHAnsi" w:cstheme="minorHAnsi"/>
          <w:szCs w:val="18"/>
          <w:lang w:val="en-US"/>
        </w:rPr>
        <w:t xml:space="preserve">pecialist equipment refers to significant items or systems of equipment of significant cost for the specific </w:t>
      </w:r>
      <w:r w:rsidR="005300A5">
        <w:rPr>
          <w:rFonts w:asciiTheme="minorHAnsi" w:hAnsiTheme="minorHAnsi" w:cstheme="minorHAnsi"/>
          <w:szCs w:val="18"/>
          <w:lang w:val="en-US"/>
        </w:rPr>
        <w:t>LJF</w:t>
      </w:r>
      <w:r w:rsidR="00F708F9" w:rsidRPr="00F708F9">
        <w:rPr>
          <w:rFonts w:asciiTheme="minorHAnsi" w:hAnsiTheme="minorHAnsi" w:cstheme="minorHAnsi"/>
          <w:szCs w:val="18"/>
          <w:lang w:val="en-US"/>
        </w:rPr>
        <w:t xml:space="preserve"> project. Items may include but not limited to elect</w:t>
      </w:r>
      <w:r w:rsidR="00496708">
        <w:rPr>
          <w:rFonts w:asciiTheme="minorHAnsi" w:hAnsiTheme="minorHAnsi" w:cstheme="minorHAnsi"/>
          <w:szCs w:val="18"/>
          <w:lang w:val="en-US"/>
        </w:rPr>
        <w:t>r</w:t>
      </w:r>
      <w:r w:rsidR="00F708F9" w:rsidRPr="00F708F9">
        <w:rPr>
          <w:rFonts w:asciiTheme="minorHAnsi" w:hAnsiTheme="minorHAnsi" w:cstheme="minorHAnsi"/>
          <w:szCs w:val="18"/>
          <w:lang w:val="en-US"/>
        </w:rPr>
        <w:t>o-medical equipment, rail signaling, ICT systems and so on</w:t>
      </w:r>
      <w:r w:rsidR="00046B11">
        <w:rPr>
          <w:rFonts w:asciiTheme="minorHAnsi" w:hAnsiTheme="minorHAnsi" w:cstheme="minorHAnsi"/>
          <w:szCs w:val="18"/>
          <w:lang w:val="en-US"/>
        </w:rPr>
        <w:t>.</w:t>
      </w:r>
    </w:p>
    <w:p w14:paraId="718BA63A" w14:textId="09470B73" w:rsidR="00046B11" w:rsidRDefault="00046B11" w:rsidP="00046B11"/>
    <w:p w14:paraId="058EF0E1" w14:textId="57BBA0C2" w:rsidR="00046B11" w:rsidRDefault="00046B11" w:rsidP="00046B11"/>
    <w:p w14:paraId="54131515" w14:textId="7B1CA1F7" w:rsidR="00046B11" w:rsidRDefault="00046B11" w:rsidP="00046B11"/>
    <w:p w14:paraId="147E6AAF" w14:textId="50CF690E" w:rsidR="00046B11" w:rsidRDefault="00046B11" w:rsidP="00046B11"/>
    <w:p w14:paraId="3FFE21BE" w14:textId="31946429" w:rsidR="00046B11" w:rsidRDefault="00046B11" w:rsidP="00046B11"/>
    <w:p w14:paraId="24D342A0" w14:textId="57AFC3C6" w:rsidR="00046B11" w:rsidRDefault="00046B11" w:rsidP="00046B11"/>
    <w:p w14:paraId="2AD46787" w14:textId="0507344C" w:rsidR="00046B11" w:rsidRDefault="00046B11" w:rsidP="00046B11"/>
    <w:p w14:paraId="006DE9EE" w14:textId="09BBFB5D" w:rsidR="00046B11" w:rsidRPr="00046B11" w:rsidRDefault="00046B11" w:rsidP="00046B11">
      <w:pPr>
        <w:rPr>
          <w:b/>
          <w:bCs/>
        </w:rPr>
      </w:pPr>
      <w:r>
        <w:rPr>
          <w:b/>
          <w:bCs/>
        </w:rPr>
        <w:lastRenderedPageBreak/>
        <w:t xml:space="preserve">Table 5: Deemed hours formula example </w:t>
      </w:r>
    </w:p>
    <w:tbl>
      <w:tblPr>
        <w:tblStyle w:val="TableGrid"/>
        <w:tblW w:w="0" w:type="auto"/>
        <w:jc w:val="center"/>
        <w:tblLook w:val="04A0" w:firstRow="1" w:lastRow="0" w:firstColumn="1" w:lastColumn="0" w:noHBand="0" w:noVBand="1"/>
        <w:tblCaption w:val="Example of deemed hours formula applied to the civil/infrastructure project contracts"/>
        <w:tblDescription w:val="Column two provides the rate example and column three outlines the value."/>
      </w:tblPr>
      <w:tblGrid>
        <w:gridCol w:w="2830"/>
        <w:gridCol w:w="1166"/>
        <w:gridCol w:w="1559"/>
      </w:tblGrid>
      <w:tr w:rsidR="007E2C2F" w:rsidRPr="00074428" w14:paraId="057A476A" w14:textId="77777777" w:rsidTr="000E0A04">
        <w:trPr>
          <w:trHeight w:val="340"/>
          <w:tblHeader/>
          <w:jc w:val="center"/>
        </w:trPr>
        <w:tc>
          <w:tcPr>
            <w:tcW w:w="2830" w:type="dxa"/>
            <w:shd w:val="clear" w:color="auto" w:fill="D9D9D6" w:themeFill="background2"/>
          </w:tcPr>
          <w:p w14:paraId="3AABFE97" w14:textId="77777777" w:rsidR="007E2C2F" w:rsidRPr="008B1F2F" w:rsidRDefault="007E2C2F" w:rsidP="0002578D">
            <w:pPr>
              <w:spacing w:before="0"/>
              <w:rPr>
                <w:szCs w:val="18"/>
              </w:rPr>
            </w:pPr>
          </w:p>
        </w:tc>
        <w:tc>
          <w:tcPr>
            <w:tcW w:w="1166" w:type="dxa"/>
            <w:shd w:val="clear" w:color="auto" w:fill="D9D9D6" w:themeFill="background2"/>
          </w:tcPr>
          <w:p w14:paraId="7352C87C" w14:textId="77777777" w:rsidR="007E2C2F" w:rsidRPr="00E20281" w:rsidRDefault="007E2C2F" w:rsidP="0002578D">
            <w:pPr>
              <w:spacing w:before="0"/>
              <w:rPr>
                <w:b/>
                <w:szCs w:val="18"/>
              </w:rPr>
            </w:pPr>
            <w:r w:rsidRPr="00E20281">
              <w:rPr>
                <w:b/>
                <w:szCs w:val="18"/>
              </w:rPr>
              <w:t xml:space="preserve">Rate </w:t>
            </w:r>
          </w:p>
        </w:tc>
        <w:tc>
          <w:tcPr>
            <w:tcW w:w="1559" w:type="dxa"/>
            <w:shd w:val="clear" w:color="auto" w:fill="D9D9D6" w:themeFill="background2"/>
          </w:tcPr>
          <w:p w14:paraId="49E230E3" w14:textId="77777777" w:rsidR="007E2C2F" w:rsidRPr="0002578D" w:rsidRDefault="007E2C2F" w:rsidP="0002578D">
            <w:pPr>
              <w:spacing w:before="0"/>
              <w:rPr>
                <w:b/>
                <w:szCs w:val="18"/>
              </w:rPr>
            </w:pPr>
            <w:r w:rsidRPr="0002578D">
              <w:rPr>
                <w:b/>
                <w:szCs w:val="18"/>
              </w:rPr>
              <w:t>Value ($)</w:t>
            </w:r>
          </w:p>
        </w:tc>
      </w:tr>
      <w:tr w:rsidR="007E2C2F" w:rsidRPr="00074428" w14:paraId="2DA2386E" w14:textId="77777777" w:rsidTr="000E0A04">
        <w:trPr>
          <w:trHeight w:val="340"/>
          <w:jc w:val="center"/>
        </w:trPr>
        <w:tc>
          <w:tcPr>
            <w:tcW w:w="2830" w:type="dxa"/>
          </w:tcPr>
          <w:p w14:paraId="3F1263E8" w14:textId="77777777" w:rsidR="007E2C2F" w:rsidRPr="008B1F2F" w:rsidRDefault="007E2C2F" w:rsidP="0002578D">
            <w:pPr>
              <w:spacing w:before="0"/>
              <w:rPr>
                <w:b/>
                <w:szCs w:val="18"/>
              </w:rPr>
            </w:pPr>
            <w:r w:rsidRPr="008B1F2F">
              <w:rPr>
                <w:b/>
                <w:szCs w:val="18"/>
              </w:rPr>
              <w:t>Total project value (excluding GST)</w:t>
            </w:r>
          </w:p>
        </w:tc>
        <w:tc>
          <w:tcPr>
            <w:tcW w:w="1166" w:type="dxa"/>
            <w:shd w:val="clear" w:color="auto" w:fill="C8BEEC" w:themeFill="text1" w:themeFillTint="33"/>
          </w:tcPr>
          <w:p w14:paraId="3F8F902D" w14:textId="77777777" w:rsidR="007E2C2F" w:rsidRPr="00E20281" w:rsidRDefault="007E2C2F" w:rsidP="0002578D">
            <w:pPr>
              <w:spacing w:before="0"/>
              <w:rPr>
                <w:szCs w:val="18"/>
              </w:rPr>
            </w:pPr>
          </w:p>
        </w:tc>
        <w:tc>
          <w:tcPr>
            <w:tcW w:w="1559" w:type="dxa"/>
          </w:tcPr>
          <w:p w14:paraId="019AE079" w14:textId="77777777" w:rsidR="007E2C2F" w:rsidRPr="0002578D" w:rsidRDefault="007E2C2F" w:rsidP="0002578D">
            <w:pPr>
              <w:spacing w:before="0"/>
              <w:rPr>
                <w:b/>
                <w:szCs w:val="18"/>
              </w:rPr>
            </w:pPr>
            <w:r w:rsidRPr="0002578D">
              <w:rPr>
                <w:b/>
                <w:szCs w:val="18"/>
              </w:rPr>
              <w:t>$250,000,000</w:t>
            </w:r>
          </w:p>
        </w:tc>
      </w:tr>
      <w:tr w:rsidR="007E2C2F" w:rsidRPr="00074428" w14:paraId="1AFD2C3C" w14:textId="77777777" w:rsidTr="000E0A04">
        <w:trPr>
          <w:trHeight w:val="340"/>
          <w:jc w:val="center"/>
        </w:trPr>
        <w:tc>
          <w:tcPr>
            <w:tcW w:w="2830" w:type="dxa"/>
          </w:tcPr>
          <w:p w14:paraId="435BAFD3" w14:textId="3B13886F" w:rsidR="007E2C2F" w:rsidRPr="00E20281" w:rsidRDefault="007E2C2F" w:rsidP="0002578D">
            <w:pPr>
              <w:spacing w:before="0"/>
              <w:rPr>
                <w:szCs w:val="18"/>
              </w:rPr>
            </w:pPr>
            <w:r w:rsidRPr="008B1F2F">
              <w:rPr>
                <w:szCs w:val="18"/>
              </w:rPr>
              <w:t xml:space="preserve">       Less </w:t>
            </w:r>
            <w:r w:rsidR="00292646" w:rsidRPr="008B1F2F">
              <w:rPr>
                <w:szCs w:val="18"/>
              </w:rPr>
              <w:t xml:space="preserve">profit </w:t>
            </w:r>
            <w:r w:rsidRPr="001F424A">
              <w:rPr>
                <w:szCs w:val="18"/>
              </w:rPr>
              <w:t>margin</w:t>
            </w:r>
          </w:p>
        </w:tc>
        <w:tc>
          <w:tcPr>
            <w:tcW w:w="1166" w:type="dxa"/>
            <w:shd w:val="clear" w:color="auto" w:fill="C8BEEC" w:themeFill="text1" w:themeFillTint="33"/>
          </w:tcPr>
          <w:p w14:paraId="2F750B28" w14:textId="77777777" w:rsidR="007E2C2F" w:rsidRPr="0002578D" w:rsidRDefault="007E2C2F" w:rsidP="0002578D">
            <w:pPr>
              <w:spacing w:before="0"/>
              <w:rPr>
                <w:szCs w:val="18"/>
              </w:rPr>
            </w:pPr>
          </w:p>
        </w:tc>
        <w:tc>
          <w:tcPr>
            <w:tcW w:w="1559" w:type="dxa"/>
          </w:tcPr>
          <w:p w14:paraId="3839C311" w14:textId="77777777" w:rsidR="007E2C2F" w:rsidRPr="0002578D" w:rsidRDefault="007E2C2F" w:rsidP="0002578D">
            <w:pPr>
              <w:spacing w:before="0"/>
              <w:rPr>
                <w:szCs w:val="18"/>
              </w:rPr>
            </w:pPr>
            <w:r w:rsidRPr="0002578D">
              <w:rPr>
                <w:szCs w:val="18"/>
              </w:rPr>
              <w:t>$20,000,000</w:t>
            </w:r>
          </w:p>
        </w:tc>
      </w:tr>
      <w:tr w:rsidR="007E2C2F" w:rsidRPr="00074428" w14:paraId="4266282E" w14:textId="77777777" w:rsidTr="000E0A04">
        <w:trPr>
          <w:trHeight w:val="340"/>
          <w:jc w:val="center"/>
        </w:trPr>
        <w:tc>
          <w:tcPr>
            <w:tcW w:w="2830" w:type="dxa"/>
          </w:tcPr>
          <w:p w14:paraId="7D96B117" w14:textId="77777777" w:rsidR="007E2C2F" w:rsidRPr="008B1F2F" w:rsidRDefault="007E2C2F" w:rsidP="0002578D">
            <w:pPr>
              <w:spacing w:before="0"/>
              <w:rPr>
                <w:szCs w:val="18"/>
              </w:rPr>
            </w:pPr>
            <w:r w:rsidRPr="008B1F2F">
              <w:rPr>
                <w:szCs w:val="18"/>
              </w:rPr>
              <w:t xml:space="preserve">       Less specialist equipment</w:t>
            </w:r>
          </w:p>
        </w:tc>
        <w:tc>
          <w:tcPr>
            <w:tcW w:w="1166" w:type="dxa"/>
            <w:shd w:val="clear" w:color="auto" w:fill="C8BEEC" w:themeFill="text1" w:themeFillTint="33"/>
          </w:tcPr>
          <w:p w14:paraId="1914C182" w14:textId="77777777" w:rsidR="007E2C2F" w:rsidRPr="00E20281" w:rsidRDefault="007E2C2F" w:rsidP="0002578D">
            <w:pPr>
              <w:spacing w:before="0"/>
              <w:rPr>
                <w:szCs w:val="18"/>
              </w:rPr>
            </w:pPr>
          </w:p>
        </w:tc>
        <w:tc>
          <w:tcPr>
            <w:tcW w:w="1559" w:type="dxa"/>
          </w:tcPr>
          <w:p w14:paraId="4C505F55" w14:textId="77777777" w:rsidR="007E2C2F" w:rsidRPr="0002578D" w:rsidRDefault="007E2C2F" w:rsidP="0002578D">
            <w:pPr>
              <w:spacing w:before="0"/>
              <w:rPr>
                <w:szCs w:val="18"/>
              </w:rPr>
            </w:pPr>
            <w:r w:rsidRPr="0002578D">
              <w:rPr>
                <w:szCs w:val="18"/>
              </w:rPr>
              <w:t>$55,500,000</w:t>
            </w:r>
          </w:p>
        </w:tc>
      </w:tr>
      <w:tr w:rsidR="007E2C2F" w:rsidRPr="00074428" w14:paraId="3C4AB422" w14:textId="77777777" w:rsidTr="000E0A04">
        <w:trPr>
          <w:trHeight w:val="340"/>
          <w:jc w:val="center"/>
        </w:trPr>
        <w:tc>
          <w:tcPr>
            <w:tcW w:w="2830" w:type="dxa"/>
          </w:tcPr>
          <w:p w14:paraId="6420408E" w14:textId="77777777" w:rsidR="007E2C2F" w:rsidRPr="008B1F2F" w:rsidRDefault="007E2C2F" w:rsidP="0002578D">
            <w:pPr>
              <w:spacing w:before="0"/>
              <w:rPr>
                <w:szCs w:val="18"/>
              </w:rPr>
            </w:pPr>
            <w:r w:rsidRPr="008B1F2F">
              <w:rPr>
                <w:szCs w:val="18"/>
              </w:rPr>
              <w:t>Total contract deductions</w:t>
            </w:r>
          </w:p>
        </w:tc>
        <w:tc>
          <w:tcPr>
            <w:tcW w:w="1166" w:type="dxa"/>
            <w:shd w:val="clear" w:color="auto" w:fill="C8BEEC" w:themeFill="text1" w:themeFillTint="33"/>
          </w:tcPr>
          <w:p w14:paraId="44596B3E" w14:textId="77777777" w:rsidR="007E2C2F" w:rsidRPr="00E20281" w:rsidRDefault="007E2C2F" w:rsidP="0002578D">
            <w:pPr>
              <w:spacing w:before="0"/>
              <w:rPr>
                <w:szCs w:val="18"/>
              </w:rPr>
            </w:pPr>
          </w:p>
        </w:tc>
        <w:tc>
          <w:tcPr>
            <w:tcW w:w="1559" w:type="dxa"/>
          </w:tcPr>
          <w:p w14:paraId="3573F354" w14:textId="77777777" w:rsidR="007E2C2F" w:rsidRPr="0002578D" w:rsidRDefault="007E2C2F" w:rsidP="0002578D">
            <w:pPr>
              <w:spacing w:before="0"/>
              <w:rPr>
                <w:szCs w:val="18"/>
              </w:rPr>
            </w:pPr>
            <w:r w:rsidRPr="0002578D">
              <w:rPr>
                <w:szCs w:val="18"/>
              </w:rPr>
              <w:t>$75,500,000</w:t>
            </w:r>
          </w:p>
        </w:tc>
      </w:tr>
      <w:tr w:rsidR="007E2C2F" w:rsidRPr="00074428" w14:paraId="6CF5701F" w14:textId="77777777" w:rsidTr="000E0A04">
        <w:trPr>
          <w:trHeight w:val="340"/>
          <w:jc w:val="center"/>
        </w:trPr>
        <w:tc>
          <w:tcPr>
            <w:tcW w:w="2830" w:type="dxa"/>
          </w:tcPr>
          <w:p w14:paraId="18ED554B" w14:textId="77777777" w:rsidR="007E2C2F" w:rsidRPr="008B1F2F" w:rsidRDefault="007E2C2F" w:rsidP="0002578D">
            <w:pPr>
              <w:spacing w:before="0"/>
              <w:rPr>
                <w:b/>
                <w:szCs w:val="18"/>
              </w:rPr>
            </w:pPr>
            <w:r w:rsidRPr="008B1F2F">
              <w:rPr>
                <w:b/>
                <w:szCs w:val="18"/>
              </w:rPr>
              <w:t xml:space="preserve">Adjusted MPSG value </w:t>
            </w:r>
          </w:p>
        </w:tc>
        <w:tc>
          <w:tcPr>
            <w:tcW w:w="1166" w:type="dxa"/>
            <w:shd w:val="clear" w:color="auto" w:fill="C8BEEC" w:themeFill="text1" w:themeFillTint="33"/>
          </w:tcPr>
          <w:p w14:paraId="63EDE906" w14:textId="77777777" w:rsidR="007E2C2F" w:rsidRPr="00E20281" w:rsidRDefault="007E2C2F" w:rsidP="0002578D">
            <w:pPr>
              <w:spacing w:before="0"/>
              <w:rPr>
                <w:szCs w:val="18"/>
              </w:rPr>
            </w:pPr>
          </w:p>
        </w:tc>
        <w:tc>
          <w:tcPr>
            <w:tcW w:w="1559" w:type="dxa"/>
          </w:tcPr>
          <w:p w14:paraId="39116FA9" w14:textId="77777777" w:rsidR="007E2C2F" w:rsidRPr="0002578D" w:rsidRDefault="007E2C2F" w:rsidP="0002578D">
            <w:pPr>
              <w:spacing w:before="0"/>
              <w:rPr>
                <w:b/>
                <w:szCs w:val="18"/>
              </w:rPr>
            </w:pPr>
            <w:r w:rsidRPr="0002578D">
              <w:rPr>
                <w:b/>
                <w:szCs w:val="18"/>
              </w:rPr>
              <w:t>$174,500,000</w:t>
            </w:r>
          </w:p>
        </w:tc>
      </w:tr>
      <w:tr w:rsidR="007E2C2F" w:rsidRPr="00074428" w14:paraId="7E0BAD3C" w14:textId="77777777" w:rsidTr="000E0A04">
        <w:trPr>
          <w:trHeight w:val="340"/>
          <w:jc w:val="center"/>
        </w:trPr>
        <w:tc>
          <w:tcPr>
            <w:tcW w:w="2830" w:type="dxa"/>
          </w:tcPr>
          <w:p w14:paraId="1EDB4B47" w14:textId="77777777" w:rsidR="007E2C2F" w:rsidRPr="008B1F2F" w:rsidRDefault="007E2C2F" w:rsidP="0002578D">
            <w:pPr>
              <w:spacing w:before="0"/>
              <w:rPr>
                <w:szCs w:val="18"/>
              </w:rPr>
            </w:pPr>
            <w:r w:rsidRPr="008B1F2F">
              <w:rPr>
                <w:szCs w:val="18"/>
              </w:rPr>
              <w:t xml:space="preserve">       Deemed labour ratio</w:t>
            </w:r>
          </w:p>
        </w:tc>
        <w:tc>
          <w:tcPr>
            <w:tcW w:w="1166" w:type="dxa"/>
          </w:tcPr>
          <w:p w14:paraId="5DE39990" w14:textId="32E6C0B5" w:rsidR="007E2C2F" w:rsidRPr="00E20281" w:rsidRDefault="007E2C2F" w:rsidP="0002578D">
            <w:pPr>
              <w:spacing w:before="0"/>
              <w:rPr>
                <w:szCs w:val="18"/>
              </w:rPr>
            </w:pPr>
            <w:r w:rsidRPr="00E20281">
              <w:rPr>
                <w:szCs w:val="18"/>
              </w:rPr>
              <w:t>15</w:t>
            </w:r>
            <w:r w:rsidR="005300A5">
              <w:rPr>
                <w:szCs w:val="18"/>
              </w:rPr>
              <w:t xml:space="preserve"> per cent</w:t>
            </w:r>
          </w:p>
        </w:tc>
        <w:tc>
          <w:tcPr>
            <w:tcW w:w="1559" w:type="dxa"/>
          </w:tcPr>
          <w:p w14:paraId="7F87210B" w14:textId="77777777" w:rsidR="007E2C2F" w:rsidRPr="0002578D" w:rsidRDefault="007E2C2F" w:rsidP="0002578D">
            <w:pPr>
              <w:spacing w:before="0"/>
              <w:rPr>
                <w:szCs w:val="18"/>
              </w:rPr>
            </w:pPr>
            <w:r w:rsidRPr="0002578D">
              <w:rPr>
                <w:szCs w:val="18"/>
              </w:rPr>
              <w:t>$26,175,000</w:t>
            </w:r>
          </w:p>
        </w:tc>
      </w:tr>
      <w:tr w:rsidR="007E2C2F" w:rsidRPr="00074428" w14:paraId="682185DF" w14:textId="77777777" w:rsidTr="000E0A04">
        <w:trPr>
          <w:trHeight w:val="340"/>
          <w:jc w:val="center"/>
        </w:trPr>
        <w:tc>
          <w:tcPr>
            <w:tcW w:w="2830" w:type="dxa"/>
          </w:tcPr>
          <w:p w14:paraId="2101DBF2" w14:textId="77777777" w:rsidR="007E2C2F" w:rsidRPr="008B1F2F" w:rsidRDefault="007E2C2F" w:rsidP="0002578D">
            <w:pPr>
              <w:spacing w:before="0"/>
              <w:rPr>
                <w:szCs w:val="18"/>
              </w:rPr>
            </w:pPr>
            <w:r w:rsidRPr="008B1F2F">
              <w:rPr>
                <w:szCs w:val="18"/>
              </w:rPr>
              <w:t xml:space="preserve">       Deemed labour hourly rate</w:t>
            </w:r>
          </w:p>
        </w:tc>
        <w:tc>
          <w:tcPr>
            <w:tcW w:w="1166" w:type="dxa"/>
          </w:tcPr>
          <w:p w14:paraId="5F5FA436" w14:textId="77777777" w:rsidR="007E2C2F" w:rsidRPr="00E20281" w:rsidRDefault="007E2C2F" w:rsidP="0002578D">
            <w:pPr>
              <w:spacing w:before="0"/>
              <w:rPr>
                <w:szCs w:val="18"/>
              </w:rPr>
            </w:pPr>
            <w:r w:rsidRPr="00E20281">
              <w:rPr>
                <w:szCs w:val="18"/>
              </w:rPr>
              <w:t>$70 p/h</w:t>
            </w:r>
          </w:p>
        </w:tc>
        <w:tc>
          <w:tcPr>
            <w:tcW w:w="1559" w:type="dxa"/>
          </w:tcPr>
          <w:p w14:paraId="732B8887" w14:textId="77777777" w:rsidR="007E2C2F" w:rsidRPr="0002578D" w:rsidRDefault="007E2C2F" w:rsidP="0002578D">
            <w:pPr>
              <w:spacing w:before="0"/>
              <w:rPr>
                <w:szCs w:val="18"/>
              </w:rPr>
            </w:pPr>
            <w:r w:rsidRPr="0002578D">
              <w:rPr>
                <w:szCs w:val="18"/>
              </w:rPr>
              <w:t>373,929 hours</w:t>
            </w:r>
          </w:p>
        </w:tc>
      </w:tr>
      <w:tr w:rsidR="007E2C2F" w:rsidRPr="00074428" w14:paraId="78DB75AF" w14:textId="77777777" w:rsidTr="000E0A04">
        <w:trPr>
          <w:trHeight w:val="340"/>
          <w:jc w:val="center"/>
        </w:trPr>
        <w:tc>
          <w:tcPr>
            <w:tcW w:w="2830" w:type="dxa"/>
          </w:tcPr>
          <w:p w14:paraId="6919AC54" w14:textId="597BBD6A" w:rsidR="007E2C2F" w:rsidRPr="008B1F2F" w:rsidRDefault="007E2C2F" w:rsidP="0002578D">
            <w:pPr>
              <w:spacing w:before="0"/>
              <w:rPr>
                <w:b/>
                <w:szCs w:val="18"/>
              </w:rPr>
            </w:pPr>
            <w:r w:rsidRPr="008B1F2F">
              <w:rPr>
                <w:b/>
                <w:szCs w:val="18"/>
              </w:rPr>
              <w:t>Minimum 10</w:t>
            </w:r>
            <w:r w:rsidR="005300A5">
              <w:rPr>
                <w:b/>
                <w:szCs w:val="18"/>
              </w:rPr>
              <w:t xml:space="preserve"> per cent</w:t>
            </w:r>
            <w:r w:rsidRPr="008B1F2F">
              <w:rPr>
                <w:b/>
                <w:szCs w:val="18"/>
              </w:rPr>
              <w:t xml:space="preserve"> requirement</w:t>
            </w:r>
          </w:p>
        </w:tc>
        <w:tc>
          <w:tcPr>
            <w:tcW w:w="1166" w:type="dxa"/>
          </w:tcPr>
          <w:p w14:paraId="18F4F712" w14:textId="7B1E674B" w:rsidR="007E2C2F" w:rsidRPr="00E20281" w:rsidRDefault="007E2C2F" w:rsidP="0002578D">
            <w:pPr>
              <w:spacing w:before="0"/>
              <w:rPr>
                <w:b/>
                <w:szCs w:val="18"/>
              </w:rPr>
            </w:pPr>
            <w:r w:rsidRPr="00E20281">
              <w:rPr>
                <w:b/>
                <w:szCs w:val="18"/>
              </w:rPr>
              <w:t>10</w:t>
            </w:r>
            <w:r w:rsidR="005300A5">
              <w:rPr>
                <w:b/>
                <w:szCs w:val="18"/>
              </w:rPr>
              <w:t xml:space="preserve"> per cent</w:t>
            </w:r>
          </w:p>
        </w:tc>
        <w:tc>
          <w:tcPr>
            <w:tcW w:w="1559" w:type="dxa"/>
          </w:tcPr>
          <w:p w14:paraId="08B73E3E" w14:textId="77777777" w:rsidR="007E2C2F" w:rsidRPr="0002578D" w:rsidRDefault="007E2C2F" w:rsidP="0002578D">
            <w:pPr>
              <w:spacing w:before="0"/>
              <w:rPr>
                <w:b/>
                <w:szCs w:val="18"/>
              </w:rPr>
            </w:pPr>
            <w:r w:rsidRPr="0002578D">
              <w:rPr>
                <w:b/>
                <w:szCs w:val="18"/>
              </w:rPr>
              <w:t xml:space="preserve">37,392 hours </w:t>
            </w:r>
          </w:p>
        </w:tc>
      </w:tr>
    </w:tbl>
    <w:p w14:paraId="447F7AEC" w14:textId="77777777" w:rsidR="00944503" w:rsidRDefault="00944503" w:rsidP="007E2C2F">
      <w:pPr>
        <w:jc w:val="both"/>
        <w:rPr>
          <w:rFonts w:asciiTheme="minorHAnsi" w:hAnsiTheme="minorHAnsi" w:cstheme="minorHAnsi"/>
          <w:b/>
          <w:szCs w:val="18"/>
          <w:u w:val="single"/>
        </w:rPr>
      </w:pPr>
    </w:p>
    <w:p w14:paraId="163EBE60" w14:textId="3D56C2E4" w:rsidR="007E2C2F" w:rsidRPr="00012198" w:rsidRDefault="007E2C2F" w:rsidP="007E2C2F">
      <w:pPr>
        <w:jc w:val="both"/>
        <w:rPr>
          <w:rFonts w:asciiTheme="minorHAnsi" w:hAnsiTheme="minorHAnsi" w:cstheme="minorHAnsi"/>
          <w:b/>
          <w:szCs w:val="18"/>
          <w:u w:val="single"/>
        </w:rPr>
      </w:pPr>
      <w:r w:rsidRPr="00012198">
        <w:rPr>
          <w:rFonts w:asciiTheme="minorHAnsi" w:hAnsiTheme="minorHAnsi" w:cstheme="minorHAnsi"/>
          <w:b/>
          <w:szCs w:val="18"/>
          <w:u w:val="single"/>
        </w:rPr>
        <w:t>Deemed hours formula for ‘other’ projects</w:t>
      </w:r>
    </w:p>
    <w:p w14:paraId="6E998957" w14:textId="141A18FC" w:rsidR="007E2C2F" w:rsidRPr="003D5F83" w:rsidRDefault="007E2C2F" w:rsidP="001D476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 xml:space="preserve">The deemed hours formula for other project works contracts will be determined on a case by case basis and reflect the nature of work specified within these projects. </w:t>
      </w:r>
      <w:r w:rsidR="00F708F9" w:rsidRPr="00C57CEA">
        <w:rPr>
          <w:rFonts w:asciiTheme="minorHAnsi" w:hAnsiTheme="minorHAnsi" w:cstheme="minorHAnsi"/>
          <w:szCs w:val="18"/>
          <w:lang w:val="en-US"/>
        </w:rPr>
        <w:t xml:space="preserve">If </w:t>
      </w:r>
      <w:r w:rsidR="00F8676F" w:rsidRPr="00C57CEA">
        <w:rPr>
          <w:rFonts w:asciiTheme="minorHAnsi" w:hAnsiTheme="minorHAnsi" w:cstheme="minorHAnsi"/>
          <w:szCs w:val="18"/>
          <w:lang w:val="en-US"/>
        </w:rPr>
        <w:t>agencies</w:t>
      </w:r>
      <w:r w:rsidR="00F708F9" w:rsidRPr="00C57CEA">
        <w:rPr>
          <w:rFonts w:asciiTheme="minorHAnsi" w:hAnsiTheme="minorHAnsi" w:cstheme="minorHAnsi"/>
          <w:szCs w:val="18"/>
          <w:lang w:val="en-US"/>
        </w:rPr>
        <w:t xml:space="preserve"> </w:t>
      </w:r>
      <w:r w:rsidR="00BE45A4" w:rsidRPr="00C57CEA">
        <w:rPr>
          <w:rFonts w:asciiTheme="minorHAnsi" w:hAnsiTheme="minorHAnsi" w:cstheme="minorHAnsi"/>
          <w:szCs w:val="18"/>
          <w:lang w:val="en-US"/>
        </w:rPr>
        <w:t xml:space="preserve">would like to use alternate </w:t>
      </w:r>
      <w:r w:rsidR="00F8676F" w:rsidRPr="00C57CEA">
        <w:rPr>
          <w:rFonts w:asciiTheme="minorHAnsi" w:hAnsiTheme="minorHAnsi" w:cstheme="minorHAnsi"/>
          <w:szCs w:val="18"/>
          <w:lang w:val="en-US"/>
        </w:rPr>
        <w:t xml:space="preserve">ratios and </w:t>
      </w:r>
      <w:r w:rsidR="00542E99" w:rsidRPr="00C57CEA">
        <w:rPr>
          <w:rFonts w:asciiTheme="minorHAnsi" w:hAnsiTheme="minorHAnsi" w:cstheme="minorHAnsi"/>
          <w:szCs w:val="18"/>
          <w:lang w:val="en-US"/>
        </w:rPr>
        <w:t>rates,</w:t>
      </w:r>
      <w:r w:rsidR="00F8676F" w:rsidRPr="00C57CEA">
        <w:rPr>
          <w:rFonts w:asciiTheme="minorHAnsi" w:hAnsiTheme="minorHAnsi" w:cstheme="minorHAnsi"/>
          <w:szCs w:val="18"/>
          <w:lang w:val="en-US"/>
        </w:rPr>
        <w:t xml:space="preserve"> they must contact </w:t>
      </w:r>
      <w:r w:rsidR="00527253" w:rsidRPr="00C57CEA">
        <w:rPr>
          <w:rFonts w:asciiTheme="minorHAnsi" w:hAnsiTheme="minorHAnsi" w:cstheme="minorHAnsi"/>
          <w:szCs w:val="18"/>
          <w:lang w:val="en-US"/>
        </w:rPr>
        <w:t>DJPR</w:t>
      </w:r>
      <w:r w:rsidR="00F8676F" w:rsidRPr="00C57CEA">
        <w:rPr>
          <w:rFonts w:asciiTheme="minorHAnsi" w:hAnsiTheme="minorHAnsi" w:cstheme="minorHAnsi"/>
          <w:szCs w:val="18"/>
          <w:lang w:val="en-US"/>
        </w:rPr>
        <w:t xml:space="preserve">. </w:t>
      </w:r>
    </w:p>
    <w:p w14:paraId="1336BAA8" w14:textId="3691CF49" w:rsidR="007E2C2F" w:rsidRPr="00DB54C1" w:rsidRDefault="007E2C2F" w:rsidP="00DB54C1">
      <w:pPr>
        <w:rPr>
          <w:b/>
          <w:sz w:val="20"/>
        </w:rPr>
      </w:pPr>
      <w:r w:rsidRPr="00DB54C1">
        <w:rPr>
          <w:b/>
          <w:sz w:val="20"/>
        </w:rPr>
        <w:t xml:space="preserve">Step 3 – submitting </w:t>
      </w:r>
      <w:r w:rsidR="00B849E7">
        <w:rPr>
          <w:b/>
          <w:sz w:val="20"/>
        </w:rPr>
        <w:t>an LIDP</w:t>
      </w:r>
      <w:r w:rsidRPr="00DB54C1">
        <w:rPr>
          <w:b/>
          <w:sz w:val="20"/>
        </w:rPr>
        <w:t xml:space="preserve"> to </w:t>
      </w:r>
      <w:r w:rsidR="000D2B9D">
        <w:rPr>
          <w:b/>
          <w:sz w:val="20"/>
        </w:rPr>
        <w:t xml:space="preserve">the </w:t>
      </w:r>
      <w:r w:rsidRPr="00DB54C1">
        <w:rPr>
          <w:b/>
          <w:sz w:val="20"/>
        </w:rPr>
        <w:t>ICN</w:t>
      </w:r>
    </w:p>
    <w:p w14:paraId="7B9CC045" w14:textId="17B2163E" w:rsidR="003D5F83" w:rsidRPr="003D5F83" w:rsidRDefault="007E2C2F" w:rsidP="001D4767">
      <w:pPr>
        <w:numPr>
          <w:ilvl w:val="0"/>
          <w:numId w:val="14"/>
        </w:numPr>
        <w:jc w:val="both"/>
        <w:rPr>
          <w:rFonts w:asciiTheme="minorHAnsi" w:hAnsiTheme="minorHAnsi" w:cstheme="minorHAnsi"/>
          <w:b/>
          <w:szCs w:val="18"/>
          <w:u w:val="single"/>
        </w:rPr>
      </w:pPr>
      <w:r w:rsidRPr="003D5F83">
        <w:rPr>
          <w:rFonts w:asciiTheme="minorHAnsi" w:hAnsiTheme="minorHAnsi" w:cstheme="minorHAnsi"/>
          <w:szCs w:val="18"/>
          <w:lang w:val="en-US"/>
        </w:rPr>
        <w:t xml:space="preserve">The same step 3 as outlined for </w:t>
      </w:r>
      <w:r w:rsidR="00DA7478">
        <w:rPr>
          <w:rFonts w:asciiTheme="minorHAnsi" w:hAnsiTheme="minorHAnsi" w:cstheme="minorHAnsi"/>
          <w:szCs w:val="18"/>
          <w:lang w:val="en-US"/>
        </w:rPr>
        <w:t>S</w:t>
      </w:r>
      <w:r w:rsidRPr="003D5F83">
        <w:rPr>
          <w:rFonts w:asciiTheme="minorHAnsi" w:hAnsiTheme="minorHAnsi" w:cstheme="minorHAnsi"/>
          <w:szCs w:val="18"/>
          <w:lang w:val="en-US"/>
        </w:rPr>
        <w:t xml:space="preserve">tandard and </w:t>
      </w:r>
      <w:r w:rsidR="00DA7478">
        <w:rPr>
          <w:rFonts w:asciiTheme="minorHAnsi" w:hAnsiTheme="minorHAnsi" w:cstheme="minorHAnsi"/>
          <w:szCs w:val="18"/>
          <w:lang w:val="en-US"/>
        </w:rPr>
        <w:t>S</w:t>
      </w:r>
      <w:r w:rsidRPr="003D5F83">
        <w:rPr>
          <w:rFonts w:asciiTheme="minorHAnsi" w:hAnsiTheme="minorHAnsi" w:cstheme="minorHAnsi"/>
          <w:szCs w:val="18"/>
          <w:lang w:val="en-US"/>
        </w:rPr>
        <w:t xml:space="preserve">trategic </w:t>
      </w:r>
      <w:r w:rsidR="00DA7478">
        <w:rPr>
          <w:rFonts w:asciiTheme="minorHAnsi" w:hAnsiTheme="minorHAnsi" w:cstheme="minorHAnsi"/>
          <w:szCs w:val="18"/>
          <w:lang w:val="en-US"/>
        </w:rPr>
        <w:t>P</w:t>
      </w:r>
      <w:r w:rsidRPr="003D5F83">
        <w:rPr>
          <w:rFonts w:asciiTheme="minorHAnsi" w:hAnsiTheme="minorHAnsi" w:cstheme="minorHAnsi"/>
          <w:szCs w:val="18"/>
          <w:lang w:val="en-US"/>
        </w:rPr>
        <w:t xml:space="preserve">rojects applies. </w:t>
      </w:r>
      <w:r w:rsidR="003D5F83">
        <w:rPr>
          <w:rFonts w:asciiTheme="minorHAnsi" w:hAnsiTheme="minorHAnsi" w:cstheme="minorHAnsi"/>
          <w:szCs w:val="18"/>
          <w:lang w:val="en-US"/>
        </w:rPr>
        <w:t xml:space="preserve">The ICN ensures the completeness and compliance of the MPSG commitments as part of the LIDP acknowledgement process. </w:t>
      </w:r>
    </w:p>
    <w:p w14:paraId="0163E88A" w14:textId="39332EF2" w:rsidR="001416A1" w:rsidRPr="003D5F83" w:rsidRDefault="001416A1" w:rsidP="000E13B3">
      <w:pPr>
        <w:jc w:val="both"/>
        <w:rPr>
          <w:rFonts w:asciiTheme="minorHAnsi" w:hAnsiTheme="minorHAnsi" w:cstheme="minorHAnsi"/>
          <w:b/>
          <w:szCs w:val="18"/>
          <w:u w:val="single"/>
        </w:rPr>
      </w:pPr>
      <w:r w:rsidRPr="003D5F83">
        <w:rPr>
          <w:rFonts w:asciiTheme="minorHAnsi" w:hAnsiTheme="minorHAnsi" w:cstheme="minorHAnsi"/>
          <w:b/>
          <w:szCs w:val="18"/>
          <w:u w:val="single"/>
        </w:rPr>
        <w:t>Key considerations when assessing MPSG commitments in the LIDP</w:t>
      </w:r>
    </w:p>
    <w:p w14:paraId="70DCB645" w14:textId="0639986C" w:rsidR="001416A1" w:rsidRPr="007400EE" w:rsidRDefault="001416A1" w:rsidP="001416A1">
      <w:pPr>
        <w:jc w:val="both"/>
        <w:rPr>
          <w:rFonts w:asciiTheme="minorHAnsi" w:hAnsiTheme="minorHAnsi" w:cstheme="minorHAnsi"/>
          <w:b/>
          <w:szCs w:val="18"/>
        </w:rPr>
      </w:pPr>
      <w:r w:rsidRPr="007400EE">
        <w:rPr>
          <w:rFonts w:asciiTheme="minorHAnsi" w:hAnsiTheme="minorHAnsi" w:cstheme="minorHAnsi"/>
          <w:b/>
          <w:szCs w:val="18"/>
        </w:rPr>
        <w:t xml:space="preserve">Who and what counts towards </w:t>
      </w:r>
      <w:r w:rsidR="005300A5">
        <w:rPr>
          <w:rFonts w:asciiTheme="minorHAnsi" w:hAnsiTheme="minorHAnsi" w:cstheme="minorHAnsi"/>
          <w:b/>
          <w:szCs w:val="18"/>
        </w:rPr>
        <w:t xml:space="preserve">the </w:t>
      </w:r>
      <w:r w:rsidRPr="007400EE">
        <w:rPr>
          <w:rFonts w:asciiTheme="minorHAnsi" w:hAnsiTheme="minorHAnsi" w:cstheme="minorHAnsi"/>
          <w:b/>
          <w:szCs w:val="18"/>
        </w:rPr>
        <w:t xml:space="preserve">10 per cent hours requirement? </w:t>
      </w:r>
    </w:p>
    <w:p w14:paraId="402DD77F" w14:textId="001C1C35" w:rsidR="001416A1" w:rsidRPr="00C57CEA" w:rsidRDefault="001416A1" w:rsidP="001D476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 xml:space="preserve">The MPSG does not prescribe the breakdown of labour hour contributions from apprentices, trainees or cadets. They can be used in any combination of hours and across different contracts of a particular </w:t>
      </w:r>
      <w:r w:rsidR="000B697F" w:rsidRPr="00C57CEA">
        <w:rPr>
          <w:rFonts w:asciiTheme="minorHAnsi" w:hAnsiTheme="minorHAnsi" w:cstheme="minorHAnsi"/>
          <w:szCs w:val="18"/>
          <w:lang w:val="en-US"/>
        </w:rPr>
        <w:t>project.</w:t>
      </w:r>
      <w:r w:rsidRPr="00C57CEA">
        <w:rPr>
          <w:rFonts w:asciiTheme="minorHAnsi" w:hAnsiTheme="minorHAnsi" w:cstheme="minorHAnsi"/>
          <w:szCs w:val="18"/>
          <w:lang w:val="en-US"/>
        </w:rPr>
        <w:t xml:space="preserve"> However, the Victorian apprentices, trainees or cadets that are used must reflect the existing occupational profile of the sector workforce, and bidders are to avoid reliance on any one group to achieve compliance where this is outside the industry or sector norm. </w:t>
      </w:r>
    </w:p>
    <w:p w14:paraId="5308D578" w14:textId="57F6FD51" w:rsidR="001416A1" w:rsidRPr="00C57CEA" w:rsidRDefault="001416A1" w:rsidP="001D476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 xml:space="preserve">The contribution can include work hour contributions from either existing or new Victorian apprentices, Victorian trainees or cadets or combinations of these.     </w:t>
      </w:r>
    </w:p>
    <w:p w14:paraId="2D4F98C7" w14:textId="6C07695F" w:rsidR="001416A1" w:rsidRPr="00C57CEA" w:rsidRDefault="001416A1" w:rsidP="001D476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Only the hours spent working on the applying project can be counted towards the project’s 10 per cent requirement. For example, a full-time business administration trainee may work across a few projects, only spending an equivalent of two days working on the MPSG applicable project. Only these days can be counted towards the requirement.</w:t>
      </w:r>
    </w:p>
    <w:p w14:paraId="61A4E5B4" w14:textId="7DBF2530" w:rsidR="001416A1" w:rsidRPr="00C57CEA" w:rsidRDefault="001416A1" w:rsidP="001D476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 xml:space="preserve">Hours spent offsite for training and education can be counted towards the 10 per cent requirement. This allows the time apprentices, trainees and cadets spend away from the project at TAFE or university to still be counted. For example, a cadet working two days on the project with five contact hours at </w:t>
      </w:r>
      <w:r w:rsidR="00542E99" w:rsidRPr="00C57CEA">
        <w:rPr>
          <w:rFonts w:asciiTheme="minorHAnsi" w:hAnsiTheme="minorHAnsi" w:cstheme="minorHAnsi"/>
          <w:szCs w:val="18"/>
          <w:lang w:val="en-US"/>
        </w:rPr>
        <w:t xml:space="preserve">university, </w:t>
      </w:r>
      <w:r w:rsidRPr="00C57CEA">
        <w:rPr>
          <w:rFonts w:asciiTheme="minorHAnsi" w:hAnsiTheme="minorHAnsi" w:cstheme="minorHAnsi"/>
          <w:szCs w:val="18"/>
          <w:lang w:val="en-US"/>
        </w:rPr>
        <w:t>a total of 21 hours can be counted towards the hours requirement. However, if a cadet is on summer break from university and therefore not attending classes, no contact hours at university can be counted. Only training contact hours while concurrently working on the project can contribute toward the 10 per cent requirement.</w:t>
      </w:r>
    </w:p>
    <w:p w14:paraId="0E0D1B50" w14:textId="77777777" w:rsidR="001416A1" w:rsidRPr="007400EE" w:rsidRDefault="001416A1" w:rsidP="001416A1">
      <w:pPr>
        <w:jc w:val="both"/>
        <w:rPr>
          <w:rFonts w:asciiTheme="minorHAnsi" w:hAnsiTheme="minorHAnsi" w:cstheme="minorHAnsi"/>
          <w:b/>
          <w:szCs w:val="18"/>
        </w:rPr>
      </w:pPr>
      <w:r w:rsidRPr="007400EE">
        <w:rPr>
          <w:rFonts w:asciiTheme="minorHAnsi" w:hAnsiTheme="minorHAnsi" w:cstheme="minorHAnsi"/>
          <w:b/>
          <w:szCs w:val="18"/>
        </w:rPr>
        <w:t>Engaging new Apprentices, Trainees and Cadets</w:t>
      </w:r>
    </w:p>
    <w:p w14:paraId="75E8D485" w14:textId="17EA9441" w:rsidR="001416A1" w:rsidRPr="00C57CEA" w:rsidRDefault="001416A1" w:rsidP="001D4767">
      <w:pPr>
        <w:numPr>
          <w:ilvl w:val="0"/>
          <w:numId w:val="14"/>
        </w:numPr>
        <w:jc w:val="both"/>
        <w:rPr>
          <w:rFonts w:asciiTheme="minorHAnsi" w:hAnsiTheme="minorHAnsi" w:cstheme="minorHAnsi"/>
          <w:szCs w:val="18"/>
          <w:lang w:val="en-US"/>
        </w:rPr>
      </w:pPr>
      <w:r w:rsidRPr="00A718F5">
        <w:rPr>
          <w:rFonts w:asciiTheme="minorHAnsi" w:hAnsiTheme="minorHAnsi" w:cstheme="minorHAnsi"/>
          <w:szCs w:val="18"/>
        </w:rPr>
        <w:t>C</w:t>
      </w:r>
      <w:r w:rsidR="000D2B9D" w:rsidRPr="00C57CEA">
        <w:rPr>
          <w:rFonts w:asciiTheme="minorHAnsi" w:hAnsiTheme="minorHAnsi" w:cstheme="minorHAnsi"/>
          <w:szCs w:val="18"/>
          <w:lang w:val="en-US"/>
        </w:rPr>
        <w:t>ontributions</w:t>
      </w:r>
      <w:r w:rsidRPr="00C57CEA">
        <w:rPr>
          <w:rFonts w:asciiTheme="minorHAnsi" w:hAnsiTheme="minorHAnsi" w:cstheme="minorHAnsi"/>
          <w:szCs w:val="18"/>
          <w:lang w:val="en-US"/>
        </w:rPr>
        <w:t xml:space="preserve"> from </w:t>
      </w:r>
      <w:r w:rsidR="0086248A">
        <w:rPr>
          <w:rFonts w:asciiTheme="minorHAnsi" w:hAnsiTheme="minorHAnsi" w:cstheme="minorHAnsi"/>
          <w:szCs w:val="18"/>
          <w:lang w:val="en-US"/>
        </w:rPr>
        <w:t>MPSG</w:t>
      </w:r>
      <w:r w:rsidRPr="00C57CEA">
        <w:rPr>
          <w:rFonts w:asciiTheme="minorHAnsi" w:hAnsiTheme="minorHAnsi" w:cstheme="minorHAnsi"/>
          <w:szCs w:val="18"/>
          <w:lang w:val="en-US"/>
        </w:rPr>
        <w:t xml:space="preserve"> may be from apprentices, trainees and cadets directly employed by the </w:t>
      </w:r>
      <w:r w:rsidR="00711BC6" w:rsidRPr="00C57CEA">
        <w:rPr>
          <w:rFonts w:asciiTheme="minorHAnsi" w:hAnsiTheme="minorHAnsi" w:cstheme="minorHAnsi"/>
          <w:szCs w:val="18"/>
          <w:lang w:val="en-US"/>
        </w:rPr>
        <w:t>princip</w:t>
      </w:r>
      <w:r w:rsidR="00711BC6">
        <w:rPr>
          <w:rFonts w:asciiTheme="minorHAnsi" w:hAnsiTheme="minorHAnsi" w:cstheme="minorHAnsi"/>
          <w:szCs w:val="18"/>
          <w:lang w:val="en-US"/>
        </w:rPr>
        <w:t>al</w:t>
      </w:r>
      <w:r w:rsidR="00711BC6" w:rsidRPr="00C57CEA">
        <w:rPr>
          <w:rFonts w:asciiTheme="minorHAnsi" w:hAnsiTheme="minorHAnsi" w:cstheme="minorHAnsi"/>
          <w:szCs w:val="18"/>
          <w:lang w:val="en-US"/>
        </w:rPr>
        <w:t xml:space="preserve"> </w:t>
      </w:r>
      <w:r w:rsidRPr="00C57CEA">
        <w:rPr>
          <w:rFonts w:asciiTheme="minorHAnsi" w:hAnsiTheme="minorHAnsi" w:cstheme="minorHAnsi"/>
          <w:szCs w:val="18"/>
          <w:lang w:val="en-US"/>
        </w:rPr>
        <w:t>contractor or subcontractors or indirectly employed through group training organisations (GTOs).</w:t>
      </w:r>
    </w:p>
    <w:p w14:paraId="7C0B9D83" w14:textId="2B3CE812" w:rsidR="001416A1" w:rsidRPr="00383BF3" w:rsidRDefault="001416A1" w:rsidP="001D476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Bidders are encouraged to use Victorian apprentices, trainees or cadets drawn from groups who are generally under-represented in industry vocational training such as women, and/or who face barriers to vocational training or the workforce more generally, such as indigenous or older apprentices, trainees or cadets or those with a disability. A key resource to achieve this will be state and federal employment programs for helping long-term job seekers, such as Jobs Victoria</w:t>
      </w:r>
      <w:r w:rsidR="00540738" w:rsidRPr="00C57CEA">
        <w:rPr>
          <w:rFonts w:asciiTheme="minorHAnsi" w:hAnsiTheme="minorHAnsi" w:cstheme="minorHAnsi"/>
          <w:szCs w:val="18"/>
          <w:lang w:val="en-US"/>
        </w:rPr>
        <w:t xml:space="preserve">. The Jobs Victoria website can be found at </w:t>
      </w:r>
      <w:hyperlink r:id="rId20" w:history="1">
        <w:r w:rsidR="00540738" w:rsidRPr="00627137">
          <w:rPr>
            <w:rStyle w:val="Hyperlink"/>
            <w:rFonts w:asciiTheme="minorHAnsi" w:hAnsiTheme="minorHAnsi" w:cstheme="minorHAnsi"/>
            <w:szCs w:val="18"/>
          </w:rPr>
          <w:t>https://jobs.vic.gov.au/</w:t>
        </w:r>
      </w:hyperlink>
      <w:r w:rsidR="00C83DA1">
        <w:rPr>
          <w:lang w:val="en-US"/>
        </w:rPr>
        <w:t>.</w:t>
      </w:r>
    </w:p>
    <w:p w14:paraId="44D80177" w14:textId="34596F5B" w:rsidR="00383BF3" w:rsidRPr="00383BF3" w:rsidRDefault="00383BF3" w:rsidP="001D4767">
      <w:pPr>
        <w:pStyle w:val="ListParagraph"/>
        <w:numPr>
          <w:ilvl w:val="0"/>
          <w:numId w:val="14"/>
        </w:numPr>
        <w:rPr>
          <w:rFonts w:asciiTheme="minorHAnsi" w:hAnsiTheme="minorHAnsi" w:cstheme="minorHAnsi"/>
          <w:sz w:val="18"/>
          <w:szCs w:val="18"/>
          <w:lang w:val="en-US" w:eastAsia="en-US"/>
        </w:rPr>
      </w:pPr>
      <w:r w:rsidRPr="00383BF3">
        <w:rPr>
          <w:rFonts w:asciiTheme="minorHAnsi" w:hAnsiTheme="minorHAnsi" w:cstheme="minorHAnsi"/>
          <w:sz w:val="18"/>
          <w:szCs w:val="18"/>
          <w:lang w:val="en-US" w:eastAsia="en-US"/>
        </w:rPr>
        <w:lastRenderedPageBreak/>
        <w:t xml:space="preserve">Trainees and apprentices must be registered with the Victorian Registration and Qualification Authority. </w:t>
      </w:r>
    </w:p>
    <w:p w14:paraId="5634D4C8" w14:textId="1D828721" w:rsidR="008E287D" w:rsidRPr="00B97128" w:rsidRDefault="001416A1" w:rsidP="00FE6827">
      <w:pPr>
        <w:numPr>
          <w:ilvl w:val="0"/>
          <w:numId w:val="14"/>
        </w:numPr>
        <w:jc w:val="both"/>
        <w:rPr>
          <w:rFonts w:asciiTheme="minorHAnsi" w:hAnsiTheme="minorHAnsi" w:cstheme="minorHAnsi"/>
          <w:szCs w:val="18"/>
          <w:lang w:val="en-US"/>
        </w:rPr>
      </w:pPr>
      <w:r w:rsidRPr="00C57CEA">
        <w:rPr>
          <w:rFonts w:asciiTheme="minorHAnsi" w:hAnsiTheme="minorHAnsi" w:cstheme="minorHAnsi"/>
          <w:szCs w:val="18"/>
          <w:lang w:val="en-US"/>
        </w:rPr>
        <w:t xml:space="preserve">Cadets combine formal tertiary training with practical work experience. Cadets are individuals enrolled in a </w:t>
      </w:r>
      <w:proofErr w:type="spellStart"/>
      <w:r w:rsidRPr="00C57CEA">
        <w:rPr>
          <w:rFonts w:asciiTheme="minorHAnsi" w:hAnsiTheme="minorHAnsi" w:cstheme="minorHAnsi"/>
          <w:szCs w:val="18"/>
          <w:lang w:val="en-US"/>
        </w:rPr>
        <w:t>recognised</w:t>
      </w:r>
      <w:proofErr w:type="spellEnd"/>
      <w:r w:rsidRPr="00C57CEA">
        <w:rPr>
          <w:rFonts w:asciiTheme="minorHAnsi" w:hAnsiTheme="minorHAnsi" w:cstheme="minorHAnsi"/>
          <w:szCs w:val="18"/>
          <w:lang w:val="en-US"/>
        </w:rPr>
        <w:t xml:space="preserve"> tertiary level </w:t>
      </w:r>
      <w:proofErr w:type="spellStart"/>
      <w:r w:rsidRPr="00C57CEA">
        <w:rPr>
          <w:rFonts w:asciiTheme="minorHAnsi" w:hAnsiTheme="minorHAnsi" w:cstheme="minorHAnsi"/>
          <w:szCs w:val="18"/>
          <w:lang w:val="en-US"/>
        </w:rPr>
        <w:t>organisation</w:t>
      </w:r>
      <w:proofErr w:type="spellEnd"/>
      <w:r w:rsidRPr="00C57CEA">
        <w:rPr>
          <w:rFonts w:asciiTheme="minorHAnsi" w:hAnsiTheme="minorHAnsi" w:cstheme="minorHAnsi"/>
          <w:szCs w:val="18"/>
          <w:lang w:val="en-US"/>
        </w:rPr>
        <w:t xml:space="preserve"> and who receive structured learning opportunities as part of their engagement to a</w:t>
      </w:r>
      <w:r w:rsidR="00097B72">
        <w:rPr>
          <w:rFonts w:asciiTheme="minorHAnsi" w:hAnsiTheme="minorHAnsi" w:cstheme="minorHAnsi"/>
          <w:szCs w:val="18"/>
          <w:lang w:val="en-US"/>
        </w:rPr>
        <w:t>n</w:t>
      </w:r>
      <w:r w:rsidRPr="00C57CEA">
        <w:rPr>
          <w:rFonts w:asciiTheme="minorHAnsi" w:hAnsiTheme="minorHAnsi" w:cstheme="minorHAnsi"/>
          <w:szCs w:val="18"/>
          <w:lang w:val="en-US"/>
        </w:rPr>
        <w:t xml:space="preserve"> </w:t>
      </w:r>
      <w:r w:rsidR="005300A5" w:rsidRPr="00C57CEA">
        <w:rPr>
          <w:rFonts w:asciiTheme="minorHAnsi" w:hAnsiTheme="minorHAnsi" w:cstheme="minorHAnsi"/>
          <w:szCs w:val="18"/>
          <w:lang w:val="en-US"/>
        </w:rPr>
        <w:t>LJF</w:t>
      </w:r>
      <w:r w:rsidRPr="00C57CEA">
        <w:rPr>
          <w:rFonts w:asciiTheme="minorHAnsi" w:hAnsiTheme="minorHAnsi" w:cstheme="minorHAnsi"/>
          <w:szCs w:val="18"/>
          <w:lang w:val="en-US"/>
        </w:rPr>
        <w:t xml:space="preserve"> project (e.g. cadets in architecture, quantity surveying, and engineering). Cadetships vary in length depending on the vocation but are generally 18 months to two years in length. A cadetship does not fall under a National Training Contract.</w:t>
      </w:r>
    </w:p>
    <w:p w14:paraId="3FFB0018" w14:textId="397B9CA2" w:rsidR="007E2C2F" w:rsidRPr="00FE6827" w:rsidRDefault="007E2C2F" w:rsidP="00FE6827">
      <w:pPr>
        <w:rPr>
          <w:b/>
          <w:sz w:val="20"/>
        </w:rPr>
      </w:pPr>
      <w:r w:rsidRPr="00FE6827">
        <w:rPr>
          <w:b/>
          <w:sz w:val="20"/>
        </w:rPr>
        <w:t xml:space="preserve">Step 5 - preferred bidder selected and contract awarded </w:t>
      </w:r>
    </w:p>
    <w:p w14:paraId="35B6127A" w14:textId="2EE28C0E" w:rsidR="003E1D9F" w:rsidRPr="00A108CD" w:rsidRDefault="003E1D9F" w:rsidP="003E1D9F">
      <w:pPr>
        <w:jc w:val="both"/>
        <w:rPr>
          <w:rFonts w:asciiTheme="minorHAnsi" w:hAnsiTheme="minorHAnsi" w:cstheme="minorHAnsi"/>
          <w:b/>
          <w:szCs w:val="18"/>
          <w:u w:val="single"/>
        </w:rPr>
      </w:pPr>
      <w:r w:rsidRPr="00A108CD">
        <w:rPr>
          <w:rFonts w:asciiTheme="minorHAnsi" w:hAnsiTheme="minorHAnsi" w:cstheme="minorHAnsi"/>
          <w:b/>
          <w:szCs w:val="18"/>
          <w:u w:val="single"/>
        </w:rPr>
        <w:t xml:space="preserve">Guidance on assessment of job outcomes –MPSG Applicable Projects  </w:t>
      </w:r>
    </w:p>
    <w:p w14:paraId="24EF9948" w14:textId="77777777"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 xml:space="preserve">For projects where MPSG applies, a maximum of 5 points are allocated to MPSG specific outcomes and 5 points are allocated to broader job outcomes (e.g. creation/retention of Victorian/local jobs and creation of job development/training opportunities). The total score for job outcomes for MPSG applicable projects is 10. </w:t>
      </w:r>
    </w:p>
    <w:p w14:paraId="16D81329" w14:textId="620CE304"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 xml:space="preserve">MPSG outcomes in bids are required to be compared against each other and relative scores assigned. A bidder with a more comprehensive compliance strategy will be scored more highly than a bidder who has included minimal information in a MPSG compliance strategy. </w:t>
      </w:r>
    </w:p>
    <w:p w14:paraId="7A63C19D" w14:textId="0FC89304"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A highly scored MPSG commitment could include for example partnering with a TAFE system of training and support in place for apprentices, trainees and cadets, mentoring</w:t>
      </w:r>
      <w:r w:rsidR="00711BC6">
        <w:rPr>
          <w:rFonts w:asciiTheme="minorHAnsi" w:hAnsiTheme="minorHAnsi" w:cstheme="minorHAnsi"/>
          <w:szCs w:val="18"/>
          <w:lang w:val="en-US"/>
        </w:rPr>
        <w:t xml:space="preserve"> or a</w:t>
      </w:r>
      <w:r w:rsidRPr="00B51C98">
        <w:rPr>
          <w:rFonts w:asciiTheme="minorHAnsi" w:hAnsiTheme="minorHAnsi" w:cstheme="minorHAnsi"/>
          <w:szCs w:val="18"/>
          <w:lang w:val="en-US"/>
        </w:rPr>
        <w:t xml:space="preserve"> dedicated MPSG compliance reporting officer in place.</w:t>
      </w:r>
    </w:p>
    <w:p w14:paraId="6007AD4D" w14:textId="4BD57852"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A bidder that does not use Victorian apprentices, trainees or cadets for at least 10</w:t>
      </w:r>
      <w:r w:rsidR="005300A5" w:rsidRPr="00B51C98">
        <w:rPr>
          <w:rFonts w:asciiTheme="minorHAnsi" w:hAnsiTheme="minorHAnsi" w:cstheme="minorHAnsi"/>
          <w:szCs w:val="18"/>
          <w:lang w:val="en-US"/>
        </w:rPr>
        <w:t xml:space="preserve"> per cent</w:t>
      </w:r>
      <w:r w:rsidRPr="00B51C98">
        <w:rPr>
          <w:rFonts w:asciiTheme="minorHAnsi" w:hAnsiTheme="minorHAnsi" w:cstheme="minorHAnsi"/>
          <w:szCs w:val="18"/>
          <w:lang w:val="en-US"/>
        </w:rPr>
        <w:t xml:space="preserve"> of the total estimated labour hours, the bidder is designated a score of 0 due to non-compliance. </w:t>
      </w:r>
    </w:p>
    <w:p w14:paraId="52E2DCB6" w14:textId="64A415BE" w:rsidR="003E1D9F" w:rsidRPr="00A108CD" w:rsidRDefault="003E1D9F" w:rsidP="003E1D9F">
      <w:pPr>
        <w:jc w:val="both"/>
        <w:rPr>
          <w:rFonts w:asciiTheme="minorHAnsi" w:hAnsiTheme="minorHAnsi" w:cstheme="minorHAnsi"/>
          <w:b/>
          <w:szCs w:val="18"/>
          <w:u w:val="single"/>
        </w:rPr>
      </w:pPr>
      <w:r w:rsidRPr="00A108CD">
        <w:rPr>
          <w:rFonts w:asciiTheme="minorHAnsi" w:hAnsiTheme="minorHAnsi" w:cstheme="minorHAnsi"/>
          <w:b/>
          <w:szCs w:val="18"/>
          <w:u w:val="single"/>
        </w:rPr>
        <w:t xml:space="preserve">MPSG Applicable Project- Additional Job Outcomes – 5 Points </w:t>
      </w:r>
    </w:p>
    <w:p w14:paraId="643A1372" w14:textId="77777777"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Additional (non-MPSG) job outcomes in bids are required to be compared against each other and relative scores assigned. High, medium and low job numbers that are either created or retained are defined based on a relative basis depending on the numbers committed to among the bids being compared.</w:t>
      </w:r>
    </w:p>
    <w:p w14:paraId="79C8D838" w14:textId="77777777" w:rsid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 xml:space="preserve">The maximum number of points a bidder can receive for additional job outcomes is 5 points. </w:t>
      </w:r>
    </w:p>
    <w:p w14:paraId="06034FD1" w14:textId="072DE3DF" w:rsidR="003E1D9F" w:rsidRPr="001E3CD5" w:rsidRDefault="003E1D9F" w:rsidP="001E3CD5">
      <w:pPr>
        <w:rPr>
          <w:rFonts w:asciiTheme="minorHAnsi" w:hAnsiTheme="minorHAnsi" w:cstheme="minorHAnsi"/>
          <w:b/>
          <w:szCs w:val="18"/>
        </w:rPr>
      </w:pPr>
      <w:r w:rsidRPr="001E3CD5">
        <w:rPr>
          <w:rFonts w:asciiTheme="minorHAnsi" w:hAnsiTheme="minorHAnsi" w:cstheme="minorHAnsi"/>
          <w:b/>
          <w:szCs w:val="18"/>
        </w:rPr>
        <w:t xml:space="preserve">Table </w:t>
      </w:r>
      <w:r w:rsidR="00B97128">
        <w:rPr>
          <w:rFonts w:asciiTheme="minorHAnsi" w:hAnsiTheme="minorHAnsi" w:cstheme="minorHAnsi"/>
          <w:b/>
          <w:szCs w:val="18"/>
        </w:rPr>
        <w:t xml:space="preserve">6 </w:t>
      </w:r>
      <w:r w:rsidRPr="001E3CD5">
        <w:rPr>
          <w:rFonts w:asciiTheme="minorHAnsi" w:hAnsiTheme="minorHAnsi" w:cstheme="minorHAnsi"/>
          <w:b/>
          <w:szCs w:val="18"/>
        </w:rPr>
        <w:t>- Relative scores for additional job outcomes (MPSG applicable projects) (maximum 5 points)</w:t>
      </w:r>
    </w:p>
    <w:p w14:paraId="0C123105" w14:textId="507C6BF6" w:rsidR="00542E99" w:rsidRPr="00A62CCC" w:rsidRDefault="00542E99" w:rsidP="00542E99">
      <w:pPr>
        <w:rPr>
          <w:rFonts w:asciiTheme="minorHAnsi" w:hAnsiTheme="minorHAnsi" w:cstheme="minorHAnsi"/>
          <w:b/>
          <w:szCs w:val="18"/>
        </w:rPr>
      </w:pPr>
      <w:r w:rsidRPr="00A62CCC">
        <w:rPr>
          <w:rFonts w:asciiTheme="minorHAnsi" w:hAnsiTheme="minorHAnsi" w:cstheme="minorHAnsi"/>
          <w:b/>
          <w:szCs w:val="18"/>
        </w:rPr>
        <w:t xml:space="preserve">Relative scores for </w:t>
      </w:r>
      <w:r w:rsidR="002547F5">
        <w:rPr>
          <w:rFonts w:asciiTheme="minorHAnsi" w:hAnsiTheme="minorHAnsi" w:cstheme="minorHAnsi"/>
          <w:b/>
          <w:szCs w:val="18"/>
        </w:rPr>
        <w:t>S</w:t>
      </w:r>
      <w:r w:rsidRPr="00A62CCC">
        <w:rPr>
          <w:rFonts w:asciiTheme="minorHAnsi" w:hAnsiTheme="minorHAnsi" w:cstheme="minorHAnsi"/>
          <w:b/>
          <w:szCs w:val="18"/>
        </w:rPr>
        <w:t xml:space="preserve">tandard </w:t>
      </w:r>
      <w:r w:rsidR="002547F5">
        <w:rPr>
          <w:rFonts w:asciiTheme="minorHAnsi" w:hAnsiTheme="minorHAnsi" w:cstheme="minorHAnsi"/>
          <w:b/>
          <w:szCs w:val="18"/>
        </w:rPr>
        <w:t>P</w:t>
      </w:r>
      <w:r w:rsidRPr="00A62CCC">
        <w:rPr>
          <w:rFonts w:asciiTheme="minorHAnsi" w:hAnsiTheme="minorHAnsi" w:cstheme="minorHAnsi"/>
          <w:b/>
          <w:szCs w:val="18"/>
        </w:rPr>
        <w:t xml:space="preserve">rojects  </w:t>
      </w:r>
    </w:p>
    <w:tbl>
      <w:tblPr>
        <w:tblStyle w:val="TableGrid"/>
        <w:tblW w:w="9776" w:type="dxa"/>
        <w:tblLayout w:type="fixed"/>
        <w:tblLook w:val="04A0" w:firstRow="1" w:lastRow="0" w:firstColumn="1" w:lastColumn="0" w:noHBand="0" w:noVBand="1"/>
      </w:tblPr>
      <w:tblGrid>
        <w:gridCol w:w="1134"/>
        <w:gridCol w:w="2405"/>
        <w:gridCol w:w="1843"/>
        <w:gridCol w:w="2126"/>
        <w:gridCol w:w="2268"/>
      </w:tblGrid>
      <w:tr w:rsidR="00542E99" w:rsidRPr="00A62CCC" w14:paraId="56C28448" w14:textId="77777777" w:rsidTr="00B46988">
        <w:trPr>
          <w:trHeight w:val="597"/>
        </w:trPr>
        <w:tc>
          <w:tcPr>
            <w:tcW w:w="1134" w:type="dxa"/>
            <w:shd w:val="clear" w:color="auto" w:fill="C00000"/>
          </w:tcPr>
          <w:p w14:paraId="30EF476A" w14:textId="77777777" w:rsidR="00542E99" w:rsidRPr="00A62CCC" w:rsidRDefault="00542E99" w:rsidP="00B46988">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Score</w:t>
            </w:r>
          </w:p>
        </w:tc>
        <w:tc>
          <w:tcPr>
            <w:tcW w:w="2405" w:type="dxa"/>
            <w:shd w:val="clear" w:color="auto" w:fill="C00000"/>
          </w:tcPr>
          <w:p w14:paraId="66936E22" w14:textId="77777777" w:rsidR="00542E99" w:rsidRPr="00A62CCC" w:rsidRDefault="00542E99" w:rsidP="00B46988">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0</w:t>
            </w:r>
          </w:p>
          <w:p w14:paraId="40F4EE86" w14:textId="77777777" w:rsidR="00542E99" w:rsidRPr="00A62CCC" w:rsidRDefault="00542E99" w:rsidP="00B46988">
            <w:pPr>
              <w:rPr>
                <w:rFonts w:asciiTheme="minorHAnsi" w:hAnsiTheme="minorHAnsi" w:cstheme="minorHAnsi"/>
                <w:b/>
                <w:color w:val="FFFFFF" w:themeColor="background1"/>
                <w:szCs w:val="18"/>
              </w:rPr>
            </w:pPr>
          </w:p>
        </w:tc>
        <w:tc>
          <w:tcPr>
            <w:tcW w:w="1843" w:type="dxa"/>
            <w:shd w:val="clear" w:color="auto" w:fill="C00000"/>
          </w:tcPr>
          <w:p w14:paraId="0F6F5683" w14:textId="0EB71B49" w:rsidR="00542E99" w:rsidRPr="00A62CCC" w:rsidRDefault="00542E99" w:rsidP="00B46988">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1</w:t>
            </w:r>
            <w:r>
              <w:rPr>
                <w:rFonts w:asciiTheme="minorHAnsi" w:hAnsiTheme="minorHAnsi" w:cstheme="minorHAnsi"/>
                <w:b/>
                <w:color w:val="FFFFFF" w:themeColor="background1"/>
                <w:szCs w:val="18"/>
              </w:rPr>
              <w:t>-2</w:t>
            </w:r>
          </w:p>
        </w:tc>
        <w:tc>
          <w:tcPr>
            <w:tcW w:w="2126" w:type="dxa"/>
            <w:shd w:val="clear" w:color="auto" w:fill="C00000"/>
          </w:tcPr>
          <w:p w14:paraId="3D568C2C" w14:textId="2A9D0533" w:rsidR="00542E99" w:rsidRPr="00A62CCC" w:rsidRDefault="00542E99" w:rsidP="00B46988">
            <w:pP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2-3</w:t>
            </w:r>
          </w:p>
        </w:tc>
        <w:tc>
          <w:tcPr>
            <w:tcW w:w="2268" w:type="dxa"/>
            <w:shd w:val="clear" w:color="auto" w:fill="C00000"/>
          </w:tcPr>
          <w:p w14:paraId="3C4C50BF" w14:textId="17746F42" w:rsidR="00542E99" w:rsidRPr="00A62CCC" w:rsidRDefault="00542E99" w:rsidP="00B46988">
            <w:pP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4-5</w:t>
            </w:r>
          </w:p>
        </w:tc>
      </w:tr>
      <w:tr w:rsidR="00542E99" w:rsidRPr="00A62CCC" w14:paraId="7594F569" w14:textId="77777777" w:rsidTr="00B97128">
        <w:trPr>
          <w:trHeight w:val="4719"/>
        </w:trPr>
        <w:tc>
          <w:tcPr>
            <w:tcW w:w="1134" w:type="dxa"/>
          </w:tcPr>
          <w:p w14:paraId="7F599046" w14:textId="77777777" w:rsidR="00542E99" w:rsidRPr="00A62CCC" w:rsidRDefault="00542E99" w:rsidP="00B46988">
            <w:pPr>
              <w:rPr>
                <w:rFonts w:asciiTheme="minorHAnsi" w:hAnsiTheme="minorHAnsi" w:cstheme="minorHAnsi"/>
                <w:b/>
                <w:szCs w:val="18"/>
              </w:rPr>
            </w:pPr>
            <w:r w:rsidRPr="00A62CCC">
              <w:rPr>
                <w:rFonts w:asciiTheme="minorHAnsi" w:hAnsiTheme="minorHAnsi" w:cstheme="minorHAnsi"/>
                <w:b/>
                <w:szCs w:val="18"/>
              </w:rPr>
              <w:t>Mandatory</w:t>
            </w:r>
          </w:p>
          <w:p w14:paraId="2A00D0A1" w14:textId="77777777" w:rsidR="00542E99" w:rsidRPr="00A62CCC" w:rsidRDefault="00542E99" w:rsidP="00B46988">
            <w:pPr>
              <w:rPr>
                <w:rFonts w:asciiTheme="minorHAnsi" w:hAnsiTheme="minorHAnsi" w:cstheme="minorHAnsi"/>
                <w:b/>
                <w:szCs w:val="18"/>
              </w:rPr>
            </w:pPr>
          </w:p>
        </w:tc>
        <w:tc>
          <w:tcPr>
            <w:tcW w:w="2405" w:type="dxa"/>
          </w:tcPr>
          <w:p w14:paraId="39280691" w14:textId="1F9395B3" w:rsidR="00542E99" w:rsidRDefault="00542E99" w:rsidP="00B46988">
            <w:pPr>
              <w:rPr>
                <w:rFonts w:asciiTheme="minorHAnsi" w:hAnsiTheme="minorHAnsi" w:cstheme="minorHAnsi"/>
                <w:szCs w:val="18"/>
              </w:rPr>
            </w:pPr>
            <w:r w:rsidRPr="00A62CCC">
              <w:rPr>
                <w:rFonts w:asciiTheme="minorHAnsi" w:hAnsiTheme="minorHAnsi" w:cstheme="minorHAnsi"/>
                <w:szCs w:val="18"/>
              </w:rPr>
              <w:t>No Victorian jobs created or retained</w:t>
            </w:r>
          </w:p>
          <w:p w14:paraId="7BE2BE21" w14:textId="77777777" w:rsidR="00BD3A86" w:rsidRPr="00A62CCC" w:rsidRDefault="00BD3A86" w:rsidP="00B46988">
            <w:pPr>
              <w:rPr>
                <w:rFonts w:asciiTheme="minorHAnsi" w:hAnsiTheme="minorHAnsi" w:cstheme="minorHAnsi"/>
                <w:szCs w:val="18"/>
              </w:rPr>
            </w:pPr>
          </w:p>
          <w:p w14:paraId="7F6C14A8" w14:textId="64E2AEE4"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 xml:space="preserve">No Australian/New Zealand jobs created or retained. </w:t>
            </w:r>
          </w:p>
          <w:p w14:paraId="05C43925" w14:textId="77777777" w:rsidR="00BD3A86" w:rsidRDefault="00BD3A86" w:rsidP="00B46988">
            <w:pPr>
              <w:rPr>
                <w:rFonts w:asciiTheme="minorHAnsi" w:hAnsiTheme="minorHAnsi" w:cstheme="minorHAnsi"/>
                <w:szCs w:val="18"/>
              </w:rPr>
            </w:pPr>
          </w:p>
          <w:p w14:paraId="6461A6A1" w14:textId="44A4EA7B"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 xml:space="preserve">No use of apprentices, cadets and trainees </w:t>
            </w:r>
          </w:p>
          <w:p w14:paraId="10220774" w14:textId="77777777" w:rsidR="00BD3A86" w:rsidRDefault="00BD3A86" w:rsidP="00B46988">
            <w:pPr>
              <w:rPr>
                <w:rFonts w:asciiTheme="minorHAnsi" w:hAnsiTheme="minorHAnsi" w:cstheme="minorHAnsi"/>
                <w:szCs w:val="18"/>
              </w:rPr>
            </w:pPr>
          </w:p>
          <w:p w14:paraId="11425D76" w14:textId="53D0E65B"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No job development/ training opportunities have been identified</w:t>
            </w:r>
          </w:p>
          <w:p w14:paraId="3A082BB8" w14:textId="77777777" w:rsidR="00542E99" w:rsidRPr="00A62CCC" w:rsidRDefault="00542E99" w:rsidP="00B46988">
            <w:pPr>
              <w:rPr>
                <w:rFonts w:asciiTheme="minorHAnsi" w:hAnsiTheme="minorHAnsi" w:cstheme="minorHAnsi"/>
                <w:szCs w:val="18"/>
              </w:rPr>
            </w:pPr>
          </w:p>
        </w:tc>
        <w:tc>
          <w:tcPr>
            <w:tcW w:w="1843" w:type="dxa"/>
          </w:tcPr>
          <w:p w14:paraId="24469E6C" w14:textId="0484B12E" w:rsidR="00542E99" w:rsidRDefault="00542E99" w:rsidP="00B46988">
            <w:pPr>
              <w:rPr>
                <w:rFonts w:asciiTheme="minorHAnsi" w:hAnsiTheme="minorHAnsi" w:cstheme="minorHAnsi"/>
                <w:szCs w:val="18"/>
              </w:rPr>
            </w:pPr>
            <w:r w:rsidRPr="00A62CCC">
              <w:rPr>
                <w:rFonts w:asciiTheme="minorHAnsi" w:hAnsiTheme="minorHAnsi" w:cstheme="minorHAnsi"/>
                <w:szCs w:val="18"/>
              </w:rPr>
              <w:t>Very low number of Victorian jobs created or retained</w:t>
            </w:r>
          </w:p>
          <w:p w14:paraId="718DE27D" w14:textId="77777777" w:rsidR="00BD3A86" w:rsidRPr="00A62CCC" w:rsidRDefault="00BD3A86" w:rsidP="00B46988">
            <w:pPr>
              <w:rPr>
                <w:rFonts w:asciiTheme="minorHAnsi" w:hAnsiTheme="minorHAnsi" w:cstheme="minorHAnsi"/>
                <w:szCs w:val="18"/>
              </w:rPr>
            </w:pPr>
          </w:p>
          <w:p w14:paraId="44386555" w14:textId="77777777"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Very low number of Australian/New Zealand jobs created or retained.</w:t>
            </w:r>
          </w:p>
          <w:p w14:paraId="2D5B0BA6" w14:textId="77777777" w:rsidR="00BD3A86" w:rsidRDefault="00BD3A86" w:rsidP="00B46988">
            <w:pPr>
              <w:rPr>
                <w:rFonts w:asciiTheme="minorHAnsi" w:hAnsiTheme="minorHAnsi" w:cstheme="minorHAnsi"/>
                <w:szCs w:val="18"/>
              </w:rPr>
            </w:pPr>
          </w:p>
          <w:p w14:paraId="42944E63" w14:textId="6B36B8C3"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 xml:space="preserve">Low use of apprentices, cadets and trainees </w:t>
            </w:r>
          </w:p>
          <w:p w14:paraId="18542542" w14:textId="77777777" w:rsidR="00BD3A86" w:rsidRDefault="00BD3A86" w:rsidP="00B46988">
            <w:pPr>
              <w:rPr>
                <w:rFonts w:asciiTheme="minorHAnsi" w:hAnsiTheme="minorHAnsi" w:cstheme="minorHAnsi"/>
                <w:szCs w:val="18"/>
              </w:rPr>
            </w:pPr>
          </w:p>
          <w:p w14:paraId="4E900401" w14:textId="18DAAE0F" w:rsidR="00542E99" w:rsidRPr="00A62CCC" w:rsidRDefault="00542E99" w:rsidP="00B46988">
            <w:pPr>
              <w:rPr>
                <w:rFonts w:asciiTheme="minorHAnsi" w:hAnsiTheme="minorHAnsi" w:cstheme="minorHAnsi"/>
                <w:b/>
                <w:szCs w:val="18"/>
              </w:rPr>
            </w:pPr>
            <w:r w:rsidRPr="00A62CCC">
              <w:rPr>
                <w:rFonts w:asciiTheme="minorHAnsi" w:hAnsiTheme="minorHAnsi" w:cstheme="minorHAnsi"/>
                <w:szCs w:val="18"/>
              </w:rPr>
              <w:t>No job development/ training opportunities have been identified</w:t>
            </w:r>
          </w:p>
        </w:tc>
        <w:tc>
          <w:tcPr>
            <w:tcW w:w="2126" w:type="dxa"/>
          </w:tcPr>
          <w:p w14:paraId="05F6849E" w14:textId="77777777"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 xml:space="preserve">Medium number of Victorian jobs created or retained. </w:t>
            </w:r>
          </w:p>
          <w:p w14:paraId="5D4A443D" w14:textId="77777777" w:rsidR="00542E99" w:rsidRPr="00A62CCC" w:rsidRDefault="00542E99" w:rsidP="00B46988">
            <w:pPr>
              <w:rPr>
                <w:rFonts w:asciiTheme="minorHAnsi" w:hAnsiTheme="minorHAnsi" w:cstheme="minorHAnsi"/>
                <w:szCs w:val="18"/>
              </w:rPr>
            </w:pPr>
          </w:p>
          <w:p w14:paraId="0528C3C3" w14:textId="5ACA46B1" w:rsidR="00542E99" w:rsidRDefault="00542E99" w:rsidP="00B46988">
            <w:pPr>
              <w:rPr>
                <w:rFonts w:asciiTheme="minorHAnsi" w:hAnsiTheme="minorHAnsi" w:cstheme="minorHAnsi"/>
                <w:szCs w:val="18"/>
              </w:rPr>
            </w:pPr>
            <w:r w:rsidRPr="00A62CCC">
              <w:rPr>
                <w:rFonts w:asciiTheme="minorHAnsi" w:hAnsiTheme="minorHAnsi" w:cstheme="minorHAnsi"/>
                <w:szCs w:val="18"/>
              </w:rPr>
              <w:t xml:space="preserve">Medium number of Australian/New Zealand jobs created or retained. </w:t>
            </w:r>
          </w:p>
          <w:p w14:paraId="1D06ED8A" w14:textId="77777777" w:rsidR="00BD3A86" w:rsidRPr="00A62CCC" w:rsidRDefault="00BD3A86" w:rsidP="00B46988">
            <w:pPr>
              <w:rPr>
                <w:rFonts w:asciiTheme="minorHAnsi" w:hAnsiTheme="minorHAnsi" w:cstheme="minorHAnsi"/>
                <w:szCs w:val="18"/>
              </w:rPr>
            </w:pPr>
          </w:p>
          <w:p w14:paraId="07EABD06" w14:textId="2DD37690" w:rsidR="00542E99" w:rsidRDefault="00542E99" w:rsidP="00B46988">
            <w:pPr>
              <w:rPr>
                <w:rFonts w:asciiTheme="minorHAnsi" w:hAnsiTheme="minorHAnsi" w:cstheme="minorHAnsi"/>
                <w:szCs w:val="18"/>
              </w:rPr>
            </w:pPr>
            <w:r w:rsidRPr="00A62CCC">
              <w:rPr>
                <w:rFonts w:asciiTheme="minorHAnsi" w:hAnsiTheme="minorHAnsi" w:cstheme="minorHAnsi"/>
                <w:szCs w:val="18"/>
              </w:rPr>
              <w:t>Some use of apprentices, cadets and trainees</w:t>
            </w:r>
          </w:p>
          <w:p w14:paraId="24784B54" w14:textId="77777777" w:rsidR="00BD3A86" w:rsidRPr="00A62CCC" w:rsidRDefault="00BD3A86" w:rsidP="00B46988">
            <w:pPr>
              <w:rPr>
                <w:rFonts w:asciiTheme="minorHAnsi" w:hAnsiTheme="minorHAnsi" w:cstheme="minorHAnsi"/>
                <w:szCs w:val="18"/>
              </w:rPr>
            </w:pPr>
          </w:p>
          <w:p w14:paraId="7EAEF5A7" w14:textId="35EEA743"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Job development/ training opportunities have been identified.</w:t>
            </w:r>
          </w:p>
          <w:p w14:paraId="19130327" w14:textId="77777777" w:rsidR="00542E99" w:rsidRPr="00A62CCC" w:rsidRDefault="00542E99" w:rsidP="00B46988">
            <w:pPr>
              <w:rPr>
                <w:rFonts w:asciiTheme="minorHAnsi" w:hAnsiTheme="minorHAnsi" w:cstheme="minorHAnsi"/>
                <w:b/>
                <w:szCs w:val="18"/>
              </w:rPr>
            </w:pPr>
          </w:p>
        </w:tc>
        <w:tc>
          <w:tcPr>
            <w:tcW w:w="2268" w:type="dxa"/>
          </w:tcPr>
          <w:p w14:paraId="096CAFD6" w14:textId="77777777"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 xml:space="preserve">Very high number of Victorian jobs created or retained. </w:t>
            </w:r>
          </w:p>
          <w:p w14:paraId="29A24EDB" w14:textId="77777777" w:rsidR="00542E99" w:rsidRPr="00A62CCC" w:rsidRDefault="00542E99" w:rsidP="00B46988">
            <w:pPr>
              <w:rPr>
                <w:rFonts w:asciiTheme="minorHAnsi" w:hAnsiTheme="minorHAnsi" w:cstheme="minorHAnsi"/>
                <w:szCs w:val="18"/>
              </w:rPr>
            </w:pPr>
          </w:p>
          <w:p w14:paraId="20786351" w14:textId="77777777" w:rsidR="00BD3A86" w:rsidRDefault="00542E99" w:rsidP="00B46988">
            <w:pPr>
              <w:rPr>
                <w:rFonts w:asciiTheme="minorHAnsi" w:hAnsiTheme="minorHAnsi" w:cstheme="minorHAnsi"/>
                <w:szCs w:val="18"/>
              </w:rPr>
            </w:pPr>
            <w:r w:rsidRPr="00A62CCC">
              <w:rPr>
                <w:rFonts w:asciiTheme="minorHAnsi" w:hAnsiTheme="minorHAnsi" w:cstheme="minorHAnsi"/>
                <w:szCs w:val="18"/>
              </w:rPr>
              <w:t>Very high number of Australian/New Zealand jobs created or retained.</w:t>
            </w:r>
          </w:p>
          <w:p w14:paraId="52B7DE2E" w14:textId="6F26041B"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 xml:space="preserve"> </w:t>
            </w:r>
          </w:p>
          <w:p w14:paraId="72D37482" w14:textId="77777777"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Very high number of apprentices, cadets and traineeship positions created</w:t>
            </w:r>
          </w:p>
          <w:p w14:paraId="35298B59" w14:textId="77777777" w:rsidR="00542E99" w:rsidRPr="00A62CCC" w:rsidRDefault="00542E99" w:rsidP="00B46988">
            <w:pPr>
              <w:rPr>
                <w:rFonts w:asciiTheme="minorHAnsi" w:hAnsiTheme="minorHAnsi" w:cstheme="minorHAnsi"/>
                <w:szCs w:val="18"/>
              </w:rPr>
            </w:pPr>
          </w:p>
          <w:p w14:paraId="15D3B35F" w14:textId="77777777" w:rsidR="00542E99" w:rsidRPr="00A62CCC" w:rsidRDefault="00542E99" w:rsidP="00B46988">
            <w:pPr>
              <w:rPr>
                <w:rFonts w:asciiTheme="minorHAnsi" w:hAnsiTheme="minorHAnsi" w:cstheme="minorHAnsi"/>
                <w:szCs w:val="18"/>
              </w:rPr>
            </w:pPr>
            <w:r w:rsidRPr="00A62CCC">
              <w:rPr>
                <w:rFonts w:asciiTheme="minorHAnsi" w:hAnsiTheme="minorHAnsi" w:cstheme="minorHAnsi"/>
                <w:szCs w:val="18"/>
              </w:rPr>
              <w:t>High number of job development/ training opportunities have been identified in detail.</w:t>
            </w:r>
          </w:p>
        </w:tc>
      </w:tr>
    </w:tbl>
    <w:p w14:paraId="4EBDFE37" w14:textId="77777777" w:rsidR="003E1D9F" w:rsidRPr="00A108CD" w:rsidRDefault="003E1D9F" w:rsidP="003E1D9F">
      <w:pPr>
        <w:rPr>
          <w:rFonts w:asciiTheme="minorHAnsi" w:hAnsiTheme="minorHAnsi" w:cstheme="minorHAnsi"/>
          <w:szCs w:val="18"/>
        </w:rPr>
      </w:pPr>
    </w:p>
    <w:p w14:paraId="69CE59D9" w14:textId="77777777" w:rsidR="003E1D9F" w:rsidRPr="00A108CD" w:rsidRDefault="003E1D9F" w:rsidP="003E1D9F">
      <w:pPr>
        <w:jc w:val="both"/>
        <w:rPr>
          <w:rFonts w:asciiTheme="minorHAnsi" w:hAnsiTheme="minorHAnsi" w:cstheme="minorHAnsi"/>
          <w:b/>
          <w:szCs w:val="18"/>
          <w:u w:val="single"/>
        </w:rPr>
      </w:pPr>
      <w:r w:rsidRPr="00A108CD">
        <w:rPr>
          <w:rFonts w:asciiTheme="minorHAnsi" w:hAnsiTheme="minorHAnsi" w:cstheme="minorHAnsi"/>
          <w:b/>
          <w:szCs w:val="18"/>
          <w:u w:val="single"/>
        </w:rPr>
        <w:lastRenderedPageBreak/>
        <w:t xml:space="preserve">Guidance on assessment of job outcomes –MPSG Applicable Projects  </w:t>
      </w:r>
    </w:p>
    <w:p w14:paraId="2C59B9D1" w14:textId="77777777"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 xml:space="preserve">The total score for job outcomes for MPSG applicable projects can be calculated by adding the score for MPSG outcomes with the score for additional job outcomes.  </w:t>
      </w:r>
    </w:p>
    <w:p w14:paraId="093A548E" w14:textId="1389A886" w:rsidR="003E1D9F" w:rsidRPr="00B51C98" w:rsidRDefault="003E1D9F" w:rsidP="001D4767">
      <w:pPr>
        <w:numPr>
          <w:ilvl w:val="0"/>
          <w:numId w:val="14"/>
        </w:numPr>
        <w:jc w:val="both"/>
        <w:rPr>
          <w:rFonts w:asciiTheme="minorHAnsi" w:hAnsiTheme="minorHAnsi" w:cstheme="minorHAnsi"/>
          <w:szCs w:val="18"/>
          <w:lang w:val="en-US"/>
        </w:rPr>
      </w:pPr>
      <w:r w:rsidRPr="00B51C98">
        <w:rPr>
          <w:rFonts w:asciiTheme="minorHAnsi" w:hAnsiTheme="minorHAnsi" w:cstheme="minorHAnsi"/>
          <w:szCs w:val="18"/>
          <w:lang w:val="en-US"/>
        </w:rPr>
        <w:t xml:space="preserve">For example, a bidder that received 3/5 points for MPSG outcomes and 4/5 points for additional job outcomes will receive a total final score of 7/10. </w:t>
      </w:r>
    </w:p>
    <w:p w14:paraId="29290855" w14:textId="7335A52C" w:rsidR="00566BDD" w:rsidRPr="005D1253" w:rsidRDefault="00566BDD" w:rsidP="00836918">
      <w:pPr>
        <w:pStyle w:val="Heading1"/>
        <w:spacing w:before="240" w:after="240" w:line="276" w:lineRule="auto"/>
        <w:ind w:left="431" w:hanging="431"/>
      </w:pPr>
      <w:bookmarkStart w:id="45" w:name="_Toc31116359"/>
      <w:r w:rsidRPr="005D1253">
        <w:t xml:space="preserve">Step by step process in applying Local Jobs First to Strategic </w:t>
      </w:r>
      <w:r w:rsidR="0024297F" w:rsidRPr="005D1253">
        <w:t>P</w:t>
      </w:r>
      <w:r w:rsidRPr="005D1253">
        <w:t>rojects</w:t>
      </w:r>
      <w:bookmarkEnd w:id="45"/>
    </w:p>
    <w:p w14:paraId="4D8C0774" w14:textId="396312C6" w:rsidR="00154A90" w:rsidRDefault="00AF705E" w:rsidP="001D4767">
      <w:pPr>
        <w:numPr>
          <w:ilvl w:val="0"/>
          <w:numId w:val="15"/>
        </w:numPr>
        <w:spacing w:before="0"/>
        <w:jc w:val="both"/>
        <w:rPr>
          <w:rFonts w:cs="Arial"/>
        </w:rPr>
      </w:pPr>
      <w:bookmarkStart w:id="46" w:name="_Hlk524333734"/>
      <w:bookmarkEnd w:id="43"/>
      <w:r w:rsidRPr="00AF705E">
        <w:rPr>
          <w:rFonts w:cs="Arial"/>
          <w:lang w:val="en-US"/>
        </w:rPr>
        <w:t>A Strategic Project is a project that has a total project value of $50 million or over or is otherwise declared to be a Strategic Project by the Minister for Jobs, Innovation and Trade.</w:t>
      </w:r>
    </w:p>
    <w:p w14:paraId="3040E6A0" w14:textId="3FDD3D5A" w:rsidR="00612283" w:rsidRPr="00865235" w:rsidRDefault="00612283" w:rsidP="00612283">
      <w:pPr>
        <w:rPr>
          <w:b/>
          <w:sz w:val="20"/>
        </w:rPr>
      </w:pPr>
      <w:r w:rsidRPr="00865235">
        <w:rPr>
          <w:b/>
          <w:sz w:val="20"/>
        </w:rPr>
        <w:t xml:space="preserve">Step 1 – Local Jobs First </w:t>
      </w:r>
      <w:r w:rsidR="00B4181D">
        <w:rPr>
          <w:b/>
          <w:sz w:val="20"/>
        </w:rPr>
        <w:t xml:space="preserve">Strategic Project </w:t>
      </w:r>
      <w:r w:rsidRPr="00865235">
        <w:rPr>
          <w:b/>
          <w:sz w:val="20"/>
        </w:rPr>
        <w:t>Registration</w:t>
      </w:r>
    </w:p>
    <w:p w14:paraId="44DC5321" w14:textId="2FAD7B95" w:rsidR="00612283" w:rsidRPr="00555463" w:rsidRDefault="00612283" w:rsidP="001D4767">
      <w:pPr>
        <w:numPr>
          <w:ilvl w:val="0"/>
          <w:numId w:val="15"/>
        </w:numPr>
        <w:spacing w:before="0"/>
        <w:jc w:val="both"/>
        <w:rPr>
          <w:rFonts w:cs="Arial"/>
        </w:rPr>
      </w:pPr>
      <w:r w:rsidRPr="00A366DA">
        <w:rPr>
          <w:rFonts w:cs="Arial"/>
        </w:rPr>
        <w:t>Before the release of the tender documents, agencies need to</w:t>
      </w:r>
      <w:r w:rsidRPr="00804F32">
        <w:rPr>
          <w:rFonts w:cs="Arial"/>
        </w:rPr>
        <w:t xml:space="preserve"> register the project including project specifications with the </w:t>
      </w:r>
      <w:r w:rsidRPr="006301A8">
        <w:rPr>
          <w:rFonts w:cs="Arial"/>
        </w:rPr>
        <w:t xml:space="preserve">VMC (at </w:t>
      </w:r>
      <w:hyperlink r:id="rId21" w:history="1">
        <w:r w:rsidR="002E63A2" w:rsidRPr="002E63A2">
          <w:rPr>
            <w:rStyle w:val="Hyperlink"/>
          </w:rPr>
          <w:t>www.icnforce.com</w:t>
        </w:r>
      </w:hyperlink>
      <w:r w:rsidRPr="00A366DA">
        <w:rPr>
          <w:rFonts w:cs="Arial"/>
        </w:rPr>
        <w:t>). Project</w:t>
      </w:r>
      <w:r w:rsidRPr="00804F32">
        <w:rPr>
          <w:rFonts w:cs="Arial"/>
        </w:rPr>
        <w:t xml:space="preserve"> registration should occur </w:t>
      </w:r>
      <w:r w:rsidRPr="00F776BC">
        <w:rPr>
          <w:rFonts w:cs="Arial"/>
        </w:rPr>
        <w:t>no less than 30</w:t>
      </w:r>
      <w:r w:rsidRPr="005962A2">
        <w:rPr>
          <w:rFonts w:cs="Arial"/>
        </w:rPr>
        <w:t xml:space="preserve"> days before the release of </w:t>
      </w:r>
      <w:r w:rsidRPr="006301A8">
        <w:rPr>
          <w:rFonts w:cs="Arial"/>
        </w:rPr>
        <w:t>documents to bidders. If you do not have an account, you will be required to create one. If you require assistance, please contact the ICN Policy Implementation Team on 03 9864 6700.</w:t>
      </w:r>
    </w:p>
    <w:bookmarkEnd w:id="46"/>
    <w:p w14:paraId="084A8988" w14:textId="77777777" w:rsidR="000E13B3" w:rsidRPr="00A74E6C" w:rsidRDefault="000E13B3" w:rsidP="001D4767">
      <w:pPr>
        <w:numPr>
          <w:ilvl w:val="0"/>
          <w:numId w:val="15"/>
        </w:numPr>
        <w:spacing w:before="0"/>
        <w:jc w:val="both"/>
        <w:rPr>
          <w:rFonts w:cs="Arial"/>
        </w:rPr>
      </w:pPr>
      <w:r w:rsidRPr="001D0553">
        <w:rPr>
          <w:rFonts w:cs="Arial"/>
        </w:rPr>
        <w:t xml:space="preserve">To register the project, </w:t>
      </w:r>
      <w:r>
        <w:rPr>
          <w:rFonts w:cs="Arial"/>
        </w:rPr>
        <w:t xml:space="preserve">agencies are required to </w:t>
      </w:r>
      <w:r w:rsidRPr="001D0553">
        <w:rPr>
          <w:rFonts w:cs="Arial"/>
        </w:rPr>
        <w:t>provide the specifications, scope of works, project phasing information</w:t>
      </w:r>
      <w:r>
        <w:rPr>
          <w:rFonts w:cs="Arial"/>
        </w:rPr>
        <w:t xml:space="preserve"> </w:t>
      </w:r>
      <w:r w:rsidRPr="001D0553">
        <w:rPr>
          <w:rFonts w:cs="Arial"/>
        </w:rPr>
        <w:t xml:space="preserve">to </w:t>
      </w:r>
      <w:r>
        <w:rPr>
          <w:rFonts w:cs="Arial"/>
        </w:rPr>
        <w:t xml:space="preserve">the </w:t>
      </w:r>
      <w:r w:rsidRPr="001D0553">
        <w:rPr>
          <w:rFonts w:cs="Arial"/>
        </w:rPr>
        <w:t xml:space="preserve">ICN. </w:t>
      </w:r>
      <w:r>
        <w:rPr>
          <w:rFonts w:cs="Arial"/>
        </w:rPr>
        <w:t>P</w:t>
      </w:r>
      <w:r w:rsidRPr="00A74E6C">
        <w:rPr>
          <w:rFonts w:cs="Arial"/>
        </w:rPr>
        <w:t xml:space="preserve">lease specify: </w:t>
      </w:r>
    </w:p>
    <w:p w14:paraId="2E8AE8DE" w14:textId="77777777" w:rsidR="000E13B3" w:rsidRPr="005D1253" w:rsidRDefault="000E13B3" w:rsidP="005D1253">
      <w:pPr>
        <w:pStyle w:val="ListParagraph"/>
        <w:numPr>
          <w:ilvl w:val="0"/>
          <w:numId w:val="6"/>
        </w:numPr>
        <w:jc w:val="both"/>
        <w:rPr>
          <w:rFonts w:asciiTheme="minorHAnsi" w:hAnsiTheme="minorHAnsi" w:cstheme="minorHAnsi"/>
          <w:sz w:val="18"/>
          <w:szCs w:val="18"/>
        </w:rPr>
      </w:pPr>
      <w:r w:rsidRPr="005D1253">
        <w:rPr>
          <w:rFonts w:asciiTheme="minorHAnsi" w:hAnsiTheme="minorHAnsi" w:cstheme="minorHAnsi"/>
          <w:sz w:val="18"/>
          <w:szCs w:val="18"/>
        </w:rPr>
        <w:t>if the project is part of a larger one, e.g. a quantity surveyor project which is part of a strategic design and construction project, and provide details of the overall project</w:t>
      </w:r>
    </w:p>
    <w:p w14:paraId="22146AE9" w14:textId="77777777" w:rsidR="000E13B3" w:rsidRPr="005D1253" w:rsidRDefault="000E13B3" w:rsidP="005D1253">
      <w:pPr>
        <w:pStyle w:val="ListParagraph"/>
        <w:numPr>
          <w:ilvl w:val="0"/>
          <w:numId w:val="6"/>
        </w:numPr>
        <w:jc w:val="both"/>
        <w:rPr>
          <w:rFonts w:asciiTheme="minorHAnsi" w:hAnsiTheme="minorHAnsi" w:cstheme="minorHAnsi"/>
          <w:sz w:val="18"/>
          <w:szCs w:val="18"/>
        </w:rPr>
      </w:pPr>
      <w:r w:rsidRPr="005D1253">
        <w:rPr>
          <w:rFonts w:asciiTheme="minorHAnsi" w:hAnsiTheme="minorHAnsi" w:cstheme="minorHAnsi"/>
          <w:sz w:val="18"/>
          <w:szCs w:val="18"/>
        </w:rPr>
        <w:t>if the project is a panel contract by selecting the panel box</w:t>
      </w:r>
    </w:p>
    <w:p w14:paraId="04563375" w14:textId="77777777" w:rsidR="000E13B3" w:rsidRPr="005D1253" w:rsidRDefault="000E13B3" w:rsidP="005D1253">
      <w:pPr>
        <w:pStyle w:val="ListParagraph"/>
        <w:numPr>
          <w:ilvl w:val="0"/>
          <w:numId w:val="6"/>
        </w:numPr>
        <w:jc w:val="both"/>
        <w:rPr>
          <w:rFonts w:asciiTheme="minorHAnsi" w:hAnsiTheme="minorHAnsi" w:cstheme="minorHAnsi"/>
          <w:sz w:val="18"/>
          <w:szCs w:val="18"/>
        </w:rPr>
      </w:pPr>
      <w:r w:rsidRPr="005D1253">
        <w:rPr>
          <w:rFonts w:asciiTheme="minorHAnsi" w:hAnsiTheme="minorHAnsi" w:cstheme="minorHAnsi"/>
          <w:sz w:val="18"/>
          <w:szCs w:val="18"/>
        </w:rPr>
        <w:t>the project type and category</w:t>
      </w:r>
    </w:p>
    <w:p w14:paraId="7A00B590" w14:textId="7B0CEE13" w:rsidR="000E13B3" w:rsidRPr="005D1253" w:rsidRDefault="000E13B3" w:rsidP="005D1253">
      <w:pPr>
        <w:pStyle w:val="ListParagraph"/>
        <w:numPr>
          <w:ilvl w:val="0"/>
          <w:numId w:val="6"/>
        </w:numPr>
        <w:jc w:val="both"/>
        <w:rPr>
          <w:rFonts w:asciiTheme="minorHAnsi" w:hAnsiTheme="minorHAnsi" w:cstheme="minorHAnsi"/>
          <w:sz w:val="18"/>
          <w:szCs w:val="18"/>
        </w:rPr>
      </w:pPr>
      <w:r w:rsidRPr="005D1253">
        <w:rPr>
          <w:rFonts w:asciiTheme="minorHAnsi" w:hAnsiTheme="minorHAnsi" w:cstheme="minorHAnsi"/>
          <w:sz w:val="18"/>
          <w:szCs w:val="18"/>
        </w:rPr>
        <w:t>ensure all fields are completed before submitting the tender.</w:t>
      </w:r>
    </w:p>
    <w:p w14:paraId="3A164D9B" w14:textId="77777777" w:rsidR="000E13B3" w:rsidRPr="001D0553" w:rsidRDefault="000E13B3" w:rsidP="000E13B3">
      <w:pPr>
        <w:spacing w:before="0" w:after="0"/>
        <w:ind w:left="1440"/>
        <w:jc w:val="both"/>
        <w:rPr>
          <w:rFonts w:cs="Arial"/>
        </w:rPr>
      </w:pPr>
    </w:p>
    <w:p w14:paraId="533351E3" w14:textId="23F14C18" w:rsidR="007329DA" w:rsidRPr="00D45F72" w:rsidRDefault="000E13B3" w:rsidP="001D4767">
      <w:pPr>
        <w:numPr>
          <w:ilvl w:val="0"/>
          <w:numId w:val="15"/>
        </w:numPr>
        <w:spacing w:before="0"/>
        <w:jc w:val="both"/>
        <w:rPr>
          <w:rFonts w:cs="Arial"/>
        </w:rPr>
      </w:pPr>
      <w:r>
        <w:rPr>
          <w:rFonts w:cs="Arial"/>
        </w:rPr>
        <w:t xml:space="preserve">This process also applies in full to Public private Partnerships (PPP) projects and other forms of contracting </w:t>
      </w:r>
      <w:r w:rsidR="007329DA" w:rsidRPr="00D45F72">
        <w:rPr>
          <w:rFonts w:cs="Arial"/>
        </w:rPr>
        <w:t>such as alliance contracts</w:t>
      </w:r>
      <w:r w:rsidR="00206FE6" w:rsidRPr="00D45F72">
        <w:rPr>
          <w:rFonts w:cs="Arial"/>
        </w:rPr>
        <w:t>,</w:t>
      </w:r>
      <w:r w:rsidR="007329DA" w:rsidRPr="00D45F72">
        <w:rPr>
          <w:rFonts w:cs="Arial"/>
        </w:rPr>
        <w:t xml:space="preserve"> auctions</w:t>
      </w:r>
      <w:r w:rsidR="00206FE6" w:rsidRPr="00D45F72">
        <w:rPr>
          <w:rFonts w:cs="Arial"/>
        </w:rPr>
        <w:t>,</w:t>
      </w:r>
      <w:r w:rsidR="007329DA" w:rsidRPr="00D45F72">
        <w:rPr>
          <w:rFonts w:cs="Arial"/>
        </w:rPr>
        <w:t xml:space="preserve"> </w:t>
      </w:r>
      <w:r w:rsidR="00206FE6" w:rsidRPr="00D45F72">
        <w:rPr>
          <w:rFonts w:cs="Arial"/>
        </w:rPr>
        <w:t xml:space="preserve">or </w:t>
      </w:r>
      <w:r w:rsidR="00373787" w:rsidRPr="00D45F72">
        <w:rPr>
          <w:rFonts w:cs="Arial"/>
        </w:rPr>
        <w:t xml:space="preserve">the </w:t>
      </w:r>
      <w:r w:rsidR="00206FE6" w:rsidRPr="00D45F72">
        <w:rPr>
          <w:rFonts w:cs="Arial"/>
        </w:rPr>
        <w:t xml:space="preserve">use </w:t>
      </w:r>
      <w:r w:rsidR="00B477DE" w:rsidRPr="00D45F72">
        <w:rPr>
          <w:rFonts w:cs="Arial"/>
        </w:rPr>
        <w:t xml:space="preserve">of </w:t>
      </w:r>
      <w:r w:rsidR="00206FE6" w:rsidRPr="00D45F72">
        <w:rPr>
          <w:rFonts w:cs="Arial"/>
        </w:rPr>
        <w:t xml:space="preserve">a panel of suppliers </w:t>
      </w:r>
      <w:r w:rsidR="007329DA" w:rsidRPr="00D45F72">
        <w:rPr>
          <w:rFonts w:cs="Arial"/>
        </w:rPr>
        <w:t xml:space="preserve">that </w:t>
      </w:r>
      <w:r w:rsidR="00206FE6" w:rsidRPr="00D45F72">
        <w:rPr>
          <w:rFonts w:cs="Arial"/>
        </w:rPr>
        <w:t xml:space="preserve">are </w:t>
      </w:r>
      <w:r w:rsidR="007329DA" w:rsidRPr="00D45F72">
        <w:rPr>
          <w:rFonts w:cs="Arial"/>
        </w:rPr>
        <w:t xml:space="preserve">LJF </w:t>
      </w:r>
      <w:r w:rsidR="00206FE6" w:rsidRPr="00D45F72">
        <w:rPr>
          <w:rFonts w:cs="Arial"/>
        </w:rPr>
        <w:t xml:space="preserve">Strategic </w:t>
      </w:r>
      <w:r w:rsidR="007329DA" w:rsidRPr="00D45F72">
        <w:rPr>
          <w:rFonts w:cs="Arial"/>
        </w:rPr>
        <w:t>Project</w:t>
      </w:r>
      <w:r w:rsidR="00206FE6" w:rsidRPr="00D45F72">
        <w:rPr>
          <w:rFonts w:cs="Arial"/>
        </w:rPr>
        <w:t>s</w:t>
      </w:r>
      <w:r w:rsidR="007329DA" w:rsidRPr="00D45F72">
        <w:rPr>
          <w:rFonts w:cs="Arial"/>
        </w:rPr>
        <w:t>.</w:t>
      </w:r>
    </w:p>
    <w:p w14:paraId="72D94F92" w14:textId="580A7E29" w:rsidR="00015FE1" w:rsidRPr="00A73F91" w:rsidRDefault="00015FE1" w:rsidP="00A73F91">
      <w:pPr>
        <w:rPr>
          <w:b/>
          <w:sz w:val="20"/>
        </w:rPr>
      </w:pPr>
      <w:r w:rsidRPr="00A73F91">
        <w:rPr>
          <w:b/>
          <w:sz w:val="20"/>
        </w:rPr>
        <w:t xml:space="preserve">Step </w:t>
      </w:r>
      <w:r w:rsidR="007E6417" w:rsidRPr="00A73F91">
        <w:rPr>
          <w:b/>
          <w:sz w:val="20"/>
        </w:rPr>
        <w:t>2</w:t>
      </w:r>
      <w:r w:rsidRPr="00A73F91">
        <w:rPr>
          <w:b/>
          <w:sz w:val="20"/>
        </w:rPr>
        <w:t xml:space="preserve"> – </w:t>
      </w:r>
      <w:r w:rsidR="007E6417" w:rsidRPr="00A73F91">
        <w:rPr>
          <w:b/>
          <w:sz w:val="20"/>
        </w:rPr>
        <w:t xml:space="preserve">Setting Local </w:t>
      </w:r>
      <w:r w:rsidR="00AF705E">
        <w:rPr>
          <w:b/>
          <w:sz w:val="20"/>
        </w:rPr>
        <w:t xml:space="preserve">Jobs First </w:t>
      </w:r>
      <w:r w:rsidR="007E6417" w:rsidRPr="00A73F91">
        <w:rPr>
          <w:b/>
          <w:sz w:val="20"/>
        </w:rPr>
        <w:t>requirements</w:t>
      </w:r>
      <w:r w:rsidR="000D029C" w:rsidRPr="00A73F91">
        <w:rPr>
          <w:b/>
          <w:sz w:val="20"/>
        </w:rPr>
        <w:t xml:space="preserve"> – Strategic Projects only</w:t>
      </w:r>
    </w:p>
    <w:p w14:paraId="15CE99A4" w14:textId="6BDD34CA" w:rsidR="007E6417" w:rsidRPr="003426D6" w:rsidRDefault="007E6417" w:rsidP="001D4767">
      <w:pPr>
        <w:numPr>
          <w:ilvl w:val="0"/>
          <w:numId w:val="15"/>
        </w:numPr>
        <w:spacing w:before="0"/>
        <w:jc w:val="both"/>
        <w:rPr>
          <w:rFonts w:eastAsia="MS Mincho" w:cs="Arial"/>
          <w:szCs w:val="18"/>
        </w:rPr>
      </w:pPr>
      <w:bookmarkStart w:id="47" w:name="_Hlk524333812"/>
      <w:r w:rsidRPr="007E6417">
        <w:rPr>
          <w:rFonts w:eastAsia="MS Mincho" w:cs="Arial"/>
          <w:szCs w:val="18"/>
        </w:rPr>
        <w:t>Under the</w:t>
      </w:r>
      <w:r w:rsidR="00F72C71">
        <w:rPr>
          <w:rFonts w:eastAsia="MS Mincho" w:cs="Arial"/>
          <w:szCs w:val="18"/>
        </w:rPr>
        <w:t xml:space="preserve"> Act</w:t>
      </w:r>
      <w:r w:rsidR="00F72C71">
        <w:rPr>
          <w:rFonts w:eastAsia="MS Mincho" w:cs="Arial"/>
          <w:i/>
          <w:szCs w:val="18"/>
        </w:rPr>
        <w:t xml:space="preserve">, </w:t>
      </w:r>
      <w:r w:rsidRPr="007E6417">
        <w:rPr>
          <w:rFonts w:eastAsia="MS Mincho" w:cs="Arial"/>
          <w:szCs w:val="18"/>
        </w:rPr>
        <w:t xml:space="preserve">the </w:t>
      </w:r>
      <w:r w:rsidR="007B3488">
        <w:rPr>
          <w:rFonts w:eastAsia="MS Mincho" w:cs="Arial"/>
          <w:szCs w:val="18"/>
        </w:rPr>
        <w:t>Minister for Jobs, Innovation and Trade</w:t>
      </w:r>
      <w:r w:rsidR="00AF705E">
        <w:rPr>
          <w:rFonts w:eastAsia="MS Mincho" w:cs="Arial"/>
          <w:szCs w:val="18"/>
        </w:rPr>
        <w:t xml:space="preserve"> </w:t>
      </w:r>
      <w:r w:rsidRPr="007E6417">
        <w:rPr>
          <w:rFonts w:eastAsia="MS Mincho" w:cs="Arial"/>
          <w:szCs w:val="18"/>
        </w:rPr>
        <w:t>is responsible for setting local content requirements for a Strategic Project.</w:t>
      </w:r>
      <w:r w:rsidRPr="007E6417">
        <w:rPr>
          <w:rFonts w:cs="Arial"/>
        </w:rPr>
        <w:t xml:space="preserve"> </w:t>
      </w:r>
      <w:r w:rsidR="00EF441A">
        <w:rPr>
          <w:rFonts w:cs="Arial"/>
        </w:rPr>
        <w:t>DJPR</w:t>
      </w:r>
      <w:r>
        <w:rPr>
          <w:rFonts w:cs="Arial"/>
        </w:rPr>
        <w:t xml:space="preserve"> advises the Minister</w:t>
      </w:r>
      <w:r w:rsidR="000D50AE">
        <w:rPr>
          <w:rFonts w:cs="Arial"/>
        </w:rPr>
        <w:t xml:space="preserve"> for Jobs, Innovation and Trade</w:t>
      </w:r>
      <w:r>
        <w:rPr>
          <w:rFonts w:cs="Arial"/>
        </w:rPr>
        <w:t xml:space="preserve"> of the local content requirements, which may be informed by a </w:t>
      </w:r>
      <w:r w:rsidR="006301A8">
        <w:rPr>
          <w:rFonts w:cs="Arial"/>
        </w:rPr>
        <w:t xml:space="preserve">local content project framework developed from a </w:t>
      </w:r>
      <w:r w:rsidR="00D305DC">
        <w:rPr>
          <w:rFonts w:cs="Arial"/>
        </w:rPr>
        <w:t>c</w:t>
      </w:r>
      <w:r w:rsidR="002138FB">
        <w:rPr>
          <w:rFonts w:cs="Arial"/>
        </w:rPr>
        <w:t>ontestability assessment</w:t>
      </w:r>
      <w:r w:rsidR="003D5F83">
        <w:rPr>
          <w:rFonts w:cs="Arial"/>
        </w:rPr>
        <w:t xml:space="preserve"> </w:t>
      </w:r>
      <w:r>
        <w:rPr>
          <w:rFonts w:cs="Arial"/>
        </w:rPr>
        <w:t>undertaken by the ICN.</w:t>
      </w:r>
    </w:p>
    <w:p w14:paraId="31E8D6F6" w14:textId="4CF1821E" w:rsidR="007E6417" w:rsidRDefault="007E6417" w:rsidP="00B97128">
      <w:pPr>
        <w:pBdr>
          <w:top w:val="single" w:sz="4" w:space="1" w:color="auto"/>
          <w:left w:val="single" w:sz="4" w:space="4" w:color="auto"/>
          <w:bottom w:val="single" w:sz="4" w:space="0" w:color="auto"/>
          <w:right w:val="single" w:sz="4" w:space="4" w:color="auto"/>
        </w:pBdr>
        <w:spacing w:before="0" w:after="0"/>
        <w:ind w:left="720"/>
        <w:jc w:val="both"/>
        <w:rPr>
          <w:rFonts w:eastAsia="MS Mincho" w:cs="Arial"/>
          <w:szCs w:val="18"/>
        </w:rPr>
      </w:pPr>
      <w:r>
        <w:rPr>
          <w:rFonts w:eastAsia="MS Mincho" w:cs="Arial"/>
          <w:szCs w:val="18"/>
        </w:rPr>
        <w:t>S</w:t>
      </w:r>
      <w:r w:rsidRPr="00350D38">
        <w:rPr>
          <w:rFonts w:eastAsia="MS Mincho" w:cs="Arial"/>
          <w:szCs w:val="18"/>
        </w:rPr>
        <w:t>ection 7B (2) of the</w:t>
      </w:r>
      <w:r>
        <w:rPr>
          <w:rFonts w:eastAsia="MS Mincho" w:cs="Arial"/>
          <w:szCs w:val="18"/>
        </w:rPr>
        <w:t xml:space="preserve"> Act </w:t>
      </w:r>
      <w:r w:rsidRPr="00350D38">
        <w:rPr>
          <w:rFonts w:eastAsia="MS Mincho" w:cs="Arial"/>
          <w:szCs w:val="18"/>
        </w:rPr>
        <w:t xml:space="preserve">provides that the </w:t>
      </w:r>
      <w:r w:rsidR="007B3488">
        <w:rPr>
          <w:rFonts w:eastAsia="MS Mincho" w:cs="Arial"/>
          <w:szCs w:val="18"/>
        </w:rPr>
        <w:t>Minister for Jobs, Innovation and Trade</w:t>
      </w:r>
      <w:r w:rsidR="000D50AE">
        <w:rPr>
          <w:rFonts w:eastAsia="MS Mincho" w:cs="Arial"/>
          <w:szCs w:val="18"/>
        </w:rPr>
        <w:t xml:space="preserve"> </w:t>
      </w:r>
      <w:r w:rsidRPr="00350D38">
        <w:rPr>
          <w:rFonts w:eastAsia="MS Mincho" w:cs="Arial"/>
          <w:szCs w:val="18"/>
        </w:rPr>
        <w:t xml:space="preserve">must set </w:t>
      </w:r>
      <w:r>
        <w:rPr>
          <w:rFonts w:eastAsia="MS Mincho" w:cs="Arial"/>
          <w:szCs w:val="18"/>
        </w:rPr>
        <w:t>local content requirements a</w:t>
      </w:r>
      <w:r w:rsidR="00B37AC5">
        <w:rPr>
          <w:rFonts w:eastAsia="MS Mincho" w:cs="Arial"/>
          <w:szCs w:val="18"/>
        </w:rPr>
        <w:t>t</w:t>
      </w:r>
      <w:r>
        <w:rPr>
          <w:rFonts w:eastAsia="MS Mincho" w:cs="Arial"/>
          <w:szCs w:val="18"/>
        </w:rPr>
        <w:t xml:space="preserve"> no less than:</w:t>
      </w:r>
    </w:p>
    <w:p w14:paraId="68199C1A" w14:textId="77777777" w:rsidR="00FB7FF2" w:rsidRPr="00350D38" w:rsidRDefault="00FB7FF2" w:rsidP="00B97128">
      <w:pPr>
        <w:pBdr>
          <w:top w:val="single" w:sz="4" w:space="1" w:color="auto"/>
          <w:left w:val="single" w:sz="4" w:space="4" w:color="auto"/>
          <w:bottom w:val="single" w:sz="4" w:space="0" w:color="auto"/>
          <w:right w:val="single" w:sz="4" w:space="4" w:color="auto"/>
        </w:pBdr>
        <w:spacing w:before="0" w:after="0"/>
        <w:ind w:left="720"/>
        <w:jc w:val="both"/>
        <w:rPr>
          <w:rFonts w:ascii="Calibri" w:hAnsi="Calibri"/>
          <w:szCs w:val="18"/>
        </w:rPr>
      </w:pPr>
    </w:p>
    <w:p w14:paraId="4C8B5F8D" w14:textId="00242AE2" w:rsidR="007E6417" w:rsidRPr="00350D38" w:rsidRDefault="007E6417" w:rsidP="00B97128">
      <w:pPr>
        <w:pStyle w:val="ListParagraph"/>
        <w:numPr>
          <w:ilvl w:val="0"/>
          <w:numId w:val="9"/>
        </w:numPr>
        <w:pBdr>
          <w:top w:val="single" w:sz="4" w:space="1" w:color="auto"/>
          <w:left w:val="single" w:sz="4" w:space="4" w:color="auto"/>
          <w:bottom w:val="single" w:sz="4" w:space="0" w:color="auto"/>
          <w:right w:val="single" w:sz="4" w:space="4" w:color="auto"/>
        </w:pBdr>
        <w:spacing w:after="200"/>
        <w:ind w:left="1080"/>
        <w:rPr>
          <w:rFonts w:ascii="Arial" w:hAnsi="Arial" w:cs="Arial"/>
          <w:sz w:val="18"/>
          <w:szCs w:val="18"/>
        </w:rPr>
      </w:pPr>
      <w:r w:rsidRPr="00350D38">
        <w:rPr>
          <w:rFonts w:ascii="Arial" w:eastAsia="MS Mincho" w:hAnsi="Arial" w:cs="Arial"/>
          <w:sz w:val="18"/>
          <w:szCs w:val="18"/>
        </w:rPr>
        <w:t>90</w:t>
      </w:r>
      <w:r w:rsidR="000D50AE">
        <w:rPr>
          <w:rFonts w:ascii="Arial" w:eastAsia="MS Mincho" w:hAnsi="Arial" w:cs="Arial"/>
          <w:sz w:val="18"/>
          <w:szCs w:val="18"/>
        </w:rPr>
        <w:t xml:space="preserve"> per cent</w:t>
      </w:r>
      <w:r w:rsidRPr="00350D38">
        <w:rPr>
          <w:rFonts w:ascii="Arial" w:eastAsia="MS Mincho" w:hAnsi="Arial" w:cs="Arial"/>
          <w:sz w:val="18"/>
          <w:szCs w:val="18"/>
        </w:rPr>
        <w:t xml:space="preserve"> for a </w:t>
      </w:r>
      <w:r w:rsidR="00347435">
        <w:rPr>
          <w:rFonts w:ascii="Arial" w:eastAsia="MS Mincho" w:hAnsi="Arial" w:cs="Arial"/>
          <w:sz w:val="18"/>
          <w:szCs w:val="18"/>
        </w:rPr>
        <w:t>S</w:t>
      </w:r>
      <w:r w:rsidRPr="00350D38">
        <w:rPr>
          <w:rFonts w:ascii="Arial" w:eastAsia="MS Mincho" w:hAnsi="Arial" w:cs="Arial"/>
          <w:sz w:val="18"/>
          <w:szCs w:val="18"/>
        </w:rPr>
        <w:t xml:space="preserve">trategic </w:t>
      </w:r>
      <w:r w:rsidR="00347435">
        <w:rPr>
          <w:rFonts w:ascii="Arial" w:eastAsia="MS Mincho" w:hAnsi="Arial" w:cs="Arial"/>
          <w:sz w:val="18"/>
          <w:szCs w:val="18"/>
        </w:rPr>
        <w:t>P</w:t>
      </w:r>
      <w:r w:rsidRPr="00350D38">
        <w:rPr>
          <w:rFonts w:ascii="Arial" w:eastAsia="MS Mincho" w:hAnsi="Arial" w:cs="Arial"/>
          <w:sz w:val="18"/>
          <w:szCs w:val="18"/>
        </w:rPr>
        <w:t>roject that is a construction project</w:t>
      </w:r>
    </w:p>
    <w:p w14:paraId="19DD894E" w14:textId="37102C81" w:rsidR="007E6417" w:rsidRPr="00350D38" w:rsidRDefault="007E6417" w:rsidP="00B97128">
      <w:pPr>
        <w:pStyle w:val="ListParagraph"/>
        <w:numPr>
          <w:ilvl w:val="0"/>
          <w:numId w:val="9"/>
        </w:numPr>
        <w:pBdr>
          <w:top w:val="single" w:sz="4" w:space="1" w:color="auto"/>
          <w:left w:val="single" w:sz="4" w:space="4" w:color="auto"/>
          <w:bottom w:val="single" w:sz="4" w:space="0" w:color="auto"/>
          <w:right w:val="single" w:sz="4" w:space="4" w:color="auto"/>
        </w:pBdr>
        <w:spacing w:after="200"/>
        <w:ind w:left="1080"/>
        <w:rPr>
          <w:rFonts w:ascii="Arial" w:hAnsi="Arial" w:cs="Arial"/>
          <w:sz w:val="18"/>
          <w:szCs w:val="18"/>
        </w:rPr>
      </w:pPr>
      <w:r w:rsidRPr="00350D38">
        <w:rPr>
          <w:rFonts w:ascii="Arial" w:eastAsia="MS Mincho" w:hAnsi="Arial" w:cs="Arial"/>
          <w:sz w:val="18"/>
          <w:szCs w:val="18"/>
        </w:rPr>
        <w:t>80</w:t>
      </w:r>
      <w:r w:rsidR="000D50AE">
        <w:rPr>
          <w:rFonts w:ascii="Arial" w:eastAsia="MS Mincho" w:hAnsi="Arial" w:cs="Arial"/>
          <w:sz w:val="18"/>
          <w:szCs w:val="18"/>
        </w:rPr>
        <w:t xml:space="preserve"> per cent</w:t>
      </w:r>
      <w:r w:rsidRPr="00350D38">
        <w:rPr>
          <w:rFonts w:ascii="Arial" w:eastAsia="MS Mincho" w:hAnsi="Arial" w:cs="Arial"/>
          <w:sz w:val="18"/>
          <w:szCs w:val="18"/>
        </w:rPr>
        <w:t xml:space="preserve"> for a </w:t>
      </w:r>
      <w:r w:rsidR="00347435">
        <w:rPr>
          <w:rFonts w:ascii="Arial" w:eastAsia="MS Mincho" w:hAnsi="Arial" w:cs="Arial"/>
          <w:sz w:val="18"/>
          <w:szCs w:val="18"/>
        </w:rPr>
        <w:t>S</w:t>
      </w:r>
      <w:r w:rsidRPr="00350D38">
        <w:rPr>
          <w:rFonts w:ascii="Arial" w:eastAsia="MS Mincho" w:hAnsi="Arial" w:cs="Arial"/>
          <w:sz w:val="18"/>
          <w:szCs w:val="18"/>
        </w:rPr>
        <w:t xml:space="preserve">trategic </w:t>
      </w:r>
      <w:r w:rsidR="00347435">
        <w:rPr>
          <w:rFonts w:ascii="Arial" w:eastAsia="MS Mincho" w:hAnsi="Arial" w:cs="Arial"/>
          <w:sz w:val="18"/>
          <w:szCs w:val="18"/>
        </w:rPr>
        <w:t>P</w:t>
      </w:r>
      <w:r w:rsidRPr="00350D38">
        <w:rPr>
          <w:rFonts w:ascii="Arial" w:eastAsia="MS Mincho" w:hAnsi="Arial" w:cs="Arial"/>
          <w:sz w:val="18"/>
          <w:szCs w:val="18"/>
        </w:rPr>
        <w:t>roject that is a services or maintenance con</w:t>
      </w:r>
      <w:r>
        <w:rPr>
          <w:rFonts w:ascii="Arial" w:eastAsia="MS Mincho" w:hAnsi="Arial" w:cs="Arial"/>
          <w:sz w:val="18"/>
          <w:szCs w:val="18"/>
        </w:rPr>
        <w:t>tract</w:t>
      </w:r>
    </w:p>
    <w:p w14:paraId="62E92A15" w14:textId="5F525EE8" w:rsidR="007E6417" w:rsidRPr="00350D38" w:rsidRDefault="007E6417" w:rsidP="00B97128">
      <w:pPr>
        <w:pStyle w:val="ListParagraph"/>
        <w:numPr>
          <w:ilvl w:val="0"/>
          <w:numId w:val="9"/>
        </w:numPr>
        <w:pBdr>
          <w:top w:val="single" w:sz="4" w:space="1" w:color="auto"/>
          <w:left w:val="single" w:sz="4" w:space="4" w:color="auto"/>
          <w:bottom w:val="single" w:sz="4" w:space="0" w:color="auto"/>
          <w:right w:val="single" w:sz="4" w:space="4" w:color="auto"/>
        </w:pBdr>
        <w:spacing w:after="200"/>
        <w:ind w:left="1080"/>
        <w:rPr>
          <w:sz w:val="18"/>
          <w:szCs w:val="18"/>
        </w:rPr>
      </w:pPr>
      <w:r w:rsidRPr="00350D38">
        <w:rPr>
          <w:rFonts w:ascii="Arial" w:hAnsi="Arial" w:cs="Arial"/>
          <w:sz w:val="18"/>
          <w:szCs w:val="18"/>
        </w:rPr>
        <w:t>80</w:t>
      </w:r>
      <w:r w:rsidR="000D50AE">
        <w:rPr>
          <w:rFonts w:ascii="Arial" w:hAnsi="Arial" w:cs="Arial"/>
          <w:sz w:val="18"/>
          <w:szCs w:val="18"/>
        </w:rPr>
        <w:t xml:space="preserve"> per cent</w:t>
      </w:r>
      <w:r w:rsidRPr="00350D38">
        <w:rPr>
          <w:rFonts w:ascii="Arial" w:hAnsi="Arial" w:cs="Arial"/>
          <w:sz w:val="18"/>
          <w:szCs w:val="18"/>
        </w:rPr>
        <w:t xml:space="preserve"> for the maintenance or operations phase of a </w:t>
      </w:r>
      <w:r w:rsidR="005738AA">
        <w:rPr>
          <w:rFonts w:ascii="Arial" w:hAnsi="Arial" w:cs="Arial"/>
          <w:sz w:val="18"/>
          <w:szCs w:val="18"/>
        </w:rPr>
        <w:t>S</w:t>
      </w:r>
      <w:r w:rsidRPr="00350D38">
        <w:rPr>
          <w:rFonts w:ascii="Arial" w:hAnsi="Arial" w:cs="Arial"/>
          <w:sz w:val="18"/>
          <w:szCs w:val="18"/>
        </w:rPr>
        <w:t xml:space="preserve">trategic </w:t>
      </w:r>
      <w:r w:rsidR="005738AA">
        <w:rPr>
          <w:rFonts w:ascii="Arial" w:hAnsi="Arial" w:cs="Arial"/>
          <w:sz w:val="18"/>
          <w:szCs w:val="18"/>
        </w:rPr>
        <w:t>P</w:t>
      </w:r>
      <w:r w:rsidRPr="00350D38">
        <w:rPr>
          <w:rFonts w:ascii="Arial" w:hAnsi="Arial" w:cs="Arial"/>
          <w:sz w:val="18"/>
          <w:szCs w:val="18"/>
        </w:rPr>
        <w:t>roject.</w:t>
      </w:r>
    </w:p>
    <w:p w14:paraId="4DD0823C" w14:textId="11ED6081" w:rsidR="007024BF" w:rsidRDefault="007024BF" w:rsidP="00B97128">
      <w:pPr>
        <w:pBdr>
          <w:top w:val="single" w:sz="4" w:space="1" w:color="auto"/>
          <w:left w:val="single" w:sz="4" w:space="4" w:color="auto"/>
          <w:bottom w:val="single" w:sz="4" w:space="0" w:color="auto"/>
          <w:right w:val="single" w:sz="4" w:space="4" w:color="auto"/>
        </w:pBdr>
        <w:spacing w:before="0" w:after="0"/>
        <w:ind w:left="720"/>
        <w:jc w:val="both"/>
        <w:rPr>
          <w:rFonts w:cs="Arial"/>
          <w:szCs w:val="18"/>
        </w:rPr>
      </w:pPr>
      <w:r w:rsidRPr="007024BF">
        <w:rPr>
          <w:rFonts w:cs="Arial"/>
          <w:szCs w:val="18"/>
        </w:rPr>
        <w:t xml:space="preserve">Section 7C provides that the MPSG applies to </w:t>
      </w:r>
      <w:r w:rsidR="0061776F">
        <w:rPr>
          <w:rFonts w:cs="Arial"/>
          <w:szCs w:val="18"/>
        </w:rPr>
        <w:t>S</w:t>
      </w:r>
      <w:r w:rsidRPr="007024BF">
        <w:rPr>
          <w:rFonts w:cs="Arial"/>
          <w:szCs w:val="18"/>
        </w:rPr>
        <w:t xml:space="preserve">tandard </w:t>
      </w:r>
      <w:r w:rsidR="0061776F">
        <w:rPr>
          <w:rFonts w:cs="Arial"/>
          <w:szCs w:val="18"/>
        </w:rPr>
        <w:t>P</w:t>
      </w:r>
      <w:r w:rsidRPr="007024BF">
        <w:rPr>
          <w:rFonts w:cs="Arial"/>
          <w:szCs w:val="18"/>
        </w:rPr>
        <w:t xml:space="preserve">rojects that are construction projects with a budget of $20 million or more and </w:t>
      </w:r>
      <w:r w:rsidR="005738AA">
        <w:rPr>
          <w:rFonts w:cs="Arial"/>
          <w:szCs w:val="18"/>
        </w:rPr>
        <w:t>S</w:t>
      </w:r>
      <w:r w:rsidRPr="007024BF">
        <w:rPr>
          <w:rFonts w:cs="Arial"/>
          <w:szCs w:val="18"/>
        </w:rPr>
        <w:t xml:space="preserve">trategic </w:t>
      </w:r>
      <w:r w:rsidR="005738AA">
        <w:rPr>
          <w:rFonts w:cs="Arial"/>
          <w:szCs w:val="18"/>
        </w:rPr>
        <w:t>P</w:t>
      </w:r>
      <w:r w:rsidRPr="007024BF">
        <w:rPr>
          <w:rFonts w:cs="Arial"/>
          <w:szCs w:val="18"/>
        </w:rPr>
        <w:t>rojects that are construction projects</w:t>
      </w:r>
      <w:r>
        <w:rPr>
          <w:rFonts w:cs="Arial"/>
          <w:szCs w:val="18"/>
        </w:rPr>
        <w:t>.</w:t>
      </w:r>
    </w:p>
    <w:p w14:paraId="32B5786C" w14:textId="77777777" w:rsidR="007024BF" w:rsidRDefault="007024BF" w:rsidP="00B97128">
      <w:pPr>
        <w:pBdr>
          <w:top w:val="single" w:sz="4" w:space="1" w:color="auto"/>
          <w:left w:val="single" w:sz="4" w:space="4" w:color="auto"/>
          <w:bottom w:val="single" w:sz="4" w:space="0" w:color="auto"/>
          <w:right w:val="single" w:sz="4" w:space="4" w:color="auto"/>
        </w:pBdr>
        <w:spacing w:before="0" w:after="0"/>
        <w:ind w:left="720"/>
        <w:jc w:val="both"/>
        <w:rPr>
          <w:rFonts w:cs="Arial"/>
          <w:szCs w:val="18"/>
        </w:rPr>
      </w:pPr>
    </w:p>
    <w:p w14:paraId="2600630A" w14:textId="7E6F98EA" w:rsidR="007E6417" w:rsidRPr="001C767B" w:rsidRDefault="007E6417" w:rsidP="00B97128">
      <w:pPr>
        <w:pBdr>
          <w:top w:val="single" w:sz="4" w:space="1" w:color="auto"/>
          <w:left w:val="single" w:sz="4" w:space="4" w:color="auto"/>
          <w:bottom w:val="single" w:sz="4" w:space="0" w:color="auto"/>
          <w:right w:val="single" w:sz="4" w:space="4" w:color="auto"/>
        </w:pBdr>
        <w:spacing w:before="0" w:after="0"/>
        <w:ind w:left="720"/>
        <w:jc w:val="both"/>
        <w:rPr>
          <w:rFonts w:cs="Arial"/>
          <w:szCs w:val="18"/>
        </w:rPr>
      </w:pPr>
      <w:r w:rsidRPr="001C767B">
        <w:rPr>
          <w:rFonts w:cs="Arial"/>
          <w:szCs w:val="18"/>
        </w:rPr>
        <w:t xml:space="preserve">The </w:t>
      </w:r>
      <w:r>
        <w:rPr>
          <w:rFonts w:cs="Arial"/>
          <w:szCs w:val="18"/>
        </w:rPr>
        <w:t xml:space="preserve">Act also </w:t>
      </w:r>
      <w:r w:rsidRPr="001C767B">
        <w:rPr>
          <w:rFonts w:cs="Arial"/>
          <w:szCs w:val="18"/>
        </w:rPr>
        <w:t>provides that the Minister</w:t>
      </w:r>
      <w:r w:rsidR="000D50AE">
        <w:rPr>
          <w:rFonts w:cs="Arial"/>
          <w:szCs w:val="18"/>
        </w:rPr>
        <w:t xml:space="preserve"> for Jobs, Innovation and Trade</w:t>
      </w:r>
      <w:r w:rsidRPr="001C767B">
        <w:rPr>
          <w:rFonts w:cs="Arial"/>
          <w:szCs w:val="18"/>
        </w:rPr>
        <w:t xml:space="preserve"> may determine other matters relating to </w:t>
      </w:r>
      <w:r>
        <w:rPr>
          <w:rFonts w:cs="Arial"/>
          <w:szCs w:val="18"/>
        </w:rPr>
        <w:t>S</w:t>
      </w:r>
      <w:r w:rsidRPr="001C767B">
        <w:rPr>
          <w:rFonts w:cs="Arial"/>
          <w:szCs w:val="18"/>
        </w:rPr>
        <w:t xml:space="preserve">trategic </w:t>
      </w:r>
      <w:r>
        <w:rPr>
          <w:rFonts w:cs="Arial"/>
          <w:szCs w:val="18"/>
        </w:rPr>
        <w:t>P</w:t>
      </w:r>
      <w:r w:rsidRPr="001C767B">
        <w:rPr>
          <w:rFonts w:cs="Arial"/>
          <w:szCs w:val="18"/>
        </w:rPr>
        <w:t>roject</w:t>
      </w:r>
      <w:r>
        <w:rPr>
          <w:rFonts w:cs="Arial"/>
          <w:szCs w:val="18"/>
        </w:rPr>
        <w:t>s, including but not limited to:</w:t>
      </w:r>
    </w:p>
    <w:p w14:paraId="77E43053" w14:textId="77777777" w:rsidR="007E6417" w:rsidRPr="007E6417" w:rsidRDefault="007E6417" w:rsidP="00B97128">
      <w:pPr>
        <w:pStyle w:val="ListParagraph"/>
        <w:numPr>
          <w:ilvl w:val="0"/>
          <w:numId w:val="9"/>
        </w:numPr>
        <w:pBdr>
          <w:top w:val="single" w:sz="4" w:space="1" w:color="auto"/>
          <w:left w:val="single" w:sz="4" w:space="4" w:color="auto"/>
          <w:bottom w:val="single" w:sz="4" w:space="0" w:color="auto"/>
          <w:right w:val="single" w:sz="4" w:space="4" w:color="auto"/>
        </w:pBdr>
        <w:spacing w:after="200"/>
        <w:ind w:left="1080"/>
        <w:rPr>
          <w:rFonts w:ascii="Arial" w:eastAsia="MS Mincho" w:hAnsi="Arial" w:cs="Arial"/>
          <w:sz w:val="18"/>
          <w:szCs w:val="18"/>
        </w:rPr>
      </w:pPr>
      <w:r w:rsidRPr="001C767B">
        <w:rPr>
          <w:rFonts w:asciiTheme="minorHAnsi" w:hAnsiTheme="minorHAnsi" w:cstheme="minorHAnsi"/>
          <w:sz w:val="18"/>
          <w:szCs w:val="18"/>
        </w:rPr>
        <w:t xml:space="preserve">requirements to </w:t>
      </w:r>
      <w:r w:rsidRPr="007E6417">
        <w:rPr>
          <w:rFonts w:ascii="Arial" w:eastAsia="MS Mincho" w:hAnsi="Arial" w:cs="Arial"/>
          <w:sz w:val="18"/>
          <w:szCs w:val="18"/>
        </w:rPr>
        <w:t>maximise</w:t>
      </w:r>
      <w:r>
        <w:rPr>
          <w:rFonts w:ascii="Arial" w:eastAsia="MS Mincho" w:hAnsi="Arial" w:cs="Arial"/>
          <w:sz w:val="18"/>
          <w:szCs w:val="18"/>
        </w:rPr>
        <w:t xml:space="preserve"> or specify</w:t>
      </w:r>
      <w:r w:rsidRPr="007E6417">
        <w:rPr>
          <w:rFonts w:ascii="Arial" w:eastAsia="MS Mincho" w:hAnsi="Arial" w:cs="Arial"/>
          <w:sz w:val="18"/>
          <w:szCs w:val="18"/>
        </w:rPr>
        <w:t xml:space="preserve"> the use of steel products produced by local i</w:t>
      </w:r>
      <w:r>
        <w:rPr>
          <w:rFonts w:ascii="Arial" w:eastAsia="MS Mincho" w:hAnsi="Arial" w:cs="Arial"/>
          <w:sz w:val="18"/>
          <w:szCs w:val="18"/>
        </w:rPr>
        <w:t>ndustry</w:t>
      </w:r>
    </w:p>
    <w:p w14:paraId="081EDB1D" w14:textId="77777777" w:rsidR="007E6417" w:rsidRPr="007E6417" w:rsidRDefault="007E6417" w:rsidP="00B97128">
      <w:pPr>
        <w:pStyle w:val="ListParagraph"/>
        <w:numPr>
          <w:ilvl w:val="0"/>
          <w:numId w:val="9"/>
        </w:numPr>
        <w:pBdr>
          <w:top w:val="single" w:sz="4" w:space="1" w:color="auto"/>
          <w:left w:val="single" w:sz="4" w:space="4" w:color="auto"/>
          <w:bottom w:val="single" w:sz="4" w:space="0" w:color="auto"/>
          <w:right w:val="single" w:sz="4" w:space="4" w:color="auto"/>
        </w:pBdr>
        <w:spacing w:after="200"/>
        <w:ind w:left="1080"/>
        <w:rPr>
          <w:rFonts w:ascii="Arial" w:eastAsia="MS Mincho" w:hAnsi="Arial" w:cs="Arial"/>
          <w:sz w:val="18"/>
          <w:szCs w:val="18"/>
        </w:rPr>
      </w:pPr>
      <w:r w:rsidRPr="007E6417">
        <w:rPr>
          <w:rFonts w:ascii="Arial" w:eastAsia="MS Mincho" w:hAnsi="Arial" w:cs="Arial"/>
          <w:sz w:val="18"/>
          <w:szCs w:val="18"/>
        </w:rPr>
        <w:t>requirements to maximise the use of uniform and personal protective equip</w:t>
      </w:r>
      <w:r>
        <w:rPr>
          <w:rFonts w:ascii="Arial" w:eastAsia="MS Mincho" w:hAnsi="Arial" w:cs="Arial"/>
          <w:sz w:val="18"/>
          <w:szCs w:val="18"/>
        </w:rPr>
        <w:t>ment</w:t>
      </w:r>
      <w:r w:rsidR="0024302C">
        <w:rPr>
          <w:rFonts w:ascii="Arial" w:eastAsia="MS Mincho" w:hAnsi="Arial" w:cs="Arial"/>
          <w:sz w:val="18"/>
          <w:szCs w:val="18"/>
        </w:rPr>
        <w:t xml:space="preserve"> (PPE)</w:t>
      </w:r>
      <w:r>
        <w:rPr>
          <w:rFonts w:ascii="Arial" w:eastAsia="MS Mincho" w:hAnsi="Arial" w:cs="Arial"/>
          <w:sz w:val="18"/>
          <w:szCs w:val="18"/>
        </w:rPr>
        <w:t xml:space="preserve"> produced by local industry</w:t>
      </w:r>
    </w:p>
    <w:p w14:paraId="22C89DDC" w14:textId="77777777" w:rsidR="007E6417" w:rsidRPr="007E6417" w:rsidRDefault="007E6417" w:rsidP="00B97128">
      <w:pPr>
        <w:pStyle w:val="ListParagraph"/>
        <w:numPr>
          <w:ilvl w:val="0"/>
          <w:numId w:val="9"/>
        </w:numPr>
        <w:pBdr>
          <w:top w:val="single" w:sz="4" w:space="1" w:color="auto"/>
          <w:left w:val="single" w:sz="4" w:space="4" w:color="auto"/>
          <w:bottom w:val="single" w:sz="4" w:space="0" w:color="auto"/>
          <w:right w:val="single" w:sz="4" w:space="4" w:color="auto"/>
        </w:pBdr>
        <w:spacing w:after="200"/>
        <w:ind w:left="1080"/>
        <w:rPr>
          <w:rFonts w:ascii="Arial" w:eastAsia="MS Mincho" w:hAnsi="Arial" w:cs="Arial"/>
          <w:sz w:val="18"/>
          <w:szCs w:val="18"/>
        </w:rPr>
      </w:pPr>
      <w:r w:rsidRPr="007E6417">
        <w:rPr>
          <w:rFonts w:ascii="Arial" w:eastAsia="MS Mincho" w:hAnsi="Arial" w:cs="Arial"/>
          <w:sz w:val="18"/>
          <w:szCs w:val="18"/>
        </w:rPr>
        <w:t>any other requirements or conditions.</w:t>
      </w:r>
    </w:p>
    <w:bookmarkEnd w:id="47"/>
    <w:p w14:paraId="055CCEDA" w14:textId="0A9D4B9C" w:rsidR="00015FE1" w:rsidRDefault="007E6417" w:rsidP="001D4767">
      <w:pPr>
        <w:numPr>
          <w:ilvl w:val="0"/>
          <w:numId w:val="15"/>
        </w:numPr>
        <w:spacing w:before="0"/>
        <w:jc w:val="both"/>
        <w:rPr>
          <w:rFonts w:cs="Arial"/>
        </w:rPr>
      </w:pPr>
      <w:r>
        <w:rPr>
          <w:rFonts w:cs="Arial"/>
        </w:rPr>
        <w:t xml:space="preserve">Before proceeding with a project, the agency must contact </w:t>
      </w:r>
      <w:r w:rsidR="00527253">
        <w:rPr>
          <w:rFonts w:cs="Arial"/>
        </w:rPr>
        <w:t>DJPR</w:t>
      </w:r>
      <w:r>
        <w:rPr>
          <w:rFonts w:cs="Arial"/>
        </w:rPr>
        <w:t xml:space="preserve"> to confirm the process for setting local content requirements for the specific project.</w:t>
      </w:r>
    </w:p>
    <w:p w14:paraId="54783113" w14:textId="3CCB799B" w:rsidR="007E6417" w:rsidRPr="00012198" w:rsidRDefault="00527253" w:rsidP="001D4767">
      <w:pPr>
        <w:numPr>
          <w:ilvl w:val="0"/>
          <w:numId w:val="15"/>
        </w:numPr>
        <w:spacing w:before="0"/>
        <w:jc w:val="both"/>
        <w:rPr>
          <w:rFonts w:cs="Arial"/>
        </w:rPr>
      </w:pPr>
      <w:r>
        <w:rPr>
          <w:rFonts w:cs="Arial"/>
        </w:rPr>
        <w:t>DJPR</w:t>
      </w:r>
      <w:r w:rsidR="00653F74">
        <w:rPr>
          <w:rFonts w:cs="Arial"/>
        </w:rPr>
        <w:t xml:space="preserve"> </w:t>
      </w:r>
      <w:r w:rsidR="007E6417">
        <w:rPr>
          <w:rFonts w:cs="Arial"/>
        </w:rPr>
        <w:t xml:space="preserve">will confirm a </w:t>
      </w:r>
      <w:r w:rsidR="00154A90">
        <w:rPr>
          <w:rFonts w:cs="Arial"/>
        </w:rPr>
        <w:t xml:space="preserve">Strategic Project Framework must be </w:t>
      </w:r>
      <w:r w:rsidR="007E6417" w:rsidRPr="00012198">
        <w:rPr>
          <w:rFonts w:cs="Arial"/>
        </w:rPr>
        <w:t xml:space="preserve">conducted by the ICN. </w:t>
      </w:r>
    </w:p>
    <w:p w14:paraId="21FF825E" w14:textId="077778F7" w:rsidR="00373787" w:rsidRPr="00012198" w:rsidRDefault="001F6FFF" w:rsidP="001D4767">
      <w:pPr>
        <w:numPr>
          <w:ilvl w:val="0"/>
          <w:numId w:val="15"/>
        </w:numPr>
        <w:spacing w:before="0"/>
        <w:jc w:val="both"/>
        <w:rPr>
          <w:rFonts w:cs="Arial"/>
        </w:rPr>
      </w:pPr>
      <w:r w:rsidRPr="00012198">
        <w:rPr>
          <w:rFonts w:cs="Arial"/>
        </w:rPr>
        <w:lastRenderedPageBreak/>
        <w:t>If</w:t>
      </w:r>
      <w:r w:rsidR="009049C4">
        <w:rPr>
          <w:rFonts w:cs="Arial"/>
        </w:rPr>
        <w:t xml:space="preserve"> </w:t>
      </w:r>
      <w:r w:rsidR="00527253">
        <w:rPr>
          <w:rFonts w:cs="Arial"/>
        </w:rPr>
        <w:t>DJPR</w:t>
      </w:r>
      <w:r w:rsidR="000D50AE">
        <w:rPr>
          <w:rFonts w:cs="Arial"/>
        </w:rPr>
        <w:t xml:space="preserve"> </w:t>
      </w:r>
      <w:r w:rsidR="00373787" w:rsidRPr="00012198">
        <w:rPr>
          <w:rFonts w:cs="Arial"/>
        </w:rPr>
        <w:t xml:space="preserve">confirms that a </w:t>
      </w:r>
      <w:r w:rsidR="00154A90" w:rsidRPr="00154A90">
        <w:rPr>
          <w:rFonts w:cs="Arial"/>
        </w:rPr>
        <w:t xml:space="preserve">Strategic Project Framework </w:t>
      </w:r>
      <w:r w:rsidRPr="00012198">
        <w:rPr>
          <w:rFonts w:cs="Arial"/>
        </w:rPr>
        <w:t xml:space="preserve">is not required, and </w:t>
      </w:r>
      <w:r w:rsidR="00373787" w:rsidRPr="00012198">
        <w:rPr>
          <w:rFonts w:cs="Arial"/>
        </w:rPr>
        <w:t xml:space="preserve">that </w:t>
      </w:r>
      <w:r w:rsidRPr="00012198">
        <w:rPr>
          <w:rFonts w:cs="Arial"/>
        </w:rPr>
        <w:t>the minimum specified in the Act or otherwise agreed with the agency</w:t>
      </w:r>
      <w:r w:rsidR="00373787" w:rsidRPr="00012198">
        <w:rPr>
          <w:rFonts w:cs="Arial"/>
        </w:rPr>
        <w:t xml:space="preserve"> is to be set</w:t>
      </w:r>
      <w:r w:rsidRPr="00012198">
        <w:rPr>
          <w:rFonts w:cs="Arial"/>
        </w:rPr>
        <w:t xml:space="preserve">, </w:t>
      </w:r>
      <w:r w:rsidR="00527253">
        <w:rPr>
          <w:rFonts w:cs="Arial"/>
        </w:rPr>
        <w:t>DJPR</w:t>
      </w:r>
      <w:r w:rsidRPr="00012198">
        <w:rPr>
          <w:rFonts w:cs="Arial"/>
        </w:rPr>
        <w:t xml:space="preserve"> will make a recommendation to the </w:t>
      </w:r>
      <w:r w:rsidR="00DC51CA">
        <w:rPr>
          <w:rFonts w:cs="Arial"/>
        </w:rPr>
        <w:t xml:space="preserve">Minister for Jobs, Innovation and Trade. </w:t>
      </w:r>
    </w:p>
    <w:p w14:paraId="6239092B" w14:textId="633639CE" w:rsidR="007E6417" w:rsidRPr="0024377E" w:rsidRDefault="009049C4" w:rsidP="001D4767">
      <w:pPr>
        <w:numPr>
          <w:ilvl w:val="0"/>
          <w:numId w:val="15"/>
        </w:numPr>
        <w:spacing w:before="0"/>
        <w:jc w:val="both"/>
        <w:rPr>
          <w:rFonts w:cs="Arial"/>
        </w:rPr>
      </w:pPr>
      <w:r>
        <w:rPr>
          <w:rFonts w:cs="Arial"/>
          <w:szCs w:val="18"/>
        </w:rPr>
        <w:t>Otherwise, D</w:t>
      </w:r>
      <w:r w:rsidR="00527253">
        <w:rPr>
          <w:rFonts w:cs="Arial"/>
          <w:szCs w:val="18"/>
        </w:rPr>
        <w:t>JPR</w:t>
      </w:r>
      <w:r w:rsidR="000D50AE">
        <w:rPr>
          <w:rFonts w:cs="Arial"/>
          <w:szCs w:val="18"/>
        </w:rPr>
        <w:t xml:space="preserve"> </w:t>
      </w:r>
      <w:r w:rsidR="00373787">
        <w:rPr>
          <w:rFonts w:cs="Arial"/>
          <w:szCs w:val="18"/>
        </w:rPr>
        <w:t xml:space="preserve">confirms that </w:t>
      </w:r>
      <w:r w:rsidR="007E6417">
        <w:rPr>
          <w:rFonts w:cs="Arial"/>
          <w:szCs w:val="18"/>
        </w:rPr>
        <w:t xml:space="preserve">a </w:t>
      </w:r>
      <w:r w:rsidR="003C1144">
        <w:rPr>
          <w:rFonts w:cs="Arial"/>
          <w:szCs w:val="18"/>
        </w:rPr>
        <w:t>Strategic Project Framework</w:t>
      </w:r>
      <w:r w:rsidR="00154A90">
        <w:rPr>
          <w:rFonts w:cs="Arial"/>
          <w:szCs w:val="18"/>
        </w:rPr>
        <w:t xml:space="preserve"> </w:t>
      </w:r>
      <w:r w:rsidR="007E6417">
        <w:rPr>
          <w:rFonts w:cs="Arial"/>
          <w:szCs w:val="18"/>
        </w:rPr>
        <w:t>is required</w:t>
      </w:r>
      <w:r>
        <w:rPr>
          <w:rFonts w:cs="Arial"/>
          <w:szCs w:val="18"/>
        </w:rPr>
        <w:t>. T</w:t>
      </w:r>
      <w:r w:rsidR="001F6FFF">
        <w:rPr>
          <w:rFonts w:cs="Arial"/>
          <w:szCs w:val="18"/>
        </w:rPr>
        <w:t xml:space="preserve">he agency </w:t>
      </w:r>
      <w:r>
        <w:rPr>
          <w:rFonts w:cs="Arial"/>
          <w:szCs w:val="18"/>
        </w:rPr>
        <w:t xml:space="preserve">then </w:t>
      </w:r>
      <w:r w:rsidR="001F6FFF">
        <w:rPr>
          <w:rFonts w:cs="Arial"/>
          <w:szCs w:val="18"/>
        </w:rPr>
        <w:t>provide</w:t>
      </w:r>
      <w:r>
        <w:rPr>
          <w:rFonts w:cs="Arial"/>
          <w:szCs w:val="18"/>
        </w:rPr>
        <w:t>s</w:t>
      </w:r>
      <w:r w:rsidR="001F6FFF">
        <w:rPr>
          <w:rFonts w:cs="Arial"/>
          <w:szCs w:val="18"/>
        </w:rPr>
        <w:t xml:space="preserve"> the </w:t>
      </w:r>
      <w:r w:rsidR="007E6417" w:rsidRPr="00350D38">
        <w:rPr>
          <w:rFonts w:cs="Arial"/>
          <w:szCs w:val="18"/>
        </w:rPr>
        <w:t xml:space="preserve">ICN </w:t>
      </w:r>
      <w:r w:rsidR="001F6FFF">
        <w:rPr>
          <w:rFonts w:cs="Arial"/>
          <w:szCs w:val="18"/>
        </w:rPr>
        <w:t xml:space="preserve">with available </w:t>
      </w:r>
      <w:r w:rsidR="007E6417" w:rsidRPr="00350D38">
        <w:rPr>
          <w:rFonts w:cs="Arial"/>
          <w:szCs w:val="18"/>
        </w:rPr>
        <w:t>project specifications</w:t>
      </w:r>
      <w:r w:rsidR="001F6FFF">
        <w:rPr>
          <w:rFonts w:cs="Arial"/>
          <w:szCs w:val="18"/>
        </w:rPr>
        <w:t xml:space="preserve">, with </w:t>
      </w:r>
      <w:r w:rsidR="000D2B9D">
        <w:rPr>
          <w:rFonts w:cs="Arial"/>
          <w:szCs w:val="18"/>
        </w:rPr>
        <w:t xml:space="preserve">the </w:t>
      </w:r>
      <w:r w:rsidR="001F6FFF">
        <w:rPr>
          <w:rFonts w:cs="Arial"/>
          <w:szCs w:val="18"/>
        </w:rPr>
        <w:t>ICN to d</w:t>
      </w:r>
      <w:r w:rsidR="007E6417" w:rsidRPr="00350D38">
        <w:rPr>
          <w:rFonts w:cs="Arial"/>
          <w:szCs w:val="18"/>
        </w:rPr>
        <w:t>etermine contestable items and capable local suppliers.</w:t>
      </w:r>
    </w:p>
    <w:p w14:paraId="4121993A" w14:textId="75D3B635" w:rsidR="00015FE1" w:rsidRDefault="001F6FFF" w:rsidP="001D4767">
      <w:pPr>
        <w:numPr>
          <w:ilvl w:val="0"/>
          <w:numId w:val="15"/>
        </w:numPr>
        <w:spacing w:before="0"/>
        <w:jc w:val="both"/>
        <w:rPr>
          <w:rFonts w:cs="Arial"/>
          <w:szCs w:val="18"/>
        </w:rPr>
      </w:pPr>
      <w:r>
        <w:rPr>
          <w:rFonts w:cs="Arial"/>
          <w:szCs w:val="18"/>
        </w:rPr>
        <w:t>T</w:t>
      </w:r>
      <w:r w:rsidR="007E6417" w:rsidRPr="00350D38">
        <w:rPr>
          <w:rFonts w:cs="Arial"/>
          <w:szCs w:val="18"/>
        </w:rPr>
        <w:t xml:space="preserve">he ICN will provide a detailed </w:t>
      </w:r>
      <w:r w:rsidR="00AF705E">
        <w:rPr>
          <w:rFonts w:cs="Arial"/>
          <w:szCs w:val="18"/>
        </w:rPr>
        <w:t xml:space="preserve">Strategic Project Framework, which includes a </w:t>
      </w:r>
      <w:r w:rsidR="00D305DC">
        <w:rPr>
          <w:rFonts w:cs="Arial"/>
          <w:szCs w:val="18"/>
        </w:rPr>
        <w:t>c</w:t>
      </w:r>
      <w:r w:rsidR="002138FB">
        <w:rPr>
          <w:rFonts w:cs="Arial"/>
          <w:szCs w:val="18"/>
        </w:rPr>
        <w:t>ontestability assessment</w:t>
      </w:r>
      <w:r w:rsidR="009049C4">
        <w:rPr>
          <w:rFonts w:cs="Arial"/>
          <w:szCs w:val="18"/>
        </w:rPr>
        <w:t xml:space="preserve"> and </w:t>
      </w:r>
      <w:r w:rsidR="007E6417" w:rsidRPr="00350D38">
        <w:rPr>
          <w:rFonts w:cs="Arial"/>
          <w:szCs w:val="18"/>
        </w:rPr>
        <w:t>recommended minimum local content requirement</w:t>
      </w:r>
      <w:r>
        <w:rPr>
          <w:rFonts w:cs="Arial"/>
          <w:szCs w:val="18"/>
        </w:rPr>
        <w:t>s</w:t>
      </w:r>
      <w:r w:rsidR="007E6417">
        <w:rPr>
          <w:rFonts w:cs="Arial"/>
          <w:szCs w:val="18"/>
        </w:rPr>
        <w:t xml:space="preserve"> to </w:t>
      </w:r>
      <w:r w:rsidR="00527253">
        <w:rPr>
          <w:rFonts w:cs="Arial"/>
          <w:szCs w:val="18"/>
        </w:rPr>
        <w:t>DJPR</w:t>
      </w:r>
      <w:r w:rsidR="000D50AE">
        <w:rPr>
          <w:rFonts w:cs="Arial"/>
          <w:szCs w:val="18"/>
        </w:rPr>
        <w:t>.</w:t>
      </w:r>
      <w:r w:rsidR="001D7C85">
        <w:rPr>
          <w:rFonts w:cs="Arial"/>
          <w:szCs w:val="18"/>
        </w:rPr>
        <w:t xml:space="preserve"> </w:t>
      </w:r>
    </w:p>
    <w:p w14:paraId="41002168" w14:textId="7373BF64" w:rsidR="00015FE1" w:rsidRPr="00350D38" w:rsidRDefault="00527253" w:rsidP="001D4767">
      <w:pPr>
        <w:numPr>
          <w:ilvl w:val="0"/>
          <w:numId w:val="15"/>
        </w:numPr>
        <w:spacing w:before="0"/>
        <w:jc w:val="both"/>
        <w:rPr>
          <w:rFonts w:ascii="Calibri" w:hAnsi="Calibri"/>
          <w:szCs w:val="18"/>
        </w:rPr>
      </w:pPr>
      <w:r>
        <w:rPr>
          <w:rFonts w:cs="Arial"/>
          <w:szCs w:val="18"/>
        </w:rPr>
        <w:t>DJPR</w:t>
      </w:r>
      <w:r w:rsidR="00015FE1">
        <w:rPr>
          <w:rFonts w:cs="Arial"/>
          <w:szCs w:val="18"/>
        </w:rPr>
        <w:t xml:space="preserve"> will consider the </w:t>
      </w:r>
      <w:r w:rsidR="001F6FFF">
        <w:rPr>
          <w:rFonts w:cs="Arial"/>
          <w:szCs w:val="18"/>
        </w:rPr>
        <w:t xml:space="preserve">ICN </w:t>
      </w:r>
      <w:r w:rsidR="00015FE1">
        <w:rPr>
          <w:rFonts w:cs="Arial"/>
          <w:szCs w:val="18"/>
        </w:rPr>
        <w:t xml:space="preserve">assessment </w:t>
      </w:r>
      <w:r w:rsidR="007E6417">
        <w:rPr>
          <w:rFonts w:cs="Arial"/>
          <w:szCs w:val="18"/>
        </w:rPr>
        <w:t xml:space="preserve">and </w:t>
      </w:r>
      <w:r w:rsidR="001F6FFF">
        <w:rPr>
          <w:rFonts w:cs="Arial"/>
          <w:szCs w:val="18"/>
        </w:rPr>
        <w:t>consult with the agency on the recommended minimum local content requirements.</w:t>
      </w:r>
    </w:p>
    <w:p w14:paraId="3D0E7CBB" w14:textId="3BD088E1" w:rsidR="001F6FFF" w:rsidRDefault="00350D38" w:rsidP="001D4767">
      <w:pPr>
        <w:numPr>
          <w:ilvl w:val="0"/>
          <w:numId w:val="15"/>
        </w:numPr>
        <w:spacing w:before="0"/>
        <w:jc w:val="both"/>
        <w:rPr>
          <w:rFonts w:cs="Arial"/>
          <w:szCs w:val="18"/>
        </w:rPr>
      </w:pPr>
      <w:r w:rsidRPr="00350D38">
        <w:rPr>
          <w:rFonts w:cs="Arial"/>
          <w:szCs w:val="18"/>
        </w:rPr>
        <w:t>The minimum local content requirement</w:t>
      </w:r>
      <w:r w:rsidR="001F6FFF">
        <w:rPr>
          <w:rFonts w:cs="Arial"/>
          <w:szCs w:val="18"/>
        </w:rPr>
        <w:t>s</w:t>
      </w:r>
      <w:r w:rsidRPr="00350D38">
        <w:rPr>
          <w:rFonts w:cs="Arial"/>
          <w:szCs w:val="18"/>
        </w:rPr>
        <w:t xml:space="preserve"> </w:t>
      </w:r>
      <w:r w:rsidR="001F6FFF">
        <w:rPr>
          <w:rFonts w:cs="Arial"/>
          <w:szCs w:val="18"/>
        </w:rPr>
        <w:t xml:space="preserve">must be agreed by the </w:t>
      </w:r>
      <w:r w:rsidRPr="00350D38">
        <w:rPr>
          <w:rFonts w:cs="Arial"/>
          <w:szCs w:val="18"/>
        </w:rPr>
        <w:t>Minister</w:t>
      </w:r>
      <w:r w:rsidR="00DC72CB">
        <w:rPr>
          <w:rFonts w:cs="Arial"/>
          <w:szCs w:val="18"/>
        </w:rPr>
        <w:t xml:space="preserve"> </w:t>
      </w:r>
      <w:r w:rsidR="00A64C6E">
        <w:rPr>
          <w:rFonts w:cs="Arial"/>
          <w:szCs w:val="18"/>
        </w:rPr>
        <w:t xml:space="preserve">for Jobs, </w:t>
      </w:r>
      <w:r w:rsidR="00DC72CB">
        <w:rPr>
          <w:rFonts w:cs="Arial"/>
          <w:szCs w:val="18"/>
        </w:rPr>
        <w:t>Innovation</w:t>
      </w:r>
      <w:r w:rsidR="00A64C6E">
        <w:rPr>
          <w:rFonts w:cs="Arial"/>
          <w:szCs w:val="18"/>
        </w:rPr>
        <w:t xml:space="preserve"> and Trade</w:t>
      </w:r>
      <w:r w:rsidR="001F6FFF">
        <w:rPr>
          <w:rFonts w:cs="Arial"/>
          <w:szCs w:val="18"/>
        </w:rPr>
        <w:t xml:space="preserve">, </w:t>
      </w:r>
      <w:r w:rsidR="006F588D">
        <w:rPr>
          <w:rFonts w:cs="Arial"/>
          <w:szCs w:val="18"/>
        </w:rPr>
        <w:t>before</w:t>
      </w:r>
      <w:r w:rsidR="001F6FFF">
        <w:rPr>
          <w:rFonts w:cs="Arial"/>
          <w:szCs w:val="18"/>
        </w:rPr>
        <w:t xml:space="preserve"> inclusion in project documents released to market. </w:t>
      </w:r>
      <w:r w:rsidR="00527253">
        <w:rPr>
          <w:rFonts w:cs="Arial"/>
          <w:szCs w:val="18"/>
        </w:rPr>
        <w:t>DJPR</w:t>
      </w:r>
      <w:r w:rsidR="00AF5054">
        <w:rPr>
          <w:rFonts w:cs="Arial"/>
          <w:szCs w:val="18"/>
        </w:rPr>
        <w:t xml:space="preserve"> is responsible for briefing the </w:t>
      </w:r>
      <w:r w:rsidR="0078155E">
        <w:rPr>
          <w:rFonts w:cs="Arial"/>
          <w:szCs w:val="18"/>
        </w:rPr>
        <w:t xml:space="preserve">Minister. The process of </w:t>
      </w:r>
      <w:r w:rsidR="00C416AF">
        <w:rPr>
          <w:rFonts w:cs="Arial"/>
          <w:szCs w:val="18"/>
        </w:rPr>
        <w:t>preparing</w:t>
      </w:r>
      <w:r w:rsidR="0078155E">
        <w:rPr>
          <w:rFonts w:cs="Arial"/>
          <w:szCs w:val="18"/>
        </w:rPr>
        <w:t xml:space="preserve"> the brief and having it agreed to </w:t>
      </w:r>
      <w:r w:rsidR="007465AF">
        <w:rPr>
          <w:rFonts w:cs="Arial"/>
          <w:szCs w:val="18"/>
        </w:rPr>
        <w:t xml:space="preserve">by </w:t>
      </w:r>
      <w:r w:rsidR="0078155E">
        <w:rPr>
          <w:rFonts w:cs="Arial"/>
          <w:szCs w:val="18"/>
        </w:rPr>
        <w:t xml:space="preserve">the Minister </w:t>
      </w:r>
      <w:r w:rsidR="008A78B4">
        <w:rPr>
          <w:rFonts w:cs="Arial"/>
          <w:szCs w:val="18"/>
        </w:rPr>
        <w:t>takes a minimum of</w:t>
      </w:r>
      <w:r w:rsidR="0078155E">
        <w:rPr>
          <w:rFonts w:cs="Arial"/>
          <w:szCs w:val="18"/>
        </w:rPr>
        <w:t xml:space="preserve"> </w:t>
      </w:r>
      <w:r w:rsidR="00C416AF">
        <w:rPr>
          <w:rFonts w:cs="Arial"/>
          <w:szCs w:val="18"/>
        </w:rPr>
        <w:t xml:space="preserve">two weeks. </w:t>
      </w:r>
      <w:r w:rsidR="004179A8">
        <w:rPr>
          <w:rFonts w:cs="Arial"/>
          <w:szCs w:val="18"/>
        </w:rPr>
        <w:t xml:space="preserve">This timeframe should be included </w:t>
      </w:r>
      <w:r w:rsidR="009608D6">
        <w:rPr>
          <w:rFonts w:cs="Arial"/>
          <w:szCs w:val="18"/>
        </w:rPr>
        <w:t xml:space="preserve">in </w:t>
      </w:r>
      <w:r w:rsidR="004179A8">
        <w:rPr>
          <w:rFonts w:cs="Arial"/>
          <w:szCs w:val="18"/>
        </w:rPr>
        <w:t>procurement planning.</w:t>
      </w:r>
    </w:p>
    <w:p w14:paraId="3C4B8DC2" w14:textId="61656DC9" w:rsidR="00A366DA" w:rsidRDefault="001F6FFF" w:rsidP="001D4767">
      <w:pPr>
        <w:numPr>
          <w:ilvl w:val="0"/>
          <w:numId w:val="15"/>
        </w:numPr>
        <w:spacing w:before="0"/>
        <w:jc w:val="both"/>
        <w:rPr>
          <w:rFonts w:cs="Arial"/>
          <w:szCs w:val="18"/>
        </w:rPr>
      </w:pPr>
      <w:r>
        <w:rPr>
          <w:rFonts w:cs="Arial"/>
          <w:szCs w:val="18"/>
        </w:rPr>
        <w:t xml:space="preserve">Setting local content after the release of </w:t>
      </w:r>
      <w:r w:rsidR="00DB6D46">
        <w:rPr>
          <w:rFonts w:cs="Arial"/>
          <w:szCs w:val="18"/>
        </w:rPr>
        <w:t>documents</w:t>
      </w:r>
      <w:r>
        <w:rPr>
          <w:rFonts w:cs="Arial"/>
          <w:szCs w:val="18"/>
        </w:rPr>
        <w:t xml:space="preserve"> will deem the agency non-compliant with the </w:t>
      </w:r>
      <w:r w:rsidR="008823A0">
        <w:rPr>
          <w:rFonts w:cs="Arial"/>
          <w:szCs w:val="18"/>
        </w:rPr>
        <w:t>LJF</w:t>
      </w:r>
      <w:r>
        <w:rPr>
          <w:rFonts w:cs="Arial"/>
          <w:szCs w:val="18"/>
        </w:rPr>
        <w:t xml:space="preserve"> policy, including the intent to provide full and fair opportunity to participate in government procurement activities. </w:t>
      </w:r>
    </w:p>
    <w:p w14:paraId="6F551EB5" w14:textId="02C7B2A3" w:rsidR="00A366DA" w:rsidRPr="00865235" w:rsidRDefault="00A366DA" w:rsidP="00A366DA">
      <w:pPr>
        <w:rPr>
          <w:b/>
          <w:sz w:val="20"/>
        </w:rPr>
      </w:pPr>
      <w:r w:rsidRPr="00865235">
        <w:rPr>
          <w:b/>
          <w:sz w:val="20"/>
        </w:rPr>
        <w:t xml:space="preserve">Step 3 – Specify Local Jobs First requirements in tender documents and </w:t>
      </w:r>
      <w:r w:rsidR="000E13B3">
        <w:rPr>
          <w:b/>
          <w:sz w:val="20"/>
        </w:rPr>
        <w:t>approach to market</w:t>
      </w:r>
    </w:p>
    <w:p w14:paraId="2F87F5B3" w14:textId="5601FBAD" w:rsidR="00A366DA" w:rsidRDefault="00A366DA" w:rsidP="001D4767">
      <w:pPr>
        <w:numPr>
          <w:ilvl w:val="0"/>
          <w:numId w:val="15"/>
        </w:numPr>
        <w:spacing w:before="0"/>
        <w:jc w:val="both"/>
        <w:rPr>
          <w:rFonts w:cs="Arial"/>
        </w:rPr>
      </w:pPr>
      <w:r w:rsidRPr="001856B3">
        <w:rPr>
          <w:rFonts w:asciiTheme="minorHAnsi" w:hAnsiTheme="minorHAnsi" w:cstheme="minorHAnsi"/>
          <w:szCs w:val="18"/>
        </w:rPr>
        <w:t xml:space="preserve">The agency must notify prospective bidders in </w:t>
      </w:r>
      <w:r>
        <w:rPr>
          <w:rFonts w:asciiTheme="minorHAnsi" w:hAnsiTheme="minorHAnsi" w:cstheme="minorHAnsi"/>
          <w:szCs w:val="18"/>
        </w:rPr>
        <w:t>tender documents</w:t>
      </w:r>
      <w:r w:rsidRPr="00156D3E">
        <w:rPr>
          <w:rFonts w:asciiTheme="minorHAnsi" w:hAnsiTheme="minorHAnsi" w:cstheme="minorHAnsi"/>
          <w:szCs w:val="18"/>
        </w:rPr>
        <w:t xml:space="preserve"> </w:t>
      </w:r>
      <w:r w:rsidRPr="001856B3">
        <w:rPr>
          <w:rFonts w:asciiTheme="minorHAnsi" w:hAnsiTheme="minorHAnsi" w:cstheme="minorHAnsi"/>
          <w:szCs w:val="18"/>
        </w:rPr>
        <w:t xml:space="preserve">of the </w:t>
      </w:r>
      <w:r>
        <w:rPr>
          <w:rFonts w:asciiTheme="minorHAnsi" w:hAnsiTheme="minorHAnsi" w:cstheme="minorHAnsi"/>
          <w:szCs w:val="18"/>
        </w:rPr>
        <w:t>LJF</w:t>
      </w:r>
      <w:r w:rsidRPr="001856B3">
        <w:rPr>
          <w:rFonts w:asciiTheme="minorHAnsi" w:hAnsiTheme="minorHAnsi" w:cstheme="minorHAnsi"/>
          <w:szCs w:val="18"/>
        </w:rPr>
        <w:t xml:space="preserve"> requirements</w:t>
      </w:r>
      <w:r>
        <w:rPr>
          <w:rFonts w:asciiTheme="minorHAnsi" w:hAnsiTheme="minorHAnsi" w:cstheme="minorHAnsi"/>
          <w:szCs w:val="18"/>
        </w:rPr>
        <w:t xml:space="preserve">, including </w:t>
      </w:r>
      <w:r w:rsidRPr="0024377E">
        <w:rPr>
          <w:rFonts w:cs="Arial"/>
        </w:rPr>
        <w:t>Expressions of Interest, Requests for Proposals/Tenders and other processes.</w:t>
      </w:r>
      <w:r>
        <w:rPr>
          <w:rFonts w:cs="Arial"/>
        </w:rPr>
        <w:t xml:space="preserve"> </w:t>
      </w:r>
      <w:r>
        <w:t xml:space="preserve">Model clauses can be </w:t>
      </w:r>
      <w:r w:rsidRPr="004B3D2E">
        <w:rPr>
          <w:rFonts w:cs="Arial"/>
        </w:rPr>
        <w:t xml:space="preserve">found at </w:t>
      </w:r>
      <w:hyperlink r:id="rId22" w:history="1">
        <w:r w:rsidR="005C764A" w:rsidRPr="00602285">
          <w:rPr>
            <w:rStyle w:val="Hyperlink"/>
            <w:rFonts w:asciiTheme="minorHAnsi" w:hAnsiTheme="minorHAnsi" w:cstheme="minorHAnsi"/>
            <w:szCs w:val="18"/>
          </w:rPr>
          <w:t>www.localjobsfirst.vic.gov.au/key-documents</w:t>
        </w:r>
      </w:hyperlink>
      <w:r w:rsidRPr="004B3D2E">
        <w:rPr>
          <w:rFonts w:cs="Arial"/>
        </w:rPr>
        <w:t xml:space="preserve"> and are required to be used.</w:t>
      </w:r>
      <w:r w:rsidRPr="0024377E">
        <w:rPr>
          <w:rFonts w:cs="Arial"/>
        </w:rPr>
        <w:t xml:space="preserve"> </w:t>
      </w:r>
    </w:p>
    <w:p w14:paraId="0DE995E5" w14:textId="77777777" w:rsidR="00A366DA" w:rsidRDefault="00A366DA" w:rsidP="001D4767">
      <w:pPr>
        <w:numPr>
          <w:ilvl w:val="0"/>
          <w:numId w:val="15"/>
        </w:numPr>
        <w:spacing w:before="0"/>
        <w:jc w:val="both"/>
        <w:rPr>
          <w:rFonts w:cs="Arial"/>
        </w:rPr>
      </w:pPr>
      <w:r w:rsidRPr="005644AD">
        <w:rPr>
          <w:rFonts w:cs="Arial"/>
        </w:rPr>
        <w:t>On a case by case basis LIDPs are not required to be submitted where the agency must first assess bidders’ ability to meet technical capabilities and safety requirements in the first instance. This will be subject to the LJF Commissioner’s oversight to ensure that local players are not being locked out of the procurement process.</w:t>
      </w:r>
    </w:p>
    <w:p w14:paraId="552818B4" w14:textId="25DE2B70" w:rsidR="00A366DA" w:rsidRDefault="00A366DA" w:rsidP="001D4767">
      <w:pPr>
        <w:numPr>
          <w:ilvl w:val="0"/>
          <w:numId w:val="15"/>
        </w:numPr>
        <w:spacing w:before="0"/>
        <w:jc w:val="both"/>
        <w:rPr>
          <w:rFonts w:cs="Arial"/>
        </w:rPr>
      </w:pPr>
      <w:r w:rsidRPr="005644AD">
        <w:rPr>
          <w:rFonts w:cs="Arial"/>
        </w:rPr>
        <w:t xml:space="preserve">Market approach documents will also be required to inform bidders that they will be subject to LJF and will be required to submit an LIDP at a later stage of the procurement process. Agencies will be required to seek agreement with </w:t>
      </w:r>
      <w:r>
        <w:rPr>
          <w:rFonts w:cs="Arial"/>
        </w:rPr>
        <w:t>DJPR</w:t>
      </w:r>
      <w:r w:rsidRPr="005644AD">
        <w:rPr>
          <w:rFonts w:cs="Arial"/>
        </w:rPr>
        <w:t xml:space="preserve"> and inform the Commissioner </w:t>
      </w:r>
      <w:r>
        <w:rPr>
          <w:rFonts w:cs="Arial"/>
        </w:rPr>
        <w:t xml:space="preserve">via email </w:t>
      </w:r>
      <w:r w:rsidRPr="005644AD">
        <w:rPr>
          <w:rFonts w:cs="Arial"/>
        </w:rPr>
        <w:t>when this process is being undertaken.</w:t>
      </w:r>
    </w:p>
    <w:p w14:paraId="7E48992A" w14:textId="226C24BF" w:rsidR="00A366DA" w:rsidRDefault="00A366DA" w:rsidP="001D4767">
      <w:pPr>
        <w:numPr>
          <w:ilvl w:val="0"/>
          <w:numId w:val="15"/>
        </w:numPr>
        <w:spacing w:before="0"/>
        <w:jc w:val="both"/>
        <w:rPr>
          <w:rFonts w:cs="Arial"/>
        </w:rPr>
      </w:pPr>
      <w:r>
        <w:rPr>
          <w:rFonts w:cs="Arial"/>
        </w:rPr>
        <w:t xml:space="preserve">The model clauses to include must match the type of LIDP stated in the </w:t>
      </w:r>
      <w:r w:rsidR="000E13B3">
        <w:rPr>
          <w:rFonts w:cs="Arial"/>
        </w:rPr>
        <w:t>c</w:t>
      </w:r>
      <w:r w:rsidR="002138FB">
        <w:rPr>
          <w:rFonts w:cs="Arial"/>
        </w:rPr>
        <w:t>ontestability assessment</w:t>
      </w:r>
      <w:r>
        <w:rPr>
          <w:rFonts w:cs="Arial"/>
        </w:rPr>
        <w:t xml:space="preserve">. For instance, a </w:t>
      </w:r>
      <w:r w:rsidR="000C0988">
        <w:rPr>
          <w:rFonts w:cs="Arial"/>
        </w:rPr>
        <w:t>S</w:t>
      </w:r>
      <w:r>
        <w:rPr>
          <w:rFonts w:cs="Arial"/>
        </w:rPr>
        <w:t xml:space="preserve">tandard </w:t>
      </w:r>
      <w:r w:rsidR="000C0988">
        <w:rPr>
          <w:rFonts w:cs="Arial"/>
        </w:rPr>
        <w:t>P</w:t>
      </w:r>
      <w:r>
        <w:rPr>
          <w:rFonts w:cs="Arial"/>
        </w:rPr>
        <w:t xml:space="preserve">roject with MPSG must include the Standard Project with MPSG model clauses. </w:t>
      </w:r>
    </w:p>
    <w:p w14:paraId="4228D00D" w14:textId="77777777" w:rsidR="00A366DA" w:rsidRDefault="00A366DA" w:rsidP="001D4767">
      <w:pPr>
        <w:numPr>
          <w:ilvl w:val="0"/>
          <w:numId w:val="15"/>
        </w:numPr>
        <w:spacing w:before="0"/>
        <w:jc w:val="both"/>
        <w:rPr>
          <w:rFonts w:cs="Arial"/>
        </w:rPr>
      </w:pPr>
      <w:r>
        <w:rPr>
          <w:rFonts w:cs="Arial"/>
        </w:rPr>
        <w:t>Agencies are not to delete any part of the template model clauses (including any definitions).</w:t>
      </w:r>
    </w:p>
    <w:p w14:paraId="32C25CDD" w14:textId="5D96DDAC" w:rsidR="00A366DA" w:rsidRPr="0024377E" w:rsidRDefault="00A366DA" w:rsidP="001D4767">
      <w:pPr>
        <w:numPr>
          <w:ilvl w:val="0"/>
          <w:numId w:val="15"/>
        </w:numPr>
        <w:spacing w:before="0"/>
        <w:jc w:val="both"/>
        <w:rPr>
          <w:rFonts w:cs="Arial"/>
        </w:rPr>
      </w:pPr>
      <w:r>
        <w:rPr>
          <w:rFonts w:cs="Arial"/>
        </w:rPr>
        <w:t xml:space="preserve">The model clauses direct bidders to the </w:t>
      </w:r>
      <w:r w:rsidRPr="005644AD">
        <w:rPr>
          <w:rFonts w:cs="Arial"/>
        </w:rPr>
        <w:t>VMC</w:t>
      </w:r>
      <w:r>
        <w:rPr>
          <w:rFonts w:cs="Arial"/>
        </w:rPr>
        <w:t xml:space="preserve"> in which they will prepare a custom LIDP through an online form. Microsoft Word based LIDP are no longer in use. </w:t>
      </w:r>
    </w:p>
    <w:p w14:paraId="65715177" w14:textId="5029A966" w:rsidR="00A366DA" w:rsidRDefault="00A366DA" w:rsidP="001D4767">
      <w:pPr>
        <w:numPr>
          <w:ilvl w:val="0"/>
          <w:numId w:val="15"/>
        </w:numPr>
        <w:spacing w:before="0"/>
        <w:jc w:val="both"/>
        <w:rPr>
          <w:rFonts w:cs="Arial"/>
        </w:rPr>
      </w:pPr>
      <w:r w:rsidRPr="0024377E">
        <w:rPr>
          <w:rFonts w:cs="Arial"/>
        </w:rPr>
        <w:t xml:space="preserve">A </w:t>
      </w:r>
      <w:r>
        <w:rPr>
          <w:rFonts w:cs="Arial"/>
        </w:rPr>
        <w:t>compliant LIDP</w:t>
      </w:r>
      <w:r w:rsidRPr="0024377E">
        <w:rPr>
          <w:rFonts w:cs="Arial"/>
        </w:rPr>
        <w:t xml:space="preserve"> must be </w:t>
      </w:r>
      <w:r w:rsidR="009049C4">
        <w:rPr>
          <w:rFonts w:cs="Arial"/>
        </w:rPr>
        <w:t>provided</w:t>
      </w:r>
      <w:r w:rsidRPr="0024377E">
        <w:rPr>
          <w:rFonts w:cs="Arial"/>
        </w:rPr>
        <w:t xml:space="preserve"> by bidders for any project subject </w:t>
      </w:r>
      <w:r w:rsidRPr="0058517D">
        <w:rPr>
          <w:rFonts w:cs="Arial"/>
        </w:rPr>
        <w:t>to LJF.</w:t>
      </w:r>
      <w:r>
        <w:rPr>
          <w:rFonts w:cs="Arial"/>
        </w:rPr>
        <w:t xml:space="preserve"> </w:t>
      </w:r>
    </w:p>
    <w:p w14:paraId="474F3180" w14:textId="6E6E0064" w:rsidR="00A366DA" w:rsidRDefault="00B849E7" w:rsidP="001D4767">
      <w:pPr>
        <w:numPr>
          <w:ilvl w:val="0"/>
          <w:numId w:val="15"/>
        </w:numPr>
        <w:spacing w:before="0"/>
        <w:jc w:val="both"/>
        <w:rPr>
          <w:rFonts w:cs="Arial"/>
          <w:szCs w:val="18"/>
        </w:rPr>
      </w:pPr>
      <w:r>
        <w:rPr>
          <w:rFonts w:cs="Arial"/>
        </w:rPr>
        <w:t>AN LIDP</w:t>
      </w:r>
      <w:r w:rsidR="00A366DA" w:rsidRPr="00086288">
        <w:rPr>
          <w:rFonts w:cs="Arial"/>
        </w:rPr>
        <w:t xml:space="preserve"> must reflect the size and complexity of the project. Preparation of </w:t>
      </w:r>
      <w:r>
        <w:rPr>
          <w:rFonts w:cs="Arial"/>
        </w:rPr>
        <w:t>an LIDP</w:t>
      </w:r>
      <w:r w:rsidR="00A366DA" w:rsidRPr="00086288">
        <w:rPr>
          <w:rFonts w:cs="Arial"/>
        </w:rPr>
        <w:t xml:space="preserve"> can take </w:t>
      </w:r>
      <w:r w:rsidR="00A366DA">
        <w:rPr>
          <w:rFonts w:cs="Arial"/>
        </w:rPr>
        <w:t>up</w:t>
      </w:r>
      <w:r w:rsidR="00A366DA" w:rsidRPr="00086288">
        <w:rPr>
          <w:rFonts w:cs="Arial"/>
        </w:rPr>
        <w:t xml:space="preserve"> to three weeks and is </w:t>
      </w:r>
      <w:r w:rsidR="00A366DA">
        <w:rPr>
          <w:rFonts w:cs="Arial"/>
        </w:rPr>
        <w:t>prepared</w:t>
      </w:r>
      <w:r w:rsidR="00A366DA" w:rsidRPr="00086288">
        <w:rPr>
          <w:rFonts w:cs="Arial"/>
        </w:rPr>
        <w:t xml:space="preserve"> by the bidders</w:t>
      </w:r>
      <w:r w:rsidR="00A366DA">
        <w:rPr>
          <w:rFonts w:cs="Arial"/>
        </w:rPr>
        <w:t xml:space="preserve"> </w:t>
      </w:r>
      <w:r w:rsidR="00A366DA" w:rsidRPr="00086288">
        <w:rPr>
          <w:rFonts w:cs="Arial"/>
        </w:rPr>
        <w:t>and submitted as part</w:t>
      </w:r>
      <w:r w:rsidR="00A366DA" w:rsidRPr="00350D38">
        <w:rPr>
          <w:rFonts w:cs="Arial"/>
          <w:szCs w:val="18"/>
        </w:rPr>
        <w:t xml:space="preserve"> of the tender documents. </w:t>
      </w:r>
      <w:r w:rsidR="00A366DA">
        <w:rPr>
          <w:rFonts w:cs="Arial"/>
          <w:szCs w:val="18"/>
        </w:rPr>
        <w:t xml:space="preserve">Close consultation with the ICN is encouraged. </w:t>
      </w:r>
    </w:p>
    <w:p w14:paraId="442ACB39" w14:textId="681E6982" w:rsidR="00A366DA" w:rsidRPr="00CE7817" w:rsidRDefault="00A366DA" w:rsidP="001D4767">
      <w:pPr>
        <w:numPr>
          <w:ilvl w:val="0"/>
          <w:numId w:val="15"/>
        </w:numPr>
        <w:spacing w:before="0"/>
        <w:jc w:val="both"/>
        <w:rPr>
          <w:rFonts w:cs="Arial"/>
        </w:rPr>
      </w:pPr>
      <w:r w:rsidRPr="00CE7817">
        <w:rPr>
          <w:rFonts w:cs="Arial"/>
        </w:rPr>
        <w:t xml:space="preserve">Information to be </w:t>
      </w:r>
      <w:r w:rsidR="009049C4" w:rsidRPr="00CE7817">
        <w:rPr>
          <w:rFonts w:cs="Arial"/>
        </w:rPr>
        <w:t>provided</w:t>
      </w:r>
      <w:r w:rsidRPr="00CE7817">
        <w:rPr>
          <w:rFonts w:cs="Arial"/>
        </w:rPr>
        <w:t xml:space="preserve"> in the LIDP will be contingent on the size and type of the project. Broadly, they will include information on: </w:t>
      </w:r>
    </w:p>
    <w:p w14:paraId="38C32DBD" w14:textId="6DD355A6" w:rsidR="00A366DA" w:rsidRDefault="00A366DA" w:rsidP="007C69AA">
      <w:pPr>
        <w:pStyle w:val="ListParagraph"/>
        <w:numPr>
          <w:ilvl w:val="0"/>
          <w:numId w:val="6"/>
        </w:numPr>
        <w:jc w:val="both"/>
        <w:rPr>
          <w:rFonts w:asciiTheme="minorHAnsi" w:hAnsiTheme="minorHAnsi" w:cstheme="minorHAnsi"/>
          <w:sz w:val="18"/>
          <w:szCs w:val="18"/>
        </w:rPr>
      </w:pPr>
      <w:r w:rsidRPr="00350D38">
        <w:rPr>
          <w:rFonts w:asciiTheme="minorHAnsi" w:hAnsiTheme="minorHAnsi" w:cstheme="minorHAnsi"/>
          <w:sz w:val="18"/>
          <w:szCs w:val="18"/>
        </w:rPr>
        <w:t xml:space="preserve">the </w:t>
      </w:r>
      <w:r>
        <w:rPr>
          <w:rFonts w:asciiTheme="minorHAnsi" w:hAnsiTheme="minorHAnsi" w:cstheme="minorHAnsi"/>
          <w:sz w:val="18"/>
          <w:szCs w:val="18"/>
        </w:rPr>
        <w:t>industry development commitments (</w:t>
      </w:r>
      <w:r w:rsidRPr="00350D38">
        <w:rPr>
          <w:rFonts w:asciiTheme="minorHAnsi" w:hAnsiTheme="minorHAnsi" w:cstheme="minorHAnsi"/>
          <w:sz w:val="18"/>
          <w:szCs w:val="18"/>
        </w:rPr>
        <w:t>VIPP commitments</w:t>
      </w:r>
      <w:r w:rsidR="00065AB1">
        <w:rPr>
          <w:rFonts w:asciiTheme="minorHAnsi" w:hAnsiTheme="minorHAnsi" w:cstheme="minorHAnsi"/>
          <w:sz w:val="18"/>
          <w:szCs w:val="18"/>
        </w:rPr>
        <w:t>)</w:t>
      </w:r>
      <w:r w:rsidRPr="00350D38">
        <w:rPr>
          <w:rFonts w:asciiTheme="minorHAnsi" w:hAnsiTheme="minorHAnsi" w:cstheme="minorHAnsi"/>
          <w:sz w:val="18"/>
          <w:szCs w:val="18"/>
        </w:rPr>
        <w:t xml:space="preserve"> (local content, technology transfer</w:t>
      </w:r>
      <w:r>
        <w:rPr>
          <w:rFonts w:asciiTheme="minorHAnsi" w:hAnsiTheme="minorHAnsi" w:cstheme="minorHAnsi"/>
          <w:sz w:val="18"/>
          <w:szCs w:val="18"/>
        </w:rPr>
        <w:t>, supply chain engagement</w:t>
      </w:r>
      <w:r w:rsidRPr="00350D38">
        <w:rPr>
          <w:rFonts w:asciiTheme="minorHAnsi" w:hAnsiTheme="minorHAnsi" w:cstheme="minorHAnsi"/>
          <w:sz w:val="18"/>
          <w:szCs w:val="18"/>
        </w:rPr>
        <w:t>)</w:t>
      </w:r>
    </w:p>
    <w:p w14:paraId="32BE71F2" w14:textId="2F0759CA" w:rsidR="00A366DA" w:rsidRPr="00350D38" w:rsidRDefault="00A366DA" w:rsidP="007C69AA">
      <w:pPr>
        <w:pStyle w:val="ListParagraph"/>
        <w:numPr>
          <w:ilvl w:val="0"/>
          <w:numId w:val="6"/>
        </w:numPr>
        <w:jc w:val="both"/>
        <w:rPr>
          <w:rFonts w:asciiTheme="minorHAnsi" w:hAnsiTheme="minorHAnsi" w:cstheme="minorHAnsi"/>
          <w:sz w:val="18"/>
          <w:szCs w:val="18"/>
        </w:rPr>
      </w:pPr>
      <w:r w:rsidRPr="00A108CD">
        <w:rPr>
          <w:rFonts w:asciiTheme="minorHAnsi" w:hAnsiTheme="minorHAnsi" w:cstheme="minorHAnsi"/>
          <w:sz w:val="18"/>
          <w:szCs w:val="18"/>
        </w:rPr>
        <w:t>the</w:t>
      </w:r>
      <w:r w:rsidRPr="00A65FB0">
        <w:rPr>
          <w:rFonts w:asciiTheme="minorHAnsi" w:hAnsiTheme="minorHAnsi" w:cstheme="minorHAnsi"/>
          <w:sz w:val="18"/>
          <w:szCs w:val="18"/>
        </w:rPr>
        <w:t xml:space="preserve"> </w:t>
      </w:r>
      <w:r>
        <w:rPr>
          <w:rFonts w:asciiTheme="minorHAnsi" w:hAnsiTheme="minorHAnsi" w:cstheme="minorHAnsi"/>
          <w:sz w:val="18"/>
          <w:szCs w:val="18"/>
        </w:rPr>
        <w:t>jobs outcomes commitments (</w:t>
      </w:r>
      <w:r w:rsidRPr="00350D38">
        <w:rPr>
          <w:rFonts w:asciiTheme="minorHAnsi" w:hAnsiTheme="minorHAnsi" w:cstheme="minorHAnsi"/>
          <w:sz w:val="18"/>
          <w:szCs w:val="18"/>
        </w:rPr>
        <w:t xml:space="preserve">new and retained jobs, </w:t>
      </w:r>
      <w:r>
        <w:rPr>
          <w:rFonts w:asciiTheme="minorHAnsi" w:hAnsiTheme="minorHAnsi" w:cstheme="minorHAnsi"/>
          <w:sz w:val="18"/>
          <w:szCs w:val="18"/>
        </w:rPr>
        <w:t xml:space="preserve">training), including the MPSG </w:t>
      </w:r>
      <w:r w:rsidRPr="00A108CD">
        <w:rPr>
          <w:rFonts w:asciiTheme="minorHAnsi" w:hAnsiTheme="minorHAnsi" w:cstheme="minorHAnsi"/>
          <w:sz w:val="18"/>
          <w:szCs w:val="18"/>
        </w:rPr>
        <w:t xml:space="preserve">commitments </w:t>
      </w:r>
      <w:r>
        <w:rPr>
          <w:rFonts w:asciiTheme="minorHAnsi" w:hAnsiTheme="minorHAnsi" w:cstheme="minorHAnsi"/>
          <w:sz w:val="18"/>
          <w:szCs w:val="18"/>
        </w:rPr>
        <w:t>where applicable</w:t>
      </w:r>
    </w:p>
    <w:p w14:paraId="4F2612ED" w14:textId="77777777" w:rsidR="00A366DA" w:rsidRPr="000D029C" w:rsidRDefault="00A366DA" w:rsidP="007C69AA">
      <w:pPr>
        <w:pStyle w:val="ListParagraph"/>
        <w:numPr>
          <w:ilvl w:val="0"/>
          <w:numId w:val="6"/>
        </w:numPr>
        <w:jc w:val="both"/>
        <w:rPr>
          <w:rFonts w:asciiTheme="minorHAnsi" w:hAnsiTheme="minorHAnsi" w:cstheme="minorHAnsi"/>
          <w:sz w:val="18"/>
          <w:szCs w:val="18"/>
        </w:rPr>
      </w:pPr>
      <w:r w:rsidRPr="000D029C">
        <w:rPr>
          <w:rFonts w:asciiTheme="minorHAnsi" w:hAnsiTheme="minorHAnsi" w:cstheme="minorHAnsi"/>
          <w:sz w:val="18"/>
          <w:szCs w:val="18"/>
        </w:rPr>
        <w:t xml:space="preserve">how the LIDP will be implemented and </w:t>
      </w:r>
      <w:r>
        <w:rPr>
          <w:rFonts w:asciiTheme="minorHAnsi" w:hAnsiTheme="minorHAnsi" w:cstheme="minorHAnsi"/>
          <w:sz w:val="18"/>
          <w:szCs w:val="18"/>
        </w:rPr>
        <w:t>management of risks</w:t>
      </w:r>
      <w:r w:rsidRPr="000D029C">
        <w:rPr>
          <w:rFonts w:asciiTheme="minorHAnsi" w:hAnsiTheme="minorHAnsi" w:cstheme="minorHAnsi"/>
          <w:sz w:val="18"/>
          <w:szCs w:val="18"/>
        </w:rPr>
        <w:t>, including industry engagement strategies</w:t>
      </w:r>
      <w:r>
        <w:rPr>
          <w:rFonts w:asciiTheme="minorHAnsi" w:hAnsiTheme="minorHAnsi" w:cstheme="minorHAnsi"/>
          <w:sz w:val="18"/>
          <w:szCs w:val="18"/>
        </w:rPr>
        <w:t xml:space="preserve"> and selection and benchmarking of local content</w:t>
      </w:r>
    </w:p>
    <w:p w14:paraId="02B0E8EA" w14:textId="77777777" w:rsidR="00A366DA" w:rsidRDefault="00A366DA" w:rsidP="007C69AA">
      <w:pPr>
        <w:pStyle w:val="ListParagraph"/>
        <w:numPr>
          <w:ilvl w:val="0"/>
          <w:numId w:val="6"/>
        </w:numPr>
        <w:jc w:val="both"/>
        <w:rPr>
          <w:rFonts w:asciiTheme="minorHAnsi" w:hAnsiTheme="minorHAnsi" w:cstheme="minorHAnsi"/>
          <w:sz w:val="18"/>
          <w:szCs w:val="18"/>
        </w:rPr>
      </w:pPr>
      <w:r w:rsidRPr="00EF05EF">
        <w:rPr>
          <w:rFonts w:asciiTheme="minorHAnsi" w:hAnsiTheme="minorHAnsi" w:cstheme="minorHAnsi"/>
          <w:sz w:val="18"/>
          <w:szCs w:val="18"/>
        </w:rPr>
        <w:t>monitoring and reporting requirements</w:t>
      </w:r>
      <w:r>
        <w:rPr>
          <w:rFonts w:asciiTheme="minorHAnsi" w:hAnsiTheme="minorHAnsi" w:cstheme="minorHAnsi"/>
          <w:sz w:val="18"/>
          <w:szCs w:val="18"/>
        </w:rPr>
        <w:t xml:space="preserve">, including those to be delivered as part of </w:t>
      </w:r>
      <w:r w:rsidRPr="000D029C">
        <w:rPr>
          <w:rFonts w:asciiTheme="minorHAnsi" w:hAnsiTheme="minorHAnsi" w:cstheme="minorHAnsi"/>
          <w:sz w:val="18"/>
          <w:szCs w:val="18"/>
        </w:rPr>
        <w:t>normal project management procedures</w:t>
      </w:r>
    </w:p>
    <w:p w14:paraId="57E4122D" w14:textId="77777777" w:rsidR="00A366DA" w:rsidRDefault="00A366DA" w:rsidP="007C69AA">
      <w:pPr>
        <w:pStyle w:val="ListParagraph"/>
        <w:numPr>
          <w:ilvl w:val="0"/>
          <w:numId w:val="6"/>
        </w:numPr>
        <w:jc w:val="both"/>
        <w:rPr>
          <w:rFonts w:asciiTheme="minorHAnsi" w:hAnsiTheme="minorHAnsi" w:cstheme="minorHAnsi"/>
          <w:sz w:val="18"/>
          <w:szCs w:val="18"/>
        </w:rPr>
      </w:pPr>
      <w:r>
        <w:rPr>
          <w:rFonts w:asciiTheme="minorHAnsi" w:hAnsiTheme="minorHAnsi" w:cstheme="minorHAnsi"/>
          <w:sz w:val="18"/>
          <w:szCs w:val="18"/>
        </w:rPr>
        <w:t xml:space="preserve">the amount of small to medium enterprises that will be engaged as part of the contract. </w:t>
      </w:r>
    </w:p>
    <w:p w14:paraId="639A38E4" w14:textId="77777777" w:rsidR="00A366DA" w:rsidRDefault="00A366DA" w:rsidP="00A366DA">
      <w:pPr>
        <w:pStyle w:val="ListParagraph"/>
        <w:ind w:left="1440"/>
        <w:jc w:val="both"/>
        <w:rPr>
          <w:rFonts w:asciiTheme="minorHAnsi" w:hAnsiTheme="minorHAnsi" w:cstheme="minorHAnsi"/>
          <w:sz w:val="18"/>
          <w:szCs w:val="18"/>
        </w:rPr>
      </w:pPr>
    </w:p>
    <w:p w14:paraId="2E856CEE" w14:textId="72FF0C67" w:rsidR="00A366DA" w:rsidRDefault="00A366DA" w:rsidP="001D4767">
      <w:pPr>
        <w:numPr>
          <w:ilvl w:val="0"/>
          <w:numId w:val="15"/>
        </w:numPr>
        <w:spacing w:before="0"/>
        <w:jc w:val="both"/>
        <w:rPr>
          <w:rFonts w:asciiTheme="minorHAnsi" w:hAnsiTheme="minorHAnsi" w:cstheme="minorHAnsi"/>
          <w:szCs w:val="18"/>
        </w:rPr>
      </w:pPr>
      <w:r w:rsidRPr="0024377E">
        <w:rPr>
          <w:rFonts w:cs="Arial"/>
        </w:rPr>
        <w:t>Model clauses have</w:t>
      </w:r>
      <w:r w:rsidRPr="001856B3">
        <w:rPr>
          <w:rFonts w:asciiTheme="minorHAnsi" w:hAnsiTheme="minorHAnsi" w:cstheme="minorHAnsi"/>
          <w:szCs w:val="18"/>
        </w:rPr>
        <w:t xml:space="preserve"> been developed </w:t>
      </w:r>
      <w:r>
        <w:rPr>
          <w:rFonts w:asciiTheme="minorHAnsi" w:hAnsiTheme="minorHAnsi" w:cstheme="minorHAnsi"/>
          <w:szCs w:val="18"/>
        </w:rPr>
        <w:t xml:space="preserve">to be incorporated into project documents to be applied by the agency. Any variation to these clauses must be agreed by the agency’s LJF </w:t>
      </w:r>
      <w:r>
        <w:t>Administrator</w:t>
      </w:r>
      <w:r>
        <w:rPr>
          <w:rFonts w:asciiTheme="minorHAnsi" w:hAnsiTheme="minorHAnsi" w:cstheme="minorHAnsi"/>
          <w:szCs w:val="18"/>
        </w:rPr>
        <w:t xml:space="preserve">. </w:t>
      </w:r>
      <w:r w:rsidRPr="00060EFA">
        <w:rPr>
          <w:rFonts w:asciiTheme="minorHAnsi" w:hAnsiTheme="minorHAnsi" w:cstheme="minorHAnsi"/>
          <w:szCs w:val="18"/>
        </w:rPr>
        <w:t xml:space="preserve">(Refer website – </w:t>
      </w:r>
      <w:hyperlink r:id="rId23" w:history="1">
        <w:r w:rsidRPr="00563360">
          <w:rPr>
            <w:rStyle w:val="Hyperlink"/>
            <w:rFonts w:cs="Arial"/>
          </w:rPr>
          <w:t>www.localjobsfirst.vic.gov.au</w:t>
        </w:r>
      </w:hyperlink>
      <w:r w:rsidRPr="00060EFA">
        <w:rPr>
          <w:rFonts w:asciiTheme="minorHAnsi" w:hAnsiTheme="minorHAnsi" w:cstheme="minorHAnsi"/>
          <w:szCs w:val="18"/>
        </w:rPr>
        <w:t>)</w:t>
      </w:r>
      <w:r>
        <w:rPr>
          <w:rFonts w:asciiTheme="minorHAnsi" w:hAnsiTheme="minorHAnsi" w:cstheme="minorHAnsi"/>
          <w:szCs w:val="18"/>
        </w:rPr>
        <w:t>.</w:t>
      </w:r>
      <w:r w:rsidRPr="001856B3">
        <w:rPr>
          <w:rFonts w:asciiTheme="minorHAnsi" w:hAnsiTheme="minorHAnsi" w:cstheme="minorHAnsi"/>
          <w:szCs w:val="18"/>
        </w:rPr>
        <w:t xml:space="preserve"> </w:t>
      </w:r>
    </w:p>
    <w:p w14:paraId="4FB0A1BB" w14:textId="7499D298" w:rsidR="00A366DA" w:rsidRPr="00865235" w:rsidRDefault="00A366DA" w:rsidP="00A366DA">
      <w:pPr>
        <w:rPr>
          <w:b/>
          <w:sz w:val="20"/>
        </w:rPr>
      </w:pPr>
      <w:r w:rsidRPr="00865235">
        <w:rPr>
          <w:b/>
          <w:sz w:val="20"/>
        </w:rPr>
        <w:lastRenderedPageBreak/>
        <w:t>Step 4 –</w:t>
      </w:r>
      <w:r>
        <w:rPr>
          <w:b/>
          <w:sz w:val="20"/>
        </w:rPr>
        <w:t>B</w:t>
      </w:r>
      <w:r w:rsidRPr="00865235">
        <w:rPr>
          <w:b/>
          <w:sz w:val="20"/>
        </w:rPr>
        <w:t>idders preparation and</w:t>
      </w:r>
      <w:r w:rsidR="000D2B9D">
        <w:rPr>
          <w:b/>
          <w:sz w:val="20"/>
        </w:rPr>
        <w:t xml:space="preserve"> the</w:t>
      </w:r>
      <w:r w:rsidRPr="00865235">
        <w:rPr>
          <w:b/>
          <w:sz w:val="20"/>
        </w:rPr>
        <w:t xml:space="preserve"> ICN acknowledgement of LIDP </w:t>
      </w:r>
    </w:p>
    <w:p w14:paraId="530F0194" w14:textId="47087A77" w:rsidR="006623FE" w:rsidRDefault="006623FE" w:rsidP="001D4767">
      <w:pPr>
        <w:numPr>
          <w:ilvl w:val="0"/>
          <w:numId w:val="15"/>
        </w:numPr>
        <w:spacing w:before="0"/>
        <w:jc w:val="both"/>
        <w:rPr>
          <w:rFonts w:cs="Arial"/>
        </w:rPr>
      </w:pPr>
      <w:r>
        <w:rPr>
          <w:rFonts w:cs="Arial"/>
        </w:rPr>
        <w:t>An ICN Industry Advisor will be available to assist bidders in preparing LIDPs</w:t>
      </w:r>
      <w:r w:rsidR="00BD14F9">
        <w:rPr>
          <w:rFonts w:cs="Arial"/>
        </w:rPr>
        <w:t>.</w:t>
      </w:r>
      <w:r>
        <w:rPr>
          <w:rFonts w:cs="Arial"/>
        </w:rPr>
        <w:t xml:space="preserve"> </w:t>
      </w:r>
    </w:p>
    <w:p w14:paraId="46395069" w14:textId="1D8EB779" w:rsidR="00A366DA" w:rsidRDefault="00A366DA" w:rsidP="001D4767">
      <w:pPr>
        <w:numPr>
          <w:ilvl w:val="0"/>
          <w:numId w:val="15"/>
        </w:numPr>
        <w:spacing w:before="0"/>
        <w:jc w:val="both"/>
        <w:rPr>
          <w:rFonts w:cs="Arial"/>
        </w:rPr>
      </w:pPr>
      <w:r>
        <w:rPr>
          <w:rFonts w:cs="Arial"/>
        </w:rPr>
        <w:t>B</w:t>
      </w:r>
      <w:r w:rsidRPr="00A00B17">
        <w:rPr>
          <w:rFonts w:cs="Arial"/>
        </w:rPr>
        <w:t xml:space="preserve">idders </w:t>
      </w:r>
      <w:r>
        <w:rPr>
          <w:rFonts w:cs="Arial"/>
        </w:rPr>
        <w:t xml:space="preserve">must submit </w:t>
      </w:r>
      <w:r w:rsidR="00B849E7">
        <w:rPr>
          <w:rFonts w:cs="Arial"/>
        </w:rPr>
        <w:t>an LIDP</w:t>
      </w:r>
      <w:r w:rsidRPr="00A00B17">
        <w:rPr>
          <w:rFonts w:cs="Arial"/>
        </w:rPr>
        <w:t xml:space="preserve"> through </w:t>
      </w:r>
      <w:r w:rsidR="000D2B9D">
        <w:rPr>
          <w:rFonts w:cs="Arial"/>
        </w:rPr>
        <w:t xml:space="preserve">the </w:t>
      </w:r>
      <w:r w:rsidRPr="00A00B17">
        <w:rPr>
          <w:rFonts w:cs="Arial"/>
        </w:rPr>
        <w:t>ICN</w:t>
      </w:r>
      <w:r>
        <w:rPr>
          <w:rFonts w:cs="Arial"/>
        </w:rPr>
        <w:t>’s</w:t>
      </w:r>
      <w:r w:rsidRPr="00A00B17">
        <w:rPr>
          <w:rFonts w:cs="Arial"/>
        </w:rPr>
        <w:t xml:space="preserve"> VMC </w:t>
      </w:r>
      <w:r w:rsidRPr="000E73C7">
        <w:rPr>
          <w:rFonts w:cs="Arial"/>
        </w:rPr>
        <w:t xml:space="preserve">at </w:t>
      </w:r>
      <w:hyperlink r:id="rId24" w:history="1">
        <w:r w:rsidR="002E63A2" w:rsidRPr="002E63A2">
          <w:rPr>
            <w:rStyle w:val="Hyperlink"/>
          </w:rPr>
          <w:t>www.icnforce.com</w:t>
        </w:r>
      </w:hyperlink>
      <w:r w:rsidR="002E63A2">
        <w:t>.</w:t>
      </w:r>
      <w:bookmarkStart w:id="48" w:name="_GoBack"/>
      <w:bookmarkEnd w:id="48"/>
    </w:p>
    <w:p w14:paraId="1FCE9EF1" w14:textId="77777777" w:rsidR="00A366DA" w:rsidRDefault="00A366DA" w:rsidP="001D4767">
      <w:pPr>
        <w:numPr>
          <w:ilvl w:val="0"/>
          <w:numId w:val="15"/>
        </w:numPr>
        <w:spacing w:before="0"/>
        <w:jc w:val="both"/>
        <w:rPr>
          <w:rFonts w:cs="Arial"/>
        </w:rPr>
      </w:pPr>
      <w:r>
        <w:rPr>
          <w:rFonts w:cs="Arial"/>
        </w:rPr>
        <w:t xml:space="preserve">The LIDP is an online form. </w:t>
      </w:r>
    </w:p>
    <w:p w14:paraId="54B45260" w14:textId="68A01EA6" w:rsidR="00A366DA" w:rsidRPr="00722E9E" w:rsidRDefault="00A366DA" w:rsidP="001D4767">
      <w:pPr>
        <w:numPr>
          <w:ilvl w:val="0"/>
          <w:numId w:val="15"/>
        </w:numPr>
        <w:spacing w:before="0"/>
        <w:jc w:val="both"/>
        <w:rPr>
          <w:rFonts w:cs="Arial"/>
        </w:rPr>
      </w:pPr>
      <w:r w:rsidRPr="009E7215">
        <w:rPr>
          <w:rFonts w:cs="Arial"/>
        </w:rPr>
        <w:t xml:space="preserve">Agencies </w:t>
      </w:r>
      <w:r w:rsidR="00383BF3" w:rsidRPr="006468C7">
        <w:rPr>
          <w:rFonts w:cs="Arial"/>
        </w:rPr>
        <w:t>and DJPR</w:t>
      </w:r>
      <w:r w:rsidRPr="006468C7">
        <w:rPr>
          <w:rFonts w:cs="Arial"/>
        </w:rPr>
        <w:t xml:space="preserve"> </w:t>
      </w:r>
      <w:r w:rsidRPr="00C11590">
        <w:rPr>
          <w:rFonts w:cs="Arial"/>
        </w:rPr>
        <w:t xml:space="preserve">can </w:t>
      </w:r>
      <w:r w:rsidRPr="00E639C8">
        <w:rPr>
          <w:rFonts w:cs="Arial"/>
        </w:rPr>
        <w:t>d</w:t>
      </w:r>
      <w:r w:rsidRPr="004A0184">
        <w:rPr>
          <w:rFonts w:cs="Arial"/>
        </w:rPr>
        <w:t xml:space="preserve">ownload </w:t>
      </w:r>
      <w:r w:rsidRPr="00AD0A63">
        <w:rPr>
          <w:rFonts w:cs="Arial"/>
        </w:rPr>
        <w:t>the submitted LIDP</w:t>
      </w:r>
      <w:r w:rsidRPr="00170FF8">
        <w:rPr>
          <w:rFonts w:cs="Arial"/>
        </w:rPr>
        <w:t xml:space="preserve">s, </w:t>
      </w:r>
      <w:r w:rsidR="00B5557E">
        <w:rPr>
          <w:rFonts w:cs="Arial"/>
        </w:rPr>
        <w:t>Acknowledgement Letter</w:t>
      </w:r>
      <w:r w:rsidRPr="00722E9E">
        <w:rPr>
          <w:rFonts w:cs="Arial"/>
        </w:rPr>
        <w:t xml:space="preserve">s, </w:t>
      </w:r>
      <w:r w:rsidR="00C533B1">
        <w:rPr>
          <w:rFonts w:cs="Arial"/>
        </w:rPr>
        <w:t>c</w:t>
      </w:r>
      <w:r w:rsidR="002138FB">
        <w:rPr>
          <w:rFonts w:cs="Arial"/>
        </w:rPr>
        <w:t>ontestability assessment</w:t>
      </w:r>
      <w:r w:rsidRPr="00722E9E">
        <w:rPr>
          <w:rFonts w:cs="Arial"/>
        </w:rPr>
        <w:t xml:space="preserve"> and </w:t>
      </w:r>
      <w:r w:rsidR="000D2B9D">
        <w:rPr>
          <w:rFonts w:cs="Arial"/>
        </w:rPr>
        <w:t xml:space="preserve">the </w:t>
      </w:r>
      <w:r w:rsidRPr="00722E9E">
        <w:rPr>
          <w:rFonts w:cs="Arial"/>
        </w:rPr>
        <w:t xml:space="preserve">ICN’s </w:t>
      </w:r>
      <w:r w:rsidR="003A445E">
        <w:rPr>
          <w:rFonts w:cs="Arial"/>
          <w:szCs w:val="18"/>
        </w:rPr>
        <w:t>risk assessment evaluation report</w:t>
      </w:r>
      <w:r w:rsidR="003A445E" w:rsidRPr="00A31BA5">
        <w:rPr>
          <w:rFonts w:cs="Arial"/>
          <w:szCs w:val="18"/>
        </w:rPr>
        <w:t xml:space="preserve"> </w:t>
      </w:r>
      <w:r w:rsidRPr="00722E9E">
        <w:rPr>
          <w:rFonts w:cs="Arial"/>
        </w:rPr>
        <w:t xml:space="preserve">from the VMC. </w:t>
      </w:r>
    </w:p>
    <w:p w14:paraId="24C90A03" w14:textId="29B4DAD4" w:rsidR="00A366DA" w:rsidRDefault="000D2B9D" w:rsidP="001D4767">
      <w:pPr>
        <w:numPr>
          <w:ilvl w:val="0"/>
          <w:numId w:val="15"/>
        </w:numPr>
        <w:spacing w:before="0"/>
        <w:contextualSpacing/>
        <w:jc w:val="both"/>
        <w:rPr>
          <w:rFonts w:cs="Arial"/>
        </w:rPr>
      </w:pPr>
      <w:r>
        <w:rPr>
          <w:rFonts w:cs="Arial"/>
        </w:rPr>
        <w:t xml:space="preserve">The </w:t>
      </w:r>
      <w:r w:rsidR="00A366DA" w:rsidRPr="00A00B17">
        <w:rPr>
          <w:rFonts w:cs="Arial"/>
        </w:rPr>
        <w:t>IC</w:t>
      </w:r>
      <w:r w:rsidR="00A366DA">
        <w:rPr>
          <w:rFonts w:cs="Arial"/>
        </w:rPr>
        <w:t xml:space="preserve">N will acknowledge receipt of </w:t>
      </w:r>
      <w:r w:rsidR="00B849E7">
        <w:rPr>
          <w:rFonts w:cs="Arial"/>
        </w:rPr>
        <w:t>an LIDP</w:t>
      </w:r>
      <w:r w:rsidR="00A366DA" w:rsidRPr="00A00B17">
        <w:rPr>
          <w:rFonts w:cs="Arial"/>
        </w:rPr>
        <w:t xml:space="preserve"> and issue an </w:t>
      </w:r>
      <w:r w:rsidR="00B5557E">
        <w:rPr>
          <w:rFonts w:cs="Arial"/>
        </w:rPr>
        <w:t>Acknowledgement Letter</w:t>
      </w:r>
      <w:r w:rsidR="00A366DA">
        <w:rPr>
          <w:rFonts w:cs="Arial"/>
        </w:rPr>
        <w:t xml:space="preserve"> to a bidder. ICN will </w:t>
      </w:r>
      <w:r w:rsidR="00A366DA" w:rsidRPr="00060EFA">
        <w:rPr>
          <w:rFonts w:cs="Arial"/>
          <w:u w:val="single"/>
        </w:rPr>
        <w:t>only</w:t>
      </w:r>
      <w:r w:rsidR="00A366DA">
        <w:rPr>
          <w:rFonts w:cs="Arial"/>
        </w:rPr>
        <w:t xml:space="preserve"> issue the </w:t>
      </w:r>
      <w:r w:rsidR="00B5557E">
        <w:rPr>
          <w:rFonts w:cs="Arial"/>
        </w:rPr>
        <w:t>Acknowledgement Letter</w:t>
      </w:r>
      <w:r w:rsidR="00A366DA">
        <w:rPr>
          <w:rFonts w:cs="Arial"/>
        </w:rPr>
        <w:t xml:space="preserve"> if:</w:t>
      </w:r>
    </w:p>
    <w:p w14:paraId="4F91E676" w14:textId="152A1D1F" w:rsidR="00A366DA" w:rsidRPr="00CE7817" w:rsidRDefault="00A366DA" w:rsidP="00CE7817">
      <w:pPr>
        <w:pStyle w:val="ListParagraph"/>
        <w:numPr>
          <w:ilvl w:val="0"/>
          <w:numId w:val="6"/>
        </w:numPr>
        <w:jc w:val="both"/>
        <w:rPr>
          <w:rFonts w:asciiTheme="minorHAnsi" w:hAnsiTheme="minorHAnsi" w:cstheme="minorHAnsi"/>
          <w:sz w:val="18"/>
          <w:szCs w:val="18"/>
        </w:rPr>
      </w:pPr>
      <w:r w:rsidRPr="00CE7817">
        <w:rPr>
          <w:rFonts w:asciiTheme="minorHAnsi" w:hAnsiTheme="minorHAnsi" w:cstheme="minorHAnsi"/>
          <w:sz w:val="18"/>
          <w:szCs w:val="18"/>
        </w:rPr>
        <w:t xml:space="preserve">all sections of the </w:t>
      </w:r>
      <w:r w:rsidR="00E53DB9">
        <w:rPr>
          <w:rFonts w:asciiTheme="minorHAnsi" w:hAnsiTheme="minorHAnsi" w:cstheme="minorHAnsi"/>
          <w:sz w:val="18"/>
          <w:szCs w:val="18"/>
        </w:rPr>
        <w:t>LIDP</w:t>
      </w:r>
      <w:r w:rsidRPr="00CE7817">
        <w:rPr>
          <w:rFonts w:asciiTheme="minorHAnsi" w:hAnsiTheme="minorHAnsi" w:cstheme="minorHAnsi"/>
          <w:sz w:val="18"/>
          <w:szCs w:val="18"/>
        </w:rPr>
        <w:t xml:space="preserve"> are fully complete; </w:t>
      </w:r>
    </w:p>
    <w:p w14:paraId="2B4320C0" w14:textId="6904B572" w:rsidR="00A366DA" w:rsidRPr="00CE7817" w:rsidRDefault="00A366DA" w:rsidP="00CE7817">
      <w:pPr>
        <w:pStyle w:val="ListParagraph"/>
        <w:numPr>
          <w:ilvl w:val="0"/>
          <w:numId w:val="6"/>
        </w:numPr>
        <w:jc w:val="both"/>
        <w:rPr>
          <w:rFonts w:asciiTheme="minorHAnsi" w:hAnsiTheme="minorHAnsi" w:cstheme="minorHAnsi"/>
          <w:sz w:val="18"/>
          <w:szCs w:val="18"/>
        </w:rPr>
      </w:pPr>
      <w:r w:rsidRPr="00CE7817">
        <w:rPr>
          <w:rFonts w:asciiTheme="minorHAnsi" w:hAnsiTheme="minorHAnsi" w:cstheme="minorHAnsi"/>
          <w:sz w:val="18"/>
          <w:szCs w:val="18"/>
        </w:rPr>
        <w:t xml:space="preserve">the </w:t>
      </w:r>
      <w:r w:rsidR="00E53DB9">
        <w:rPr>
          <w:rFonts w:asciiTheme="minorHAnsi" w:hAnsiTheme="minorHAnsi" w:cstheme="minorHAnsi"/>
          <w:sz w:val="18"/>
          <w:szCs w:val="18"/>
        </w:rPr>
        <w:t>LIDP</w:t>
      </w:r>
      <w:r w:rsidRPr="00CE7817">
        <w:rPr>
          <w:rFonts w:asciiTheme="minorHAnsi" w:hAnsiTheme="minorHAnsi" w:cstheme="minorHAnsi"/>
          <w:sz w:val="18"/>
          <w:szCs w:val="18"/>
        </w:rPr>
        <w:t xml:space="preserve"> has been submitted within the specified tender timeframe; and</w:t>
      </w:r>
    </w:p>
    <w:p w14:paraId="58A50C74" w14:textId="2E4E0EB3" w:rsidR="006623FE" w:rsidRDefault="00A366DA" w:rsidP="00CE7817">
      <w:pPr>
        <w:pStyle w:val="ListParagraph"/>
        <w:numPr>
          <w:ilvl w:val="0"/>
          <w:numId w:val="6"/>
        </w:numPr>
        <w:jc w:val="both"/>
        <w:rPr>
          <w:rFonts w:asciiTheme="minorHAnsi" w:hAnsiTheme="minorHAnsi" w:cstheme="minorHAnsi"/>
          <w:sz w:val="18"/>
          <w:szCs w:val="18"/>
        </w:rPr>
      </w:pPr>
      <w:r w:rsidRPr="00CE7817">
        <w:rPr>
          <w:rFonts w:asciiTheme="minorHAnsi" w:hAnsiTheme="minorHAnsi" w:cstheme="minorHAnsi"/>
          <w:sz w:val="18"/>
          <w:szCs w:val="18"/>
        </w:rPr>
        <w:t>the Statutory Declaration and all other conditions are agreed, including monitoring, reporting, auditing and compl</w:t>
      </w:r>
      <w:r w:rsidR="006623FE" w:rsidRPr="00CE7817">
        <w:rPr>
          <w:rFonts w:asciiTheme="minorHAnsi" w:hAnsiTheme="minorHAnsi" w:cstheme="minorHAnsi"/>
          <w:sz w:val="18"/>
          <w:szCs w:val="18"/>
        </w:rPr>
        <w:t>iance.</w:t>
      </w:r>
    </w:p>
    <w:p w14:paraId="0396BDC6" w14:textId="77777777" w:rsidR="00FB7FF2" w:rsidRPr="00CE7817" w:rsidRDefault="00FB7FF2" w:rsidP="00FB7FF2">
      <w:pPr>
        <w:pStyle w:val="ListParagraph"/>
        <w:ind w:left="1440"/>
        <w:jc w:val="both"/>
        <w:rPr>
          <w:rFonts w:asciiTheme="minorHAnsi" w:hAnsiTheme="minorHAnsi" w:cstheme="minorHAnsi"/>
          <w:sz w:val="18"/>
          <w:szCs w:val="18"/>
        </w:rPr>
      </w:pPr>
    </w:p>
    <w:p w14:paraId="6B5396EC" w14:textId="3964E649" w:rsidR="006623FE" w:rsidRDefault="006623FE" w:rsidP="001D4767">
      <w:pPr>
        <w:numPr>
          <w:ilvl w:val="0"/>
          <w:numId w:val="15"/>
        </w:numPr>
        <w:spacing w:before="0"/>
        <w:contextualSpacing/>
        <w:jc w:val="both"/>
        <w:rPr>
          <w:rFonts w:cs="Arial"/>
        </w:rPr>
      </w:pPr>
      <w:r>
        <w:rPr>
          <w:rFonts w:cs="Arial"/>
        </w:rPr>
        <w:t xml:space="preserve">For Strategic Projects, the ICN will also check for compliance with the minimum local content requirements on the project. </w:t>
      </w:r>
    </w:p>
    <w:p w14:paraId="6EE34746" w14:textId="77777777" w:rsidR="00C533B1" w:rsidRDefault="00C533B1" w:rsidP="00C533B1">
      <w:pPr>
        <w:spacing w:before="0"/>
        <w:ind w:left="360"/>
        <w:contextualSpacing/>
        <w:jc w:val="both"/>
        <w:rPr>
          <w:rFonts w:cs="Arial"/>
        </w:rPr>
      </w:pPr>
    </w:p>
    <w:p w14:paraId="7B7A214D" w14:textId="3386B7F5" w:rsidR="00C533B1" w:rsidRDefault="00C533B1" w:rsidP="001D4767">
      <w:pPr>
        <w:numPr>
          <w:ilvl w:val="0"/>
          <w:numId w:val="15"/>
        </w:numPr>
        <w:spacing w:before="0"/>
        <w:jc w:val="both"/>
        <w:rPr>
          <w:rFonts w:cs="Arial"/>
        </w:rPr>
      </w:pPr>
      <w:r w:rsidRPr="00A00B17">
        <w:rPr>
          <w:rFonts w:cs="Arial"/>
        </w:rPr>
        <w:t>The ICN will also provide a</w:t>
      </w:r>
      <w:r w:rsidR="00097B72">
        <w:rPr>
          <w:rFonts w:cs="Arial"/>
        </w:rPr>
        <w:t>n</w:t>
      </w:r>
      <w:r w:rsidRPr="00A00B17">
        <w:rPr>
          <w:rFonts w:cs="Arial"/>
        </w:rPr>
        <w:t xml:space="preserve"> </w:t>
      </w:r>
      <w:r>
        <w:rPr>
          <w:rFonts w:cs="Arial"/>
        </w:rPr>
        <w:t xml:space="preserve">LJF </w:t>
      </w:r>
      <w:r w:rsidRPr="00A00B17">
        <w:rPr>
          <w:rFonts w:cs="Arial"/>
        </w:rPr>
        <w:t xml:space="preserve">risk </w:t>
      </w:r>
      <w:r>
        <w:rPr>
          <w:rFonts w:cs="Arial"/>
        </w:rPr>
        <w:t>evaluation report</w:t>
      </w:r>
      <w:r w:rsidRPr="00A00B17">
        <w:rPr>
          <w:rFonts w:cs="Arial"/>
        </w:rPr>
        <w:t xml:space="preserve"> </w:t>
      </w:r>
      <w:r>
        <w:rPr>
          <w:rFonts w:cs="Arial"/>
        </w:rPr>
        <w:t xml:space="preserve">to the </w:t>
      </w:r>
      <w:r w:rsidRPr="00A00B17">
        <w:rPr>
          <w:rFonts w:cs="Arial"/>
        </w:rPr>
        <w:t xml:space="preserve">agency, </w:t>
      </w:r>
      <w:r>
        <w:rPr>
          <w:rFonts w:cs="Arial"/>
        </w:rPr>
        <w:t>after a specified time form the tender close date, to help the agency with the tender evaluation process</w:t>
      </w:r>
    </w:p>
    <w:p w14:paraId="49616370" w14:textId="77777777" w:rsidR="00C533B1" w:rsidRPr="00C533B1" w:rsidRDefault="00C533B1" w:rsidP="001D4767">
      <w:pPr>
        <w:numPr>
          <w:ilvl w:val="0"/>
          <w:numId w:val="15"/>
        </w:numPr>
        <w:spacing w:before="0"/>
        <w:jc w:val="both"/>
        <w:rPr>
          <w:rFonts w:cs="Arial"/>
        </w:rPr>
      </w:pPr>
      <w:r w:rsidRPr="00C533B1">
        <w:rPr>
          <w:rFonts w:cs="Arial"/>
        </w:rPr>
        <w:t xml:space="preserve">The ICN will rate a bidder’s likelihood of achieving the commitments on a scale of High Risk, Medium Risk and Low Risk. The risk rating reflects the ICN’s evaluation of the risk a bidder has in not meeting their stated commitments. ICN will draw on their industry experience and internal benchmarking when making these determinations. </w:t>
      </w:r>
    </w:p>
    <w:p w14:paraId="38308B84" w14:textId="77777777" w:rsidR="00C533B1" w:rsidRPr="00C533B1" w:rsidRDefault="00C533B1" w:rsidP="001D4767">
      <w:pPr>
        <w:numPr>
          <w:ilvl w:val="0"/>
          <w:numId w:val="15"/>
        </w:numPr>
        <w:spacing w:before="0"/>
        <w:jc w:val="both"/>
        <w:rPr>
          <w:rFonts w:cs="Arial"/>
        </w:rPr>
      </w:pPr>
      <w:r w:rsidRPr="00C533B1">
        <w:rPr>
          <w:rFonts w:cs="Arial"/>
        </w:rPr>
        <w:t xml:space="preserve">The ICN will inform a bidder and the agency in writing if the bidder’s LIDP has been deemed non-compliant due to incompleteness or inaccessible information being provided. When this happens, a non-compliance letter will be issued instead. </w:t>
      </w:r>
    </w:p>
    <w:p w14:paraId="396519E6" w14:textId="171974E4" w:rsidR="00C533B1" w:rsidRPr="00C533B1" w:rsidRDefault="00C533B1" w:rsidP="001D4767">
      <w:pPr>
        <w:numPr>
          <w:ilvl w:val="0"/>
          <w:numId w:val="15"/>
        </w:numPr>
        <w:spacing w:before="0"/>
        <w:jc w:val="both"/>
        <w:rPr>
          <w:rFonts w:cs="Arial"/>
        </w:rPr>
      </w:pPr>
      <w:r w:rsidRPr="00C533B1">
        <w:rPr>
          <w:rFonts w:cs="Arial"/>
        </w:rPr>
        <w:t>A tender proposal is not complete without an ICN Acknowledg</w:t>
      </w:r>
      <w:r w:rsidR="00E53DB9">
        <w:rPr>
          <w:rFonts w:cs="Arial"/>
        </w:rPr>
        <w:t>e</w:t>
      </w:r>
      <w:r w:rsidRPr="00C533B1">
        <w:rPr>
          <w:rFonts w:cs="Arial"/>
        </w:rPr>
        <w:t>ment Letter, which is provided via email. This would mean the end of the procurement process for the bidder.</w:t>
      </w:r>
    </w:p>
    <w:p w14:paraId="5CB8E49E" w14:textId="77777777" w:rsidR="00A366DA" w:rsidRDefault="00A366DA" w:rsidP="00A366DA">
      <w:pPr>
        <w:spacing w:before="0"/>
        <w:jc w:val="both"/>
        <w:rPr>
          <w:rFonts w:cs="Arial"/>
        </w:rPr>
      </w:pPr>
      <w:r w:rsidRPr="003E3110">
        <w:rPr>
          <w:rFonts w:asciiTheme="minorHAnsi" w:hAnsiTheme="minorHAnsi" w:cstheme="minorHAnsi"/>
          <w:noProof/>
          <w:szCs w:val="18"/>
        </w:rPr>
        <mc:AlternateContent>
          <mc:Choice Requires="wps">
            <w:drawing>
              <wp:inline distT="0" distB="0" distL="0" distR="0" wp14:anchorId="0167B449" wp14:editId="027C0C7F">
                <wp:extent cx="6248400" cy="1404620"/>
                <wp:effectExtent l="0" t="0" r="19050" b="2349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14:paraId="04668793" w14:textId="77777777" w:rsidR="00DE4B66" w:rsidRDefault="00DE4B66" w:rsidP="00A366DA">
                            <w:pPr>
                              <w:jc w:val="center"/>
                            </w:pPr>
                            <w:r w:rsidRPr="00060EFA">
                              <w:t xml:space="preserve">Agencies must register projects on </w:t>
                            </w:r>
                            <w:r>
                              <w:t xml:space="preserve">the </w:t>
                            </w:r>
                            <w:r w:rsidRPr="00060EFA">
                              <w:t xml:space="preserve">Victorian Local Jobs First Management Centre </w:t>
                            </w:r>
                            <w:r>
                              <w:t xml:space="preserve">(VMC) </w:t>
                            </w:r>
                            <w:r w:rsidRPr="00060EFA">
                              <w:t xml:space="preserve">prior to the release of tender documents. </w:t>
                            </w:r>
                          </w:p>
                          <w:p w14:paraId="6C6BC367" w14:textId="77777777" w:rsidR="00DE4B66" w:rsidRDefault="00DE4B66" w:rsidP="00A366DA">
                            <w:pPr>
                              <w:jc w:val="center"/>
                            </w:pPr>
                            <w:r>
                              <w:t xml:space="preserve">The </w:t>
                            </w:r>
                            <w:r w:rsidRPr="00060EFA">
                              <w:t>I</w:t>
                            </w:r>
                            <w:r>
                              <w:t xml:space="preserve">ndustry </w:t>
                            </w:r>
                            <w:r w:rsidRPr="00060EFA">
                              <w:t>C</w:t>
                            </w:r>
                            <w:r>
                              <w:t xml:space="preserve">apability </w:t>
                            </w:r>
                            <w:r w:rsidRPr="00060EFA">
                              <w:t>N</w:t>
                            </w:r>
                            <w:r>
                              <w:t>etwork (ICN)</w:t>
                            </w:r>
                            <w:r w:rsidRPr="00060EFA">
                              <w:t xml:space="preserve"> will notify agencies of a project’s contestability.</w:t>
                            </w:r>
                          </w:p>
                          <w:p w14:paraId="7D344A2C" w14:textId="77777777" w:rsidR="00DE4B66" w:rsidRDefault="00DE4B66" w:rsidP="00A366DA">
                            <w:pPr>
                              <w:jc w:val="center"/>
                            </w:pPr>
                            <w:r w:rsidRPr="00060EFA">
                              <w:t>Agencies must notify prospective bidders of L</w:t>
                            </w:r>
                            <w:r>
                              <w:t xml:space="preserve">ocal </w:t>
                            </w:r>
                            <w:r w:rsidRPr="00060EFA">
                              <w:t>J</w:t>
                            </w:r>
                            <w:r>
                              <w:t xml:space="preserve">obs </w:t>
                            </w:r>
                            <w:r w:rsidRPr="00060EFA">
                              <w:t>F</w:t>
                            </w:r>
                            <w:r>
                              <w:t>irst</w:t>
                            </w:r>
                            <w:r w:rsidRPr="00060EFA">
                              <w:t xml:space="preserve"> requirements within tender documents.  </w:t>
                            </w:r>
                          </w:p>
                          <w:p w14:paraId="5A0E6F65" w14:textId="77777777" w:rsidR="00DE4B66" w:rsidRDefault="00DE4B66" w:rsidP="00A366DA">
                            <w:pPr>
                              <w:jc w:val="center"/>
                            </w:pPr>
                            <w:r w:rsidRPr="00060EFA">
                              <w:t xml:space="preserve">A </w:t>
                            </w:r>
                            <w:r w:rsidRPr="003A7BF6">
                              <w:rPr>
                                <w:b/>
                              </w:rPr>
                              <w:t>L</w:t>
                            </w:r>
                            <w:r>
                              <w:rPr>
                                <w:b/>
                              </w:rPr>
                              <w:t xml:space="preserve">ocal </w:t>
                            </w:r>
                            <w:r w:rsidRPr="003A7BF6">
                              <w:rPr>
                                <w:b/>
                              </w:rPr>
                              <w:t>I</w:t>
                            </w:r>
                            <w:r>
                              <w:rPr>
                                <w:b/>
                              </w:rPr>
                              <w:t xml:space="preserve">ndustry </w:t>
                            </w:r>
                            <w:r w:rsidRPr="003A7BF6">
                              <w:rPr>
                                <w:b/>
                              </w:rPr>
                              <w:t>D</w:t>
                            </w:r>
                            <w:r>
                              <w:rPr>
                                <w:b/>
                              </w:rPr>
                              <w:t xml:space="preserve">evelopment </w:t>
                            </w:r>
                            <w:r w:rsidRPr="003A7BF6">
                              <w:rPr>
                                <w:b/>
                              </w:rPr>
                              <w:t>P</w:t>
                            </w:r>
                            <w:r>
                              <w:rPr>
                                <w:b/>
                              </w:rPr>
                              <w:t>lan (LIDP)</w:t>
                            </w:r>
                            <w:r w:rsidRPr="00060EFA">
                              <w:t xml:space="preserve"> must be provided by bidders </w:t>
                            </w:r>
                            <w:r>
                              <w:t xml:space="preserve">to be eligible </w:t>
                            </w:r>
                            <w:r w:rsidRPr="00060EFA">
                              <w:t>for any project subject to L</w:t>
                            </w:r>
                            <w:r>
                              <w:t xml:space="preserve">ocal </w:t>
                            </w:r>
                            <w:r w:rsidRPr="00060EFA">
                              <w:t>J</w:t>
                            </w:r>
                            <w:r>
                              <w:t xml:space="preserve">obs </w:t>
                            </w:r>
                            <w:r w:rsidRPr="00060EFA">
                              <w:t>F</w:t>
                            </w:r>
                            <w:r>
                              <w:t>irst</w:t>
                            </w:r>
                            <w:r w:rsidRPr="00060EFA">
                              <w:t xml:space="preserve">. </w:t>
                            </w:r>
                          </w:p>
                          <w:p w14:paraId="76D467CE" w14:textId="5D7E5911" w:rsidR="00DE4B66" w:rsidRPr="00373787" w:rsidRDefault="00DE4B66" w:rsidP="00A366DA">
                            <w:pPr>
                              <w:jc w:val="center"/>
                            </w:pPr>
                            <w:r>
                              <w:t xml:space="preserve">The ICN can assist suppliers in completing an LIDP. </w:t>
                            </w:r>
                            <w:r w:rsidRPr="00B8527F">
                              <w:t>The LIDP review function and identification of local goods and services and other assistance functions are administered by the ICN separately from one another. This is for reasons of probity and privacy.</w:t>
                            </w:r>
                            <w:r>
                              <w:rPr>
                                <w:rFonts w:cs="Arial"/>
                                <w:szCs w:val="18"/>
                                <w:lang w:eastAsia="en-AU"/>
                              </w:rPr>
                              <w:t xml:space="preserve"> Agencies are</w:t>
                            </w:r>
                            <w:r w:rsidRPr="001856B3">
                              <w:rPr>
                                <w:rFonts w:cs="Arial"/>
                                <w:szCs w:val="18"/>
                                <w:lang w:eastAsia="en-AU"/>
                              </w:rPr>
                              <w:t xml:space="preserve"> required to report on</w:t>
                            </w:r>
                            <w:r>
                              <w:rPr>
                                <w:rFonts w:cs="Arial"/>
                                <w:szCs w:val="18"/>
                                <w:lang w:eastAsia="en-AU"/>
                              </w:rPr>
                              <w:t xml:space="preserve"> Local Jobs First outcomes, including </w:t>
                            </w:r>
                            <w:r w:rsidRPr="001856B3">
                              <w:rPr>
                                <w:rFonts w:cs="Arial"/>
                                <w:szCs w:val="18"/>
                                <w:lang w:eastAsia="en-AU"/>
                              </w:rPr>
                              <w:t xml:space="preserve">local content </w:t>
                            </w:r>
                            <w:r>
                              <w:rPr>
                                <w:rFonts w:cs="Arial"/>
                                <w:szCs w:val="18"/>
                                <w:lang w:eastAsia="en-AU"/>
                              </w:rPr>
                              <w:t>and jobs to be delivered on the project and actual achievements, irrespective of the contestability assessment</w:t>
                            </w:r>
                            <w:r w:rsidRPr="001856B3">
                              <w:rPr>
                                <w:rFonts w:cs="Arial"/>
                                <w:szCs w:val="18"/>
                                <w:lang w:eastAsia="en-AU"/>
                              </w:rPr>
                              <w:t>.</w:t>
                            </w:r>
                          </w:p>
                        </w:txbxContent>
                      </wps:txbx>
                      <wps:bodyPr rot="0" vert="horz" wrap="square" lIns="91440" tIns="45720" rIns="91440" bIns="45720" anchor="t" anchorCtr="0">
                        <a:spAutoFit/>
                      </wps:bodyPr>
                    </wps:wsp>
                  </a:graphicData>
                </a:graphic>
              </wp:inline>
            </w:drawing>
          </mc:Choice>
          <mc:Fallback>
            <w:pict>
              <v:shape w14:anchorId="0167B449" id="Text Box 13" o:spid="_x0000_s1029" type="#_x0000_t202" style="width:49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">
                <v:textbox style="mso-fit-shape-to-text:t">
                  <w:txbxContent>
                    <w:p w14:paraId="04668793" w14:textId="77777777" w:rsidR="00DE4B66" w:rsidRDefault="00DE4B66" w:rsidP="00A366DA">
                      <w:pPr>
                        <w:jc w:val="center"/>
                      </w:pPr>
                      <w:r w:rsidRPr="00060EFA">
                        <w:t xml:space="preserve">Agencies must register projects on </w:t>
                      </w:r>
                      <w:r>
                        <w:t xml:space="preserve">the </w:t>
                      </w:r>
                      <w:r w:rsidRPr="00060EFA">
                        <w:t xml:space="preserve">Victorian Local Jobs First Management Centre </w:t>
                      </w:r>
                      <w:r>
                        <w:t xml:space="preserve">(VMC) </w:t>
                      </w:r>
                      <w:r w:rsidRPr="00060EFA">
                        <w:t xml:space="preserve">prior to the release of tender documents. </w:t>
                      </w:r>
                    </w:p>
                    <w:p w14:paraId="6C6BC367" w14:textId="77777777" w:rsidR="00DE4B66" w:rsidRDefault="00DE4B66" w:rsidP="00A366DA">
                      <w:pPr>
                        <w:jc w:val="center"/>
                      </w:pPr>
                      <w:r>
                        <w:t xml:space="preserve">The </w:t>
                      </w:r>
                      <w:r w:rsidRPr="00060EFA">
                        <w:t>I</w:t>
                      </w:r>
                      <w:r>
                        <w:t xml:space="preserve">ndustry </w:t>
                      </w:r>
                      <w:r w:rsidRPr="00060EFA">
                        <w:t>C</w:t>
                      </w:r>
                      <w:r>
                        <w:t xml:space="preserve">apability </w:t>
                      </w:r>
                      <w:r w:rsidRPr="00060EFA">
                        <w:t>N</w:t>
                      </w:r>
                      <w:r>
                        <w:t>etwork (ICN)</w:t>
                      </w:r>
                      <w:r w:rsidRPr="00060EFA">
                        <w:t xml:space="preserve"> will notify agencies of a project’s contestability.</w:t>
                      </w:r>
                    </w:p>
                    <w:p w14:paraId="7D344A2C" w14:textId="77777777" w:rsidR="00DE4B66" w:rsidRDefault="00DE4B66" w:rsidP="00A366DA">
                      <w:pPr>
                        <w:jc w:val="center"/>
                      </w:pPr>
                      <w:r w:rsidRPr="00060EFA">
                        <w:t>Agencies must notify prospective bidders of L</w:t>
                      </w:r>
                      <w:r>
                        <w:t xml:space="preserve">ocal </w:t>
                      </w:r>
                      <w:r w:rsidRPr="00060EFA">
                        <w:t>J</w:t>
                      </w:r>
                      <w:r>
                        <w:t xml:space="preserve">obs </w:t>
                      </w:r>
                      <w:r w:rsidRPr="00060EFA">
                        <w:t>F</w:t>
                      </w:r>
                      <w:r>
                        <w:t>irst</w:t>
                      </w:r>
                      <w:r w:rsidRPr="00060EFA">
                        <w:t xml:space="preserve"> requirements within tender documents.  </w:t>
                      </w:r>
                    </w:p>
                    <w:p w14:paraId="5A0E6F65" w14:textId="77777777" w:rsidR="00DE4B66" w:rsidRDefault="00DE4B66" w:rsidP="00A366DA">
                      <w:pPr>
                        <w:jc w:val="center"/>
                      </w:pPr>
                      <w:r w:rsidRPr="00060EFA">
                        <w:t xml:space="preserve">A </w:t>
                      </w:r>
                      <w:r w:rsidRPr="003A7BF6">
                        <w:rPr>
                          <w:b/>
                        </w:rPr>
                        <w:t>L</w:t>
                      </w:r>
                      <w:r>
                        <w:rPr>
                          <w:b/>
                        </w:rPr>
                        <w:t xml:space="preserve">ocal </w:t>
                      </w:r>
                      <w:r w:rsidRPr="003A7BF6">
                        <w:rPr>
                          <w:b/>
                        </w:rPr>
                        <w:t>I</w:t>
                      </w:r>
                      <w:r>
                        <w:rPr>
                          <w:b/>
                        </w:rPr>
                        <w:t xml:space="preserve">ndustry </w:t>
                      </w:r>
                      <w:r w:rsidRPr="003A7BF6">
                        <w:rPr>
                          <w:b/>
                        </w:rPr>
                        <w:t>D</w:t>
                      </w:r>
                      <w:r>
                        <w:rPr>
                          <w:b/>
                        </w:rPr>
                        <w:t xml:space="preserve">evelopment </w:t>
                      </w:r>
                      <w:r w:rsidRPr="003A7BF6">
                        <w:rPr>
                          <w:b/>
                        </w:rPr>
                        <w:t>P</w:t>
                      </w:r>
                      <w:r>
                        <w:rPr>
                          <w:b/>
                        </w:rPr>
                        <w:t>lan (LIDP)</w:t>
                      </w:r>
                      <w:r w:rsidRPr="00060EFA">
                        <w:t xml:space="preserve"> must be provided by bidders </w:t>
                      </w:r>
                      <w:r>
                        <w:t xml:space="preserve">to be eligible </w:t>
                      </w:r>
                      <w:r w:rsidRPr="00060EFA">
                        <w:t>for any project subject to L</w:t>
                      </w:r>
                      <w:r>
                        <w:t xml:space="preserve">ocal </w:t>
                      </w:r>
                      <w:r w:rsidRPr="00060EFA">
                        <w:t>J</w:t>
                      </w:r>
                      <w:r>
                        <w:t xml:space="preserve">obs </w:t>
                      </w:r>
                      <w:r w:rsidRPr="00060EFA">
                        <w:t>F</w:t>
                      </w:r>
                      <w:r>
                        <w:t>irst</w:t>
                      </w:r>
                      <w:r w:rsidRPr="00060EFA">
                        <w:t xml:space="preserve">. </w:t>
                      </w:r>
                    </w:p>
                    <w:p w14:paraId="76D467CE" w14:textId="5D7E5911" w:rsidR="00DE4B66" w:rsidRPr="00373787" w:rsidRDefault="00DE4B66" w:rsidP="00A366DA">
                      <w:pPr>
                        <w:jc w:val="center"/>
                      </w:pPr>
                      <w:r>
                        <w:t xml:space="preserve">The ICN can assist suppliers in completing an LIDP. </w:t>
                      </w:r>
                      <w:r w:rsidRPr="00B8527F">
                        <w:t>The LIDP review function and identification of local goods and services and other assistance functions are administered by the ICN separately from one another. This is for reasons of probity and privacy.</w:t>
                      </w:r>
                      <w:r>
                        <w:rPr>
                          <w:rFonts w:cs="Arial"/>
                          <w:szCs w:val="18"/>
                          <w:lang w:eastAsia="en-AU"/>
                        </w:rPr>
                        <w:t xml:space="preserve"> Agencies are</w:t>
                      </w:r>
                      <w:r w:rsidRPr="001856B3">
                        <w:rPr>
                          <w:rFonts w:cs="Arial"/>
                          <w:szCs w:val="18"/>
                          <w:lang w:eastAsia="en-AU"/>
                        </w:rPr>
                        <w:t xml:space="preserve"> required to report on</w:t>
                      </w:r>
                      <w:r>
                        <w:rPr>
                          <w:rFonts w:cs="Arial"/>
                          <w:szCs w:val="18"/>
                          <w:lang w:eastAsia="en-AU"/>
                        </w:rPr>
                        <w:t xml:space="preserve"> Local Jobs First outcomes, including </w:t>
                      </w:r>
                      <w:r w:rsidRPr="001856B3">
                        <w:rPr>
                          <w:rFonts w:cs="Arial"/>
                          <w:szCs w:val="18"/>
                          <w:lang w:eastAsia="en-AU"/>
                        </w:rPr>
                        <w:t xml:space="preserve">local content </w:t>
                      </w:r>
                      <w:r>
                        <w:rPr>
                          <w:rFonts w:cs="Arial"/>
                          <w:szCs w:val="18"/>
                          <w:lang w:eastAsia="en-AU"/>
                        </w:rPr>
                        <w:t>and jobs to be delivered on the project and actual achievements, irrespective of the contestability assessment</w:t>
                      </w:r>
                      <w:r w:rsidRPr="001856B3">
                        <w:rPr>
                          <w:rFonts w:cs="Arial"/>
                          <w:szCs w:val="18"/>
                          <w:lang w:eastAsia="en-AU"/>
                        </w:rPr>
                        <w:t>.</w:t>
                      </w:r>
                    </w:p>
                  </w:txbxContent>
                </v:textbox>
                <w10:anchorlock/>
              </v:shape>
            </w:pict>
          </mc:Fallback>
        </mc:AlternateContent>
      </w:r>
    </w:p>
    <w:p w14:paraId="3C276906" w14:textId="77777777" w:rsidR="00A366DA" w:rsidRPr="00C1407E" w:rsidRDefault="00A366DA" w:rsidP="00A366DA">
      <w:pPr>
        <w:spacing w:before="0"/>
        <w:jc w:val="both"/>
      </w:pPr>
      <w:r w:rsidRPr="003E3110">
        <w:rPr>
          <w:rFonts w:asciiTheme="minorHAnsi" w:hAnsiTheme="minorHAnsi" w:cstheme="minorHAnsi"/>
          <w:noProof/>
          <w:szCs w:val="18"/>
        </w:rPr>
        <mc:AlternateContent>
          <mc:Choice Requires="wps">
            <w:drawing>
              <wp:inline distT="0" distB="0" distL="0" distR="0" wp14:anchorId="6BF80B8C" wp14:editId="25DFF408">
                <wp:extent cx="6248400" cy="1404620"/>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14:paraId="70D46B61" w14:textId="6CFBA557" w:rsidR="00DE4B66" w:rsidRDefault="00DE4B66" w:rsidP="00A366DA">
                            <w:pPr>
                              <w:jc w:val="center"/>
                            </w:pPr>
                            <w:r>
                              <w:t xml:space="preserve">The </w:t>
                            </w:r>
                            <w:r w:rsidRPr="00060EFA">
                              <w:t xml:space="preserve">ICN will issue an </w:t>
                            </w:r>
                            <w:r w:rsidR="00B5557E">
                              <w:t>Acknowledgement Letter</w:t>
                            </w:r>
                            <w:r w:rsidRPr="00060EFA">
                              <w:t xml:space="preserve"> to a bidder if the </w:t>
                            </w:r>
                            <w:r>
                              <w:t>LIDP</w:t>
                            </w:r>
                            <w:r w:rsidRPr="00060EFA">
                              <w:t xml:space="preserve"> has been completed properly and submitted on time</w:t>
                            </w:r>
                            <w:r>
                              <w:t>.</w:t>
                            </w:r>
                          </w:p>
                          <w:p w14:paraId="20284AB2" w14:textId="524C09F8" w:rsidR="00DE4B66" w:rsidRDefault="00DE4B66" w:rsidP="00A366DA">
                            <w:pPr>
                              <w:jc w:val="center"/>
                              <w:rPr>
                                <w:b/>
                              </w:rPr>
                            </w:pPr>
                            <w:r>
                              <w:t>The ICN</w:t>
                            </w:r>
                            <w:r w:rsidRPr="00060EFA">
                              <w:t xml:space="preserve"> </w:t>
                            </w:r>
                            <w:r>
                              <w:t xml:space="preserve">will </w:t>
                            </w:r>
                            <w:r w:rsidRPr="00060EFA">
                              <w:t>provide a</w:t>
                            </w:r>
                            <w:r w:rsidR="00097B72">
                              <w:t>n</w:t>
                            </w:r>
                            <w:r w:rsidRPr="00060EFA">
                              <w:t xml:space="preserve"> </w:t>
                            </w:r>
                            <w:r w:rsidRPr="008D1DDF">
                              <w:t xml:space="preserve">LJF risk evaluation report </w:t>
                            </w:r>
                            <w:r w:rsidRPr="00060EFA">
                              <w:t xml:space="preserve">to the agency to </w:t>
                            </w:r>
                            <w:r>
                              <w:t>help</w:t>
                            </w:r>
                            <w:r w:rsidRPr="00060EFA">
                              <w:t xml:space="preserve"> the agency with the tender evaluation process.</w:t>
                            </w:r>
                            <w:r>
                              <w:rPr>
                                <w:b/>
                              </w:rPr>
                              <w:t xml:space="preserve"> </w:t>
                            </w:r>
                          </w:p>
                          <w:p w14:paraId="44C65C37" w14:textId="41520317" w:rsidR="00DE4B66" w:rsidRPr="00060EFA" w:rsidRDefault="00DE4B66" w:rsidP="00A366DA">
                            <w:pPr>
                              <w:jc w:val="center"/>
                              <w:rPr>
                                <w:b/>
                              </w:rPr>
                            </w:pPr>
                            <w:r w:rsidRPr="003A7BF6">
                              <w:rPr>
                                <w:b/>
                              </w:rPr>
                              <w:t xml:space="preserve">A tender proposal is not complete without an ICN </w:t>
                            </w:r>
                            <w:r w:rsidR="00B5557E">
                              <w:rPr>
                                <w:b/>
                              </w:rPr>
                              <w:t>Acknowledgement Letter</w:t>
                            </w:r>
                            <w:r w:rsidRPr="003A7BF6">
                              <w:rPr>
                                <w:b/>
                              </w:rPr>
                              <w:t>.</w:t>
                            </w:r>
                            <w:r>
                              <w:rPr>
                                <w:b/>
                              </w:rPr>
                              <w:t xml:space="preserve"> </w:t>
                            </w:r>
                          </w:p>
                        </w:txbxContent>
                      </wps:txbx>
                      <wps:bodyPr rot="0" vert="horz" wrap="square" lIns="91440" tIns="45720" rIns="91440" bIns="45720" anchor="t" anchorCtr="0">
                        <a:spAutoFit/>
                      </wps:bodyPr>
                    </wps:wsp>
                  </a:graphicData>
                </a:graphic>
              </wp:inline>
            </w:drawing>
          </mc:Choice>
          <mc:Fallback>
            <w:pict>
              <v:shape w14:anchorId="6BF80B8C" id="Text Box 14" o:spid="_x0000_s1030" type="#_x0000_t202" style="width:49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">
                <v:textbox style="mso-fit-shape-to-text:t">
                  <w:txbxContent>
                    <w:p w14:paraId="70D46B61" w14:textId="6CFBA557" w:rsidR="00DE4B66" w:rsidRDefault="00DE4B66" w:rsidP="00A366DA">
                      <w:pPr>
                        <w:jc w:val="center"/>
                      </w:pPr>
                      <w:r>
                        <w:t xml:space="preserve">The </w:t>
                      </w:r>
                      <w:r w:rsidRPr="00060EFA">
                        <w:t xml:space="preserve">ICN will issue an </w:t>
                      </w:r>
                      <w:r w:rsidR="00B5557E">
                        <w:t>Acknowledgement Letter</w:t>
                      </w:r>
                      <w:r w:rsidRPr="00060EFA">
                        <w:t xml:space="preserve"> to a bidder if the </w:t>
                      </w:r>
                      <w:r>
                        <w:t>LIDP</w:t>
                      </w:r>
                      <w:r w:rsidRPr="00060EFA">
                        <w:t xml:space="preserve"> has been completed properly and submitted on time</w:t>
                      </w:r>
                      <w:r>
                        <w:t>.</w:t>
                      </w:r>
                    </w:p>
                    <w:p w14:paraId="20284AB2" w14:textId="524C09F8" w:rsidR="00DE4B66" w:rsidRDefault="00DE4B66" w:rsidP="00A366DA">
                      <w:pPr>
                        <w:jc w:val="center"/>
                        <w:rPr>
                          <w:b/>
                        </w:rPr>
                      </w:pPr>
                      <w:r>
                        <w:t>The ICN</w:t>
                      </w:r>
                      <w:r w:rsidRPr="00060EFA">
                        <w:t xml:space="preserve"> </w:t>
                      </w:r>
                      <w:r>
                        <w:t xml:space="preserve">will </w:t>
                      </w:r>
                      <w:r w:rsidRPr="00060EFA">
                        <w:t>provide a</w:t>
                      </w:r>
                      <w:r w:rsidR="00097B72">
                        <w:t>n</w:t>
                      </w:r>
                      <w:r w:rsidRPr="00060EFA">
                        <w:t xml:space="preserve"> </w:t>
                      </w:r>
                      <w:r w:rsidRPr="008D1DDF">
                        <w:t xml:space="preserve">LJF risk evaluation report </w:t>
                      </w:r>
                      <w:r w:rsidRPr="00060EFA">
                        <w:t xml:space="preserve">to the agency to </w:t>
                      </w:r>
                      <w:r>
                        <w:t>help</w:t>
                      </w:r>
                      <w:r w:rsidRPr="00060EFA">
                        <w:t xml:space="preserve"> the agency with the tender evaluation process.</w:t>
                      </w:r>
                      <w:r>
                        <w:rPr>
                          <w:b/>
                        </w:rPr>
                        <w:t xml:space="preserve"> </w:t>
                      </w:r>
                    </w:p>
                    <w:p w14:paraId="44C65C37" w14:textId="41520317" w:rsidR="00DE4B66" w:rsidRPr="00060EFA" w:rsidRDefault="00DE4B66" w:rsidP="00A366DA">
                      <w:pPr>
                        <w:jc w:val="center"/>
                        <w:rPr>
                          <w:b/>
                        </w:rPr>
                      </w:pPr>
                      <w:r w:rsidRPr="003A7BF6">
                        <w:rPr>
                          <w:b/>
                        </w:rPr>
                        <w:t xml:space="preserve">A tender proposal is not complete without an ICN </w:t>
                      </w:r>
                      <w:r w:rsidR="00B5557E">
                        <w:rPr>
                          <w:b/>
                        </w:rPr>
                        <w:t>Acknowledgement Letter</w:t>
                      </w:r>
                      <w:r w:rsidRPr="003A7BF6">
                        <w:rPr>
                          <w:b/>
                        </w:rPr>
                        <w:t>.</w:t>
                      </w:r>
                      <w:r>
                        <w:rPr>
                          <w:b/>
                        </w:rPr>
                        <w:t xml:space="preserve"> </w:t>
                      </w:r>
                    </w:p>
                  </w:txbxContent>
                </v:textbox>
                <w10:anchorlock/>
              </v:shape>
            </w:pict>
          </mc:Fallback>
        </mc:AlternateContent>
      </w:r>
      <w:r w:rsidRPr="00A00B17">
        <w:rPr>
          <w:rFonts w:cs="Arial"/>
        </w:rPr>
        <w:t xml:space="preserve"> </w:t>
      </w:r>
    </w:p>
    <w:p w14:paraId="33F68073" w14:textId="77777777" w:rsidR="00B97128" w:rsidRDefault="00B97128" w:rsidP="00A366DA">
      <w:pPr>
        <w:rPr>
          <w:b/>
          <w:sz w:val="20"/>
        </w:rPr>
      </w:pPr>
    </w:p>
    <w:p w14:paraId="3420ECBF" w14:textId="77777777" w:rsidR="00B97128" w:rsidRDefault="00B97128" w:rsidP="00A366DA">
      <w:pPr>
        <w:rPr>
          <w:b/>
          <w:sz w:val="20"/>
        </w:rPr>
      </w:pPr>
    </w:p>
    <w:p w14:paraId="4EF4ED09" w14:textId="12AA8E47" w:rsidR="00A366DA" w:rsidRPr="00865235" w:rsidRDefault="00A366DA" w:rsidP="00A366DA">
      <w:pPr>
        <w:rPr>
          <w:b/>
          <w:sz w:val="20"/>
        </w:rPr>
      </w:pPr>
      <w:r w:rsidRPr="00865235">
        <w:rPr>
          <w:b/>
          <w:sz w:val="20"/>
        </w:rPr>
        <w:lastRenderedPageBreak/>
        <w:t xml:space="preserve">Step 5 – Final tender evaluation and consideration of LIDP </w:t>
      </w:r>
    </w:p>
    <w:p w14:paraId="253654A7" w14:textId="08A265BE" w:rsidR="00A366DA" w:rsidRPr="00AE74D9" w:rsidRDefault="00A366DA" w:rsidP="001D4767">
      <w:pPr>
        <w:numPr>
          <w:ilvl w:val="0"/>
          <w:numId w:val="15"/>
        </w:numPr>
        <w:spacing w:before="0"/>
        <w:jc w:val="both"/>
        <w:rPr>
          <w:rFonts w:cs="Arial"/>
        </w:rPr>
      </w:pPr>
      <w:r>
        <w:rPr>
          <w:rFonts w:cs="Arial"/>
        </w:rPr>
        <w:t>B</w:t>
      </w:r>
      <w:r w:rsidRPr="00AE74D9">
        <w:rPr>
          <w:rFonts w:cs="Arial"/>
        </w:rPr>
        <w:t xml:space="preserve">idders </w:t>
      </w:r>
      <w:r>
        <w:rPr>
          <w:rFonts w:cs="Arial"/>
        </w:rPr>
        <w:t>must</w:t>
      </w:r>
      <w:r w:rsidRPr="00AE74D9">
        <w:rPr>
          <w:rFonts w:cs="Arial"/>
        </w:rPr>
        <w:t xml:space="preserve"> submit their </w:t>
      </w:r>
      <w:r w:rsidRPr="00AB658B">
        <w:rPr>
          <w:rFonts w:cs="Arial"/>
        </w:rPr>
        <w:t xml:space="preserve">LIDP </w:t>
      </w:r>
      <w:r w:rsidRPr="00AE74D9">
        <w:rPr>
          <w:rFonts w:cs="Arial"/>
        </w:rPr>
        <w:t xml:space="preserve">and ICN </w:t>
      </w:r>
      <w:r w:rsidR="00B5557E">
        <w:rPr>
          <w:rFonts w:cs="Arial"/>
        </w:rPr>
        <w:t>Acknowledgement Letter</w:t>
      </w:r>
      <w:r w:rsidRPr="00AE74D9">
        <w:rPr>
          <w:rFonts w:cs="Arial"/>
        </w:rPr>
        <w:t xml:space="preserve"> to the agency</w:t>
      </w:r>
      <w:r>
        <w:rPr>
          <w:rFonts w:cs="Arial"/>
        </w:rPr>
        <w:t>.</w:t>
      </w:r>
      <w:r w:rsidRPr="00AE74D9">
        <w:rPr>
          <w:rFonts w:cs="Arial"/>
        </w:rPr>
        <w:t xml:space="preserve"> Only bidders with</w:t>
      </w:r>
      <w:r>
        <w:rPr>
          <w:rFonts w:cs="Arial"/>
        </w:rPr>
        <w:t xml:space="preserve"> an</w:t>
      </w:r>
      <w:r w:rsidRPr="00AE74D9">
        <w:rPr>
          <w:rFonts w:cs="Arial"/>
        </w:rPr>
        <w:t xml:space="preserve"> ICN </w:t>
      </w:r>
      <w:r>
        <w:rPr>
          <w:rFonts w:cs="Arial"/>
        </w:rPr>
        <w:t>acknowledged</w:t>
      </w:r>
      <w:r w:rsidRPr="00AE74D9">
        <w:rPr>
          <w:rFonts w:cs="Arial"/>
        </w:rPr>
        <w:t xml:space="preserve"> </w:t>
      </w:r>
      <w:r w:rsidRPr="00AB658B">
        <w:rPr>
          <w:rFonts w:cs="Arial"/>
        </w:rPr>
        <w:t xml:space="preserve">LIDP </w:t>
      </w:r>
      <w:r w:rsidRPr="00AE74D9">
        <w:rPr>
          <w:rFonts w:cs="Arial"/>
        </w:rPr>
        <w:t xml:space="preserve">may be considered by the </w:t>
      </w:r>
      <w:r>
        <w:rPr>
          <w:rFonts w:cs="Arial"/>
        </w:rPr>
        <w:t>agency during</w:t>
      </w:r>
      <w:r w:rsidRPr="00AE74D9">
        <w:rPr>
          <w:rFonts w:cs="Arial"/>
        </w:rPr>
        <w:t xml:space="preserve"> selecti</w:t>
      </w:r>
      <w:r>
        <w:rPr>
          <w:rFonts w:cs="Arial"/>
        </w:rPr>
        <w:t>on of</w:t>
      </w:r>
      <w:r w:rsidRPr="00AE74D9">
        <w:rPr>
          <w:rFonts w:cs="Arial"/>
        </w:rPr>
        <w:t xml:space="preserve"> the preferred </w:t>
      </w:r>
      <w:r>
        <w:rPr>
          <w:rFonts w:cs="Arial"/>
        </w:rPr>
        <w:t>bidder.</w:t>
      </w:r>
      <w:r w:rsidRPr="00AE74D9">
        <w:rPr>
          <w:rFonts w:cs="Arial"/>
        </w:rPr>
        <w:t xml:space="preserve"> </w:t>
      </w:r>
    </w:p>
    <w:p w14:paraId="305A511A" w14:textId="52539865" w:rsidR="00A366DA" w:rsidRPr="000E0A04" w:rsidRDefault="00A366DA" w:rsidP="001D4767">
      <w:pPr>
        <w:numPr>
          <w:ilvl w:val="0"/>
          <w:numId w:val="15"/>
        </w:numPr>
        <w:autoSpaceDE w:val="0"/>
        <w:autoSpaceDN w:val="0"/>
        <w:adjustRightInd w:val="0"/>
        <w:spacing w:before="0"/>
        <w:jc w:val="both"/>
        <w:rPr>
          <w:rFonts w:cs="Arial"/>
        </w:rPr>
      </w:pPr>
      <w:r w:rsidRPr="00804F32">
        <w:rPr>
          <w:rFonts w:cs="Arial"/>
        </w:rPr>
        <w:t>The agency must use the LJF</w:t>
      </w:r>
      <w:r w:rsidRPr="00A44086">
        <w:rPr>
          <w:rFonts w:cs="Arial"/>
        </w:rPr>
        <w:t xml:space="preserve"> risk evaluation report</w:t>
      </w:r>
      <w:r w:rsidRPr="00F776BC">
        <w:rPr>
          <w:rFonts w:cs="Arial"/>
        </w:rPr>
        <w:t xml:space="preserve"> </w:t>
      </w:r>
      <w:r w:rsidR="00C533B1">
        <w:rPr>
          <w:rFonts w:cs="Arial"/>
        </w:rPr>
        <w:t>completed</w:t>
      </w:r>
      <w:r w:rsidRPr="00F776BC">
        <w:rPr>
          <w:rFonts w:cs="Arial"/>
        </w:rPr>
        <w:t xml:space="preserve"> by the ICN in the tender evaluation process for bidder short-listing and selection.</w:t>
      </w:r>
    </w:p>
    <w:p w14:paraId="13E62266" w14:textId="77777777" w:rsidR="00A366DA" w:rsidRDefault="00A366DA" w:rsidP="001D4767">
      <w:pPr>
        <w:numPr>
          <w:ilvl w:val="0"/>
          <w:numId w:val="15"/>
        </w:numPr>
        <w:autoSpaceDE w:val="0"/>
        <w:autoSpaceDN w:val="0"/>
        <w:adjustRightInd w:val="0"/>
        <w:spacing w:before="0"/>
        <w:jc w:val="both"/>
        <w:rPr>
          <w:rFonts w:cs="Arial"/>
        </w:rPr>
      </w:pPr>
      <w:r w:rsidRPr="00AE74D9">
        <w:rPr>
          <w:rFonts w:cs="Arial"/>
        </w:rPr>
        <w:t xml:space="preserve">When assessing </w:t>
      </w:r>
      <w:r w:rsidRPr="00AB658B">
        <w:rPr>
          <w:rFonts w:cs="Arial"/>
        </w:rPr>
        <w:t>LIDP</w:t>
      </w:r>
      <w:r>
        <w:rPr>
          <w:rFonts w:cs="Arial"/>
        </w:rPr>
        <w:t>s</w:t>
      </w:r>
      <w:r w:rsidRPr="00AE74D9">
        <w:rPr>
          <w:rFonts w:cs="Arial"/>
        </w:rPr>
        <w:t xml:space="preserve">, an agency </w:t>
      </w:r>
      <w:r>
        <w:rPr>
          <w:rFonts w:cs="Arial"/>
        </w:rPr>
        <w:t>must</w:t>
      </w:r>
      <w:r w:rsidRPr="00AE74D9">
        <w:rPr>
          <w:rFonts w:cs="Arial"/>
        </w:rPr>
        <w:t xml:space="preserve"> apply a mandatory </w:t>
      </w:r>
      <w:r>
        <w:rPr>
          <w:rFonts w:cs="Arial"/>
        </w:rPr>
        <w:t xml:space="preserve">minimum </w:t>
      </w:r>
      <w:r w:rsidRPr="00AE74D9">
        <w:rPr>
          <w:rFonts w:cs="Arial"/>
        </w:rPr>
        <w:t xml:space="preserve">10 per cent weighting for </w:t>
      </w:r>
      <w:r>
        <w:rPr>
          <w:rFonts w:cs="Arial"/>
        </w:rPr>
        <w:t xml:space="preserve">industry development and 10 per cent for job outcomes. </w:t>
      </w:r>
      <w:r w:rsidRPr="00AE74D9">
        <w:rPr>
          <w:rFonts w:cs="Arial"/>
        </w:rPr>
        <w:t xml:space="preserve">This is designed to ensure that </w:t>
      </w:r>
      <w:r>
        <w:rPr>
          <w:rFonts w:cs="Arial"/>
        </w:rPr>
        <w:t>industry development and job opportunities are maximised by bidders in delivery of the project</w:t>
      </w:r>
      <w:r w:rsidRPr="00AE74D9">
        <w:rPr>
          <w:rFonts w:cs="Arial"/>
        </w:rPr>
        <w:t xml:space="preserve">. </w:t>
      </w:r>
    </w:p>
    <w:p w14:paraId="7EC24F42" w14:textId="46A5FAE3" w:rsidR="00A366DA" w:rsidRDefault="00A366DA" w:rsidP="001D4767">
      <w:pPr>
        <w:numPr>
          <w:ilvl w:val="0"/>
          <w:numId w:val="15"/>
        </w:numPr>
        <w:spacing w:before="0"/>
        <w:jc w:val="both"/>
        <w:rPr>
          <w:rFonts w:cs="Arial"/>
        </w:rPr>
      </w:pPr>
      <w:r w:rsidRPr="00BD4F55">
        <w:rPr>
          <w:rFonts w:cs="Arial"/>
        </w:rPr>
        <w:t xml:space="preserve">During the tender evaluation process, the agency should assure themselves of the LIDP commitments and address with the bidders any issues of concern with the LIDPs, including risks identified in the </w:t>
      </w:r>
      <w:r w:rsidRPr="003D0FEF">
        <w:rPr>
          <w:rFonts w:cs="Arial"/>
        </w:rPr>
        <w:t>LJF risk evaluation report</w:t>
      </w:r>
      <w:r w:rsidRPr="00BD4F55">
        <w:rPr>
          <w:rFonts w:cs="Arial"/>
        </w:rPr>
        <w:t xml:space="preserve">. </w:t>
      </w:r>
      <w:r w:rsidRPr="0002578D">
        <w:rPr>
          <w:rFonts w:cs="Arial"/>
          <w:b/>
        </w:rPr>
        <w:t>Agencies may request bidders re-submit an LIDP</w:t>
      </w:r>
      <w:r>
        <w:rPr>
          <w:rFonts w:cs="Arial"/>
        </w:rPr>
        <w:t>. I</w:t>
      </w:r>
      <w:r w:rsidRPr="00BD4F55">
        <w:rPr>
          <w:rFonts w:cs="Arial"/>
        </w:rPr>
        <w:t>t must be revised and resubmitted to ICN for acknowledg</w:t>
      </w:r>
      <w:r w:rsidR="00E53DB9">
        <w:rPr>
          <w:rFonts w:cs="Arial"/>
        </w:rPr>
        <w:t>e</w:t>
      </w:r>
      <w:r w:rsidRPr="00BD4F55">
        <w:rPr>
          <w:rFonts w:cs="Arial"/>
        </w:rPr>
        <w:t>ment through the VMC</w:t>
      </w:r>
      <w:r>
        <w:rPr>
          <w:rFonts w:cs="Arial"/>
        </w:rPr>
        <w:t>, and subsequent reassessment by the ICN and agency</w:t>
      </w:r>
      <w:r w:rsidRPr="00BD4F55">
        <w:rPr>
          <w:rFonts w:cs="Arial"/>
        </w:rPr>
        <w:t xml:space="preserve">. </w:t>
      </w:r>
    </w:p>
    <w:p w14:paraId="7F679D9F" w14:textId="1E7E145A" w:rsidR="00A366DA" w:rsidRDefault="00A366DA" w:rsidP="001D4767">
      <w:pPr>
        <w:numPr>
          <w:ilvl w:val="0"/>
          <w:numId w:val="15"/>
        </w:numPr>
        <w:spacing w:before="0"/>
        <w:jc w:val="both"/>
        <w:rPr>
          <w:rFonts w:cs="Arial"/>
        </w:rPr>
      </w:pPr>
      <w:r w:rsidRPr="00BD4F55">
        <w:rPr>
          <w:rFonts w:cs="Arial"/>
        </w:rPr>
        <w:t>The agency’s project manager must notify the ICN</w:t>
      </w:r>
      <w:r>
        <w:rPr>
          <w:rFonts w:cs="Arial"/>
        </w:rPr>
        <w:t xml:space="preserve"> through the VMC </w:t>
      </w:r>
      <w:r w:rsidRPr="00BD4F55">
        <w:rPr>
          <w:rFonts w:cs="Arial"/>
        </w:rPr>
        <w:t xml:space="preserve">that a bidder is </w:t>
      </w:r>
      <w:r>
        <w:rPr>
          <w:rFonts w:cs="Arial"/>
        </w:rPr>
        <w:t xml:space="preserve">going to re-submit </w:t>
      </w:r>
      <w:r w:rsidRPr="00BD4F55">
        <w:rPr>
          <w:rFonts w:cs="Arial"/>
        </w:rPr>
        <w:t>their LIDP</w:t>
      </w:r>
      <w:r>
        <w:rPr>
          <w:rFonts w:cs="Arial"/>
        </w:rPr>
        <w:t xml:space="preserve">. Once a plan is re-submitted, it will go through the same process for an </w:t>
      </w:r>
      <w:r w:rsidR="00B5557E">
        <w:rPr>
          <w:rFonts w:cs="Arial"/>
        </w:rPr>
        <w:t>Acknowledgement Letter</w:t>
      </w:r>
      <w:r>
        <w:rPr>
          <w:rFonts w:cs="Arial"/>
        </w:rPr>
        <w:t xml:space="preserve"> and evaluation.</w:t>
      </w:r>
    </w:p>
    <w:p w14:paraId="4516C656" w14:textId="77777777" w:rsidR="00A366DA" w:rsidRDefault="00A366DA" w:rsidP="001D4767">
      <w:pPr>
        <w:numPr>
          <w:ilvl w:val="0"/>
          <w:numId w:val="15"/>
        </w:numPr>
        <w:spacing w:before="0"/>
        <w:jc w:val="both"/>
        <w:rPr>
          <w:rFonts w:cs="Arial"/>
        </w:rPr>
      </w:pPr>
      <w:r>
        <w:rPr>
          <w:rFonts w:cs="Arial"/>
        </w:rPr>
        <w:t xml:space="preserve">Instances requiring re-submission may cover instances where mistakes have been identified or further clarification is required to provide assurance to the agency a specific supplier will able to meet their stated commitments. </w:t>
      </w:r>
    </w:p>
    <w:p w14:paraId="15C3A889" w14:textId="77777777" w:rsidR="00A366DA" w:rsidRDefault="00A366DA" w:rsidP="001D4767">
      <w:pPr>
        <w:numPr>
          <w:ilvl w:val="0"/>
          <w:numId w:val="15"/>
        </w:numPr>
        <w:spacing w:before="0"/>
        <w:jc w:val="both"/>
        <w:rPr>
          <w:rFonts w:cs="Arial"/>
        </w:rPr>
      </w:pPr>
      <w:r>
        <w:rPr>
          <w:rFonts w:cs="Arial"/>
        </w:rPr>
        <w:t xml:space="preserve">Any re-submissions must be compliant with an agency’s own probity rules and regulations. </w:t>
      </w:r>
    </w:p>
    <w:p w14:paraId="0E255AB4" w14:textId="77777777" w:rsidR="00A366DA" w:rsidRPr="00C83DA1" w:rsidRDefault="00A366DA" w:rsidP="00C83DA1">
      <w:pPr>
        <w:rPr>
          <w:b/>
          <w:sz w:val="20"/>
        </w:rPr>
      </w:pPr>
      <w:r w:rsidRPr="00C83DA1">
        <w:rPr>
          <w:b/>
          <w:sz w:val="20"/>
        </w:rPr>
        <w:t xml:space="preserve">Step 6 – Scoring the 20 per cent weighting </w:t>
      </w:r>
    </w:p>
    <w:p w14:paraId="4A155114" w14:textId="77777777" w:rsidR="00A366DA" w:rsidRDefault="00A366DA" w:rsidP="001D4767">
      <w:pPr>
        <w:numPr>
          <w:ilvl w:val="0"/>
          <w:numId w:val="15"/>
        </w:numPr>
        <w:spacing w:before="0"/>
        <w:jc w:val="both"/>
        <w:rPr>
          <w:rFonts w:cs="Arial"/>
        </w:rPr>
      </w:pPr>
      <w:r w:rsidRPr="00E20281">
        <w:rPr>
          <w:rFonts w:cs="Arial"/>
        </w:rPr>
        <w:t xml:space="preserve">The </w:t>
      </w:r>
      <w:r>
        <w:rPr>
          <w:rFonts w:cs="Arial"/>
        </w:rPr>
        <w:t>Act</w:t>
      </w:r>
      <w:r w:rsidRPr="00E20281">
        <w:rPr>
          <w:rFonts w:cs="Arial"/>
        </w:rPr>
        <w:t xml:space="preserve"> sets a mandatory weighting of 10</w:t>
      </w:r>
      <w:r>
        <w:rPr>
          <w:rFonts w:cs="Arial"/>
        </w:rPr>
        <w:t xml:space="preserve"> per cent</w:t>
      </w:r>
      <w:r w:rsidRPr="00E20281">
        <w:rPr>
          <w:rFonts w:cs="Arial"/>
        </w:rPr>
        <w:t xml:space="preserve"> for industry development and 10</w:t>
      </w:r>
      <w:r>
        <w:rPr>
          <w:rFonts w:cs="Arial"/>
        </w:rPr>
        <w:t xml:space="preserve"> per cent</w:t>
      </w:r>
      <w:r w:rsidRPr="00E20281">
        <w:rPr>
          <w:rFonts w:cs="Arial"/>
        </w:rPr>
        <w:t xml:space="preserve"> for job outcomes to be applied by all government agencies in the evaluation of </w:t>
      </w:r>
      <w:r>
        <w:rPr>
          <w:rFonts w:cs="Arial"/>
        </w:rPr>
        <w:t>the local jobs first commitments</w:t>
      </w:r>
      <w:r w:rsidRPr="00E20281">
        <w:rPr>
          <w:rFonts w:cs="Arial"/>
        </w:rPr>
        <w:t>.</w:t>
      </w:r>
      <w:r>
        <w:rPr>
          <w:rFonts w:cs="Arial"/>
        </w:rPr>
        <w:t xml:space="preserve"> </w:t>
      </w:r>
      <w:r w:rsidRPr="00B46988">
        <w:rPr>
          <w:rFonts w:cs="Arial"/>
          <w:b/>
        </w:rPr>
        <w:t>It is therefore not permissible to include other evaluation criteria such as social procurement requirements</w:t>
      </w:r>
      <w:r>
        <w:rPr>
          <w:rFonts w:cs="Arial"/>
          <w:b/>
        </w:rPr>
        <w:t>,</w:t>
      </w:r>
      <w:r w:rsidRPr="00B46988">
        <w:rPr>
          <w:rFonts w:cs="Arial"/>
          <w:b/>
        </w:rPr>
        <w:t xml:space="preserve"> as part of the</w:t>
      </w:r>
      <w:r>
        <w:rPr>
          <w:rFonts w:cs="Arial"/>
          <w:b/>
        </w:rPr>
        <w:t xml:space="preserve"> legislated</w:t>
      </w:r>
      <w:r w:rsidRPr="00B46988">
        <w:rPr>
          <w:rFonts w:cs="Arial"/>
          <w:b/>
        </w:rPr>
        <w:t xml:space="preserve"> 20</w:t>
      </w:r>
      <w:r>
        <w:rPr>
          <w:rFonts w:cs="Arial"/>
          <w:b/>
        </w:rPr>
        <w:t xml:space="preserve"> per cent</w:t>
      </w:r>
      <w:r w:rsidRPr="00B46988">
        <w:rPr>
          <w:rFonts w:cs="Arial"/>
          <w:b/>
        </w:rPr>
        <w:t xml:space="preserve"> weighting for LJF.</w:t>
      </w:r>
      <w:r>
        <w:rPr>
          <w:rFonts w:cs="Arial"/>
        </w:rPr>
        <w:t xml:space="preserve">  </w:t>
      </w:r>
    </w:p>
    <w:p w14:paraId="2ED4541E" w14:textId="77777777" w:rsidR="00A366DA" w:rsidRPr="0002578D" w:rsidRDefault="00A366DA" w:rsidP="001D4767">
      <w:pPr>
        <w:numPr>
          <w:ilvl w:val="0"/>
          <w:numId w:val="15"/>
        </w:numPr>
        <w:spacing w:before="0"/>
        <w:jc w:val="both"/>
        <w:rPr>
          <w:rFonts w:cs="Arial"/>
        </w:rPr>
      </w:pPr>
      <w:r w:rsidRPr="0002578D">
        <w:rPr>
          <w:rFonts w:cs="Arial"/>
        </w:rPr>
        <w:t xml:space="preserve">Where there are multiple stages within a procurement process, the agency must apply the weightings as early as possible and all subsequent stages. </w:t>
      </w:r>
    </w:p>
    <w:p w14:paraId="22ABD34C" w14:textId="34C5C3AC" w:rsidR="00A366DA" w:rsidRDefault="00A366DA" w:rsidP="001D4767">
      <w:pPr>
        <w:numPr>
          <w:ilvl w:val="0"/>
          <w:numId w:val="15"/>
        </w:numPr>
        <w:spacing w:before="0"/>
        <w:jc w:val="both"/>
        <w:rPr>
          <w:rFonts w:cs="Arial"/>
        </w:rPr>
      </w:pPr>
      <w:r w:rsidRPr="007A1F8C">
        <w:rPr>
          <w:rFonts w:cs="Arial"/>
        </w:rPr>
        <w:t xml:space="preserve">In addition, evidence that the weightings have been applied must be retained for project auditing purposes, including reviews undertaken by </w:t>
      </w:r>
      <w:r>
        <w:rPr>
          <w:rFonts w:cs="Arial"/>
        </w:rPr>
        <w:t>DJPR</w:t>
      </w:r>
      <w:r w:rsidRPr="007A1F8C">
        <w:rPr>
          <w:rFonts w:cs="Arial"/>
        </w:rPr>
        <w:t xml:space="preserve"> and the Local Jobs First Commissioner. </w:t>
      </w:r>
    </w:p>
    <w:p w14:paraId="21F067F7" w14:textId="3CC34153" w:rsidR="0077464D" w:rsidRDefault="0077464D" w:rsidP="001D4767">
      <w:pPr>
        <w:pStyle w:val="ListParagraph"/>
        <w:numPr>
          <w:ilvl w:val="0"/>
          <w:numId w:val="15"/>
        </w:numPr>
        <w:rPr>
          <w:rFonts w:ascii="Arial" w:hAnsi="Arial" w:cs="Arial"/>
          <w:sz w:val="18"/>
          <w:szCs w:val="20"/>
          <w:lang w:eastAsia="en-US"/>
        </w:rPr>
      </w:pPr>
      <w:r w:rsidRPr="0077464D">
        <w:rPr>
          <w:rFonts w:ascii="Arial" w:hAnsi="Arial" w:cs="Arial"/>
          <w:sz w:val="18"/>
          <w:szCs w:val="20"/>
          <w:lang w:eastAsia="en-US"/>
        </w:rPr>
        <w:t>For LIDPs that reflect a nil- or limited contestability contract, the 10 per cent weighting for industry development (local content) should be automatically assessed as a 10 out of 10 due to this tender being of nil- or limited contestability.</w:t>
      </w:r>
    </w:p>
    <w:p w14:paraId="29ADDA2E" w14:textId="77777777" w:rsidR="0077464D" w:rsidRPr="0077464D" w:rsidRDefault="0077464D" w:rsidP="0077464D">
      <w:pPr>
        <w:pStyle w:val="ListParagraph"/>
        <w:ind w:left="360"/>
        <w:rPr>
          <w:rFonts w:ascii="Arial" w:hAnsi="Arial" w:cs="Arial"/>
          <w:sz w:val="18"/>
          <w:szCs w:val="20"/>
          <w:lang w:eastAsia="en-US"/>
        </w:rPr>
      </w:pPr>
    </w:p>
    <w:p w14:paraId="34D5E0A1" w14:textId="4A64F7D3" w:rsidR="00A366DA" w:rsidRPr="00B46988" w:rsidRDefault="00A366DA" w:rsidP="001D4767">
      <w:pPr>
        <w:pStyle w:val="ListParagraph"/>
        <w:numPr>
          <w:ilvl w:val="0"/>
          <w:numId w:val="15"/>
        </w:numPr>
        <w:jc w:val="both"/>
        <w:rPr>
          <w:b/>
          <w:sz w:val="20"/>
        </w:rPr>
      </w:pPr>
      <w:r w:rsidRPr="007A1F8C">
        <w:rPr>
          <w:rFonts w:ascii="Arial" w:hAnsi="Arial" w:cs="Arial"/>
          <w:sz w:val="18"/>
          <w:szCs w:val="20"/>
          <w:lang w:eastAsia="en-US"/>
        </w:rPr>
        <w:t xml:space="preserve">Below are recommendations on how to apply the Local Jobs First weightings. However, your agency may wish to apply a different methodology in order to meet the intent of a specific project. Contact </w:t>
      </w:r>
      <w:r>
        <w:rPr>
          <w:rFonts w:ascii="Arial" w:hAnsi="Arial" w:cs="Arial"/>
          <w:sz w:val="18"/>
          <w:szCs w:val="20"/>
          <w:lang w:eastAsia="en-US"/>
        </w:rPr>
        <w:t xml:space="preserve">DJPR </w:t>
      </w:r>
      <w:r w:rsidRPr="007A1F8C">
        <w:rPr>
          <w:rFonts w:ascii="Arial" w:hAnsi="Arial" w:cs="Arial"/>
          <w:sz w:val="18"/>
          <w:szCs w:val="20"/>
          <w:lang w:eastAsia="en-US"/>
        </w:rPr>
        <w:t xml:space="preserve">in order to establish the feasibility of the methodology. </w:t>
      </w:r>
    </w:p>
    <w:p w14:paraId="05138DA0" w14:textId="77777777" w:rsidR="003E1D9F" w:rsidRPr="00920BCD" w:rsidRDefault="003E1D9F" w:rsidP="003E1D9F">
      <w:pPr>
        <w:rPr>
          <w:rFonts w:asciiTheme="minorHAnsi" w:hAnsiTheme="minorHAnsi" w:cstheme="minorHAnsi"/>
          <w:b/>
          <w:szCs w:val="18"/>
          <w:u w:val="single"/>
        </w:rPr>
      </w:pPr>
      <w:r w:rsidRPr="00920BCD">
        <w:rPr>
          <w:rFonts w:asciiTheme="minorHAnsi" w:hAnsiTheme="minorHAnsi" w:cstheme="minorHAnsi"/>
          <w:b/>
          <w:szCs w:val="18"/>
          <w:u w:val="single"/>
        </w:rPr>
        <w:t xml:space="preserve">Guidance on assessment of industry development outcomes </w:t>
      </w:r>
      <w:r>
        <w:rPr>
          <w:rFonts w:asciiTheme="minorHAnsi" w:hAnsiTheme="minorHAnsi" w:cstheme="minorHAnsi"/>
          <w:b/>
          <w:szCs w:val="18"/>
          <w:u w:val="single"/>
        </w:rPr>
        <w:t xml:space="preserve">– Local Jobs First </w:t>
      </w:r>
      <w:r w:rsidRPr="00920BCD">
        <w:rPr>
          <w:rFonts w:asciiTheme="minorHAnsi" w:hAnsiTheme="minorHAnsi" w:cstheme="minorHAnsi"/>
          <w:b/>
          <w:szCs w:val="18"/>
          <w:u w:val="single"/>
        </w:rPr>
        <w:t>Strategic Projects Only</w:t>
      </w:r>
    </w:p>
    <w:p w14:paraId="5A2CD3A5" w14:textId="54C0EB06" w:rsidR="003E1D9F" w:rsidRPr="00A108CD" w:rsidRDefault="003E1D9F" w:rsidP="003E1D9F">
      <w:pPr>
        <w:rPr>
          <w:rFonts w:asciiTheme="minorHAnsi" w:hAnsiTheme="minorHAnsi" w:cstheme="minorHAnsi"/>
          <w:b/>
          <w:szCs w:val="18"/>
        </w:rPr>
      </w:pPr>
      <w:r w:rsidRPr="00A108CD">
        <w:rPr>
          <w:rFonts w:asciiTheme="minorHAnsi" w:hAnsiTheme="minorHAnsi" w:cstheme="minorHAnsi"/>
          <w:b/>
          <w:szCs w:val="18"/>
        </w:rPr>
        <w:t xml:space="preserve">The </w:t>
      </w:r>
      <w:r w:rsidR="0073403E" w:rsidRPr="00A108CD">
        <w:rPr>
          <w:rFonts w:asciiTheme="minorHAnsi" w:hAnsiTheme="minorHAnsi" w:cstheme="minorHAnsi"/>
          <w:b/>
          <w:szCs w:val="18"/>
        </w:rPr>
        <w:t xml:space="preserve">steps </w:t>
      </w:r>
      <w:r w:rsidRPr="00A108CD">
        <w:rPr>
          <w:rFonts w:asciiTheme="minorHAnsi" w:hAnsiTheme="minorHAnsi" w:cstheme="minorHAnsi"/>
          <w:b/>
          <w:szCs w:val="18"/>
        </w:rPr>
        <w:t>below should be followed to calculate the industry development evaluation score for a bidder</w:t>
      </w:r>
      <w:r>
        <w:rPr>
          <w:rFonts w:asciiTheme="minorHAnsi" w:hAnsiTheme="minorHAnsi" w:cstheme="minorHAnsi"/>
          <w:b/>
          <w:szCs w:val="18"/>
        </w:rPr>
        <w:t xml:space="preserve"> on a</w:t>
      </w:r>
      <w:r w:rsidR="004F62D5">
        <w:rPr>
          <w:rFonts w:asciiTheme="minorHAnsi" w:hAnsiTheme="minorHAnsi" w:cstheme="minorHAnsi"/>
          <w:b/>
          <w:szCs w:val="18"/>
        </w:rPr>
        <w:t>n</w:t>
      </w:r>
      <w:r>
        <w:rPr>
          <w:rFonts w:asciiTheme="minorHAnsi" w:hAnsiTheme="minorHAnsi" w:cstheme="minorHAnsi"/>
          <w:b/>
          <w:szCs w:val="18"/>
        </w:rPr>
        <w:t xml:space="preserve"> LJF Strategic Project</w:t>
      </w:r>
      <w:r w:rsidRPr="00A108CD">
        <w:rPr>
          <w:rFonts w:asciiTheme="minorHAnsi" w:hAnsiTheme="minorHAnsi" w:cstheme="minorHAnsi"/>
          <w:b/>
          <w:szCs w:val="18"/>
        </w:rPr>
        <w:t xml:space="preserve">: </w:t>
      </w:r>
    </w:p>
    <w:p w14:paraId="04C03457" w14:textId="627FA795" w:rsidR="003E1D9F" w:rsidRPr="00547E1B" w:rsidRDefault="003E1D9F" w:rsidP="001D4767">
      <w:pPr>
        <w:numPr>
          <w:ilvl w:val="0"/>
          <w:numId w:val="15"/>
        </w:numPr>
        <w:spacing w:before="0"/>
        <w:jc w:val="both"/>
        <w:rPr>
          <w:rFonts w:cs="Arial"/>
        </w:rPr>
      </w:pPr>
      <w:r w:rsidRPr="00547E1B">
        <w:rPr>
          <w:rFonts w:cs="Arial"/>
          <w:b/>
        </w:rPr>
        <w:t>Identify whether the bidder Passes or Fails the minimum threshold test:</w:t>
      </w:r>
      <w:r w:rsidRPr="00547E1B">
        <w:rPr>
          <w:rFonts w:cs="Arial"/>
        </w:rPr>
        <w:t xml:space="preserve"> A bid should be designated either a PASS or a FAIL rating based on whether the bid meets the minimum local content threshold set by the Minister</w:t>
      </w:r>
      <w:r w:rsidR="008823A0" w:rsidRPr="00547E1B">
        <w:rPr>
          <w:rFonts w:cs="Arial"/>
        </w:rPr>
        <w:t xml:space="preserve"> for Jobs, Innovation and Trade</w:t>
      </w:r>
      <w:r w:rsidRPr="00547E1B">
        <w:rPr>
          <w:rFonts w:cs="Arial"/>
        </w:rPr>
        <w:t xml:space="preserve">. A bid is designated a PASS if it meets the minimum local content threshold or a FAIL if the bid does not meet the minimum local content threshold. </w:t>
      </w:r>
    </w:p>
    <w:p w14:paraId="5CA4A773" w14:textId="77777777" w:rsidR="003E1D9F" w:rsidRPr="00547E1B" w:rsidRDefault="003E1D9F" w:rsidP="001D4767">
      <w:pPr>
        <w:numPr>
          <w:ilvl w:val="0"/>
          <w:numId w:val="15"/>
        </w:numPr>
        <w:spacing w:before="0"/>
        <w:jc w:val="both"/>
        <w:rPr>
          <w:rFonts w:cs="Arial"/>
        </w:rPr>
      </w:pPr>
      <w:r w:rsidRPr="001A1387">
        <w:rPr>
          <w:rFonts w:cs="Arial"/>
          <w:b/>
        </w:rPr>
        <w:t>Designate the bid non-compliant if the bid fails the minimum threshold test:</w:t>
      </w:r>
      <w:r w:rsidRPr="00547E1B">
        <w:rPr>
          <w:rFonts w:cs="Arial"/>
        </w:rPr>
        <w:t xml:space="preserve"> If the bid is designated a FAIL rating, the bid is non-compliant against this mandatory evaluation criterion and no further steps need to be followed. </w:t>
      </w:r>
    </w:p>
    <w:p w14:paraId="33B8C94F" w14:textId="673BC015" w:rsidR="003E1D9F" w:rsidRPr="00547E1B" w:rsidRDefault="003E1D9F" w:rsidP="001D4767">
      <w:pPr>
        <w:numPr>
          <w:ilvl w:val="0"/>
          <w:numId w:val="15"/>
        </w:numPr>
        <w:spacing w:before="0"/>
        <w:jc w:val="both"/>
        <w:rPr>
          <w:rFonts w:cs="Arial"/>
        </w:rPr>
      </w:pPr>
      <w:r w:rsidRPr="001A1387">
        <w:rPr>
          <w:rFonts w:cs="Arial"/>
          <w:b/>
        </w:rPr>
        <w:t>Allocate 10</w:t>
      </w:r>
      <w:r w:rsidR="008823A0" w:rsidRPr="001A1387">
        <w:rPr>
          <w:rFonts w:cs="Arial"/>
          <w:b/>
        </w:rPr>
        <w:t xml:space="preserve"> per cent</w:t>
      </w:r>
      <w:r w:rsidRPr="001A1387">
        <w:rPr>
          <w:rFonts w:cs="Arial"/>
          <w:b/>
        </w:rPr>
        <w:t xml:space="preserve"> of the total points for the bid evaluation to assessment of LIDP</w:t>
      </w:r>
      <w:r w:rsidR="00EB1857">
        <w:rPr>
          <w:rFonts w:cs="Arial"/>
          <w:b/>
        </w:rPr>
        <w:t>s</w:t>
      </w:r>
      <w:r w:rsidRPr="001A1387">
        <w:rPr>
          <w:rFonts w:cs="Arial"/>
          <w:b/>
        </w:rPr>
        <w:t>:</w:t>
      </w:r>
      <w:r w:rsidRPr="00547E1B">
        <w:rPr>
          <w:rFonts w:cs="Arial"/>
        </w:rPr>
        <w:t xml:space="preserve"> For example, for a bid evaluation where a maximum of 100 points can be earned, 10 points are allocated to the evaluation of industry development outcomes. </w:t>
      </w:r>
    </w:p>
    <w:p w14:paraId="530FB011" w14:textId="77777777" w:rsidR="003E1D9F" w:rsidRPr="00547E1B" w:rsidRDefault="003E1D9F" w:rsidP="001D4767">
      <w:pPr>
        <w:numPr>
          <w:ilvl w:val="0"/>
          <w:numId w:val="15"/>
        </w:numPr>
        <w:spacing w:before="0"/>
        <w:jc w:val="both"/>
        <w:rPr>
          <w:rFonts w:cs="Arial"/>
        </w:rPr>
      </w:pPr>
      <w:r w:rsidRPr="001A1387">
        <w:rPr>
          <w:rFonts w:cs="Arial"/>
          <w:b/>
        </w:rPr>
        <w:t>Calculate the ‘VALUE-ADD’ score if the bid passes the minimum threshold test:</w:t>
      </w:r>
      <w:r w:rsidRPr="00547E1B">
        <w:rPr>
          <w:rFonts w:cs="Arial"/>
        </w:rPr>
        <w:t xml:space="preserve">  If the bid is designated a PASS rating, a VALUE-ADD score is calculated (if applicable). </w:t>
      </w:r>
    </w:p>
    <w:p w14:paraId="1BE26A3F" w14:textId="63922349" w:rsidR="003E1D9F" w:rsidRPr="001A1387" w:rsidRDefault="003E1D9F" w:rsidP="001D4767">
      <w:pPr>
        <w:numPr>
          <w:ilvl w:val="0"/>
          <w:numId w:val="15"/>
        </w:numPr>
        <w:spacing w:before="0"/>
        <w:jc w:val="both"/>
        <w:rPr>
          <w:rFonts w:cs="Arial"/>
          <w:b/>
        </w:rPr>
      </w:pPr>
      <w:r w:rsidRPr="001A1387">
        <w:rPr>
          <w:rFonts w:cs="Arial"/>
          <w:b/>
        </w:rPr>
        <w:lastRenderedPageBreak/>
        <w:t xml:space="preserve">For bids that meet the minimum local content in the LIDP but do not commit to more than the minimum percentage, the bid is designated a PASS rating and the </w:t>
      </w:r>
      <w:r w:rsidR="0073403E" w:rsidRPr="001A1387">
        <w:rPr>
          <w:rFonts w:cs="Arial"/>
          <w:b/>
        </w:rPr>
        <w:t>VALUE</w:t>
      </w:r>
      <w:r w:rsidRPr="001A1387">
        <w:rPr>
          <w:rFonts w:cs="Arial"/>
          <w:b/>
        </w:rPr>
        <w:t xml:space="preserve">-ADD score is calculated to be zero. </w:t>
      </w:r>
    </w:p>
    <w:p w14:paraId="634AB87E" w14:textId="47751A26" w:rsidR="003E1D9F" w:rsidRPr="002D521F" w:rsidRDefault="003E1D9F" w:rsidP="001D4767">
      <w:pPr>
        <w:numPr>
          <w:ilvl w:val="0"/>
          <w:numId w:val="15"/>
        </w:numPr>
        <w:spacing w:before="0"/>
        <w:jc w:val="both"/>
        <w:rPr>
          <w:rFonts w:cs="Arial"/>
        </w:rPr>
      </w:pPr>
      <w:r w:rsidRPr="001A1387">
        <w:rPr>
          <w:rFonts w:cs="Arial"/>
          <w:b/>
        </w:rPr>
        <w:t>Use the VALUE-ADD Formula:</w:t>
      </w:r>
      <w:r w:rsidRPr="00547E1B">
        <w:rPr>
          <w:rFonts w:cs="Arial"/>
        </w:rPr>
        <w:t xml:space="preserve"> The VALUE-ADD score can be calculated using the VALUE-ADD formula:</w:t>
      </w:r>
      <w:r w:rsidR="002D521F">
        <w:rPr>
          <w:rFonts w:cs="Arial"/>
        </w:rPr>
        <w:t xml:space="preserve"> </w:t>
      </w:r>
      <w:r w:rsidRPr="002D521F">
        <w:rPr>
          <w:rFonts w:cs="Arial"/>
        </w:rPr>
        <w:t>A maximum of ten points is allocated to local content value-add. For example, for bids that commit to 100</w:t>
      </w:r>
      <w:r w:rsidR="008823A0" w:rsidRPr="002D521F">
        <w:rPr>
          <w:rFonts w:cs="Arial"/>
        </w:rPr>
        <w:t xml:space="preserve"> per cent</w:t>
      </w:r>
      <w:r w:rsidRPr="002D521F">
        <w:rPr>
          <w:rFonts w:cs="Arial"/>
        </w:rPr>
        <w:t xml:space="preserve"> local content, the bid will receive 10 out of 10 points. The formula takes into consideration the local content value-add committed to in tenders by allocating 10 points to the difference between the maximum amount of local content achievable on a project (100</w:t>
      </w:r>
      <w:r w:rsidR="008823A0" w:rsidRPr="002D521F">
        <w:rPr>
          <w:rFonts w:cs="Arial"/>
        </w:rPr>
        <w:t xml:space="preserve"> per cent</w:t>
      </w:r>
      <w:r w:rsidRPr="002D521F">
        <w:rPr>
          <w:rFonts w:cs="Arial"/>
        </w:rPr>
        <w:t>) and the minimum local content set by the Minister</w:t>
      </w:r>
      <w:r w:rsidR="008823A0" w:rsidRPr="002D521F">
        <w:rPr>
          <w:rFonts w:cs="Arial"/>
        </w:rPr>
        <w:t xml:space="preserve"> for Jobs, Innovation and Trade</w:t>
      </w:r>
      <w:r w:rsidR="002D521F">
        <w:rPr>
          <w:rFonts w:cs="Arial"/>
        </w:rPr>
        <w:t>.</w:t>
      </w:r>
    </w:p>
    <w:p w14:paraId="3BA31773" w14:textId="40DF796C" w:rsidR="003E1D9F" w:rsidRPr="00D170E6" w:rsidRDefault="003E1D9F" w:rsidP="00D170E6">
      <w:pPr>
        <w:jc w:val="both"/>
        <w:rPr>
          <w:rFonts w:asciiTheme="minorHAnsi" w:hAnsiTheme="minorHAnsi" w:cstheme="minorHAnsi"/>
          <w:b/>
          <w:szCs w:val="18"/>
          <w:u w:val="single"/>
          <w:lang w:val="en-US"/>
        </w:rPr>
      </w:pPr>
      <w:r w:rsidRPr="00D170E6">
        <w:rPr>
          <w:rFonts w:asciiTheme="minorHAnsi" w:hAnsiTheme="minorHAnsi" w:cstheme="minorHAnsi"/>
          <w:b/>
          <w:szCs w:val="18"/>
          <w:u w:val="single"/>
          <w:lang w:val="en-US"/>
        </w:rPr>
        <w:t xml:space="preserve">The VALUE-ADD Formula is: </w:t>
      </w:r>
    </w:p>
    <w:tbl>
      <w:tblPr>
        <w:tblStyle w:val="TableGrid"/>
        <w:tblW w:w="0" w:type="auto"/>
        <w:tblLook w:val="04A0" w:firstRow="1" w:lastRow="0" w:firstColumn="1" w:lastColumn="0" w:noHBand="0" w:noVBand="1"/>
      </w:tblPr>
      <w:tblGrid>
        <w:gridCol w:w="4106"/>
        <w:gridCol w:w="1701"/>
        <w:gridCol w:w="955"/>
        <w:gridCol w:w="2254"/>
      </w:tblGrid>
      <w:tr w:rsidR="003E1D9F" w:rsidRPr="00A108CD" w14:paraId="0D433200" w14:textId="77777777" w:rsidTr="00617565">
        <w:tc>
          <w:tcPr>
            <w:tcW w:w="4106" w:type="dxa"/>
          </w:tcPr>
          <w:p w14:paraId="7AC75856" w14:textId="77777777" w:rsidR="003E1D9F" w:rsidRPr="00A108CD" w:rsidRDefault="003E1D9F" w:rsidP="00617565">
            <w:pPr>
              <w:pBdr>
                <w:bottom w:val="single" w:sz="6" w:space="1" w:color="auto"/>
              </w:pBdr>
              <w:jc w:val="center"/>
              <w:rPr>
                <w:rFonts w:asciiTheme="minorHAnsi" w:hAnsiTheme="minorHAnsi" w:cstheme="minorHAnsi"/>
                <w:szCs w:val="18"/>
              </w:rPr>
            </w:pPr>
            <w:r w:rsidRPr="00A108CD">
              <w:rPr>
                <w:rFonts w:asciiTheme="minorHAnsi" w:hAnsiTheme="minorHAnsi" w:cstheme="minorHAnsi"/>
                <w:szCs w:val="18"/>
              </w:rPr>
              <w:t>(</w:t>
            </w:r>
            <w:r w:rsidRPr="00A108CD">
              <w:rPr>
                <w:rFonts w:asciiTheme="minorHAnsi" w:hAnsiTheme="minorHAnsi" w:cstheme="minorHAnsi"/>
                <w:b/>
                <w:szCs w:val="18"/>
              </w:rPr>
              <w:t>LOCAL CONTENT COMMITTED IN LIDP – MINIMUM LOCAL CONTENT PERCENTAGE SET BY MINISTER</w:t>
            </w:r>
            <w:r w:rsidRPr="00A108CD">
              <w:rPr>
                <w:rFonts w:asciiTheme="minorHAnsi" w:hAnsiTheme="minorHAnsi" w:cstheme="minorHAnsi"/>
                <w:szCs w:val="18"/>
              </w:rPr>
              <w:t>)</w:t>
            </w:r>
          </w:p>
          <w:p w14:paraId="4C94D8F9" w14:textId="77777777" w:rsidR="003E1D9F" w:rsidRPr="00A108CD" w:rsidRDefault="003E1D9F" w:rsidP="00617565">
            <w:pPr>
              <w:jc w:val="center"/>
              <w:rPr>
                <w:rFonts w:asciiTheme="minorHAnsi" w:hAnsiTheme="minorHAnsi" w:cstheme="minorHAnsi"/>
                <w:szCs w:val="18"/>
              </w:rPr>
            </w:pPr>
            <w:r w:rsidRPr="00A108CD">
              <w:rPr>
                <w:rFonts w:asciiTheme="minorHAnsi" w:hAnsiTheme="minorHAnsi" w:cstheme="minorHAnsi"/>
                <w:szCs w:val="18"/>
              </w:rPr>
              <w:t>DIVIDED BY</w:t>
            </w:r>
          </w:p>
        </w:tc>
        <w:tc>
          <w:tcPr>
            <w:tcW w:w="1701" w:type="dxa"/>
          </w:tcPr>
          <w:p w14:paraId="05549A82" w14:textId="77777777" w:rsidR="003E1D9F" w:rsidRPr="00A108CD" w:rsidRDefault="003E1D9F" w:rsidP="00617565">
            <w:pPr>
              <w:jc w:val="center"/>
              <w:rPr>
                <w:rFonts w:asciiTheme="minorHAnsi" w:hAnsiTheme="minorHAnsi" w:cstheme="minorHAnsi"/>
                <w:b/>
                <w:szCs w:val="18"/>
              </w:rPr>
            </w:pPr>
            <w:r w:rsidRPr="00A108CD">
              <w:rPr>
                <w:rFonts w:asciiTheme="minorHAnsi" w:hAnsiTheme="minorHAnsi" w:cstheme="minorHAnsi"/>
                <w:b/>
                <w:szCs w:val="18"/>
              </w:rPr>
              <w:t>x</w:t>
            </w:r>
          </w:p>
        </w:tc>
        <w:tc>
          <w:tcPr>
            <w:tcW w:w="955" w:type="dxa"/>
          </w:tcPr>
          <w:p w14:paraId="19B81CBC" w14:textId="77777777" w:rsidR="003E1D9F" w:rsidRPr="00A108CD" w:rsidRDefault="003E1D9F" w:rsidP="00617565">
            <w:pPr>
              <w:jc w:val="center"/>
              <w:rPr>
                <w:rFonts w:asciiTheme="minorHAnsi" w:hAnsiTheme="minorHAnsi" w:cstheme="minorHAnsi"/>
                <w:b/>
                <w:szCs w:val="18"/>
              </w:rPr>
            </w:pPr>
            <w:r w:rsidRPr="00A108CD">
              <w:rPr>
                <w:rFonts w:asciiTheme="minorHAnsi" w:hAnsiTheme="minorHAnsi" w:cstheme="minorHAnsi"/>
                <w:b/>
                <w:szCs w:val="18"/>
              </w:rPr>
              <w:t>10</w:t>
            </w:r>
          </w:p>
        </w:tc>
        <w:tc>
          <w:tcPr>
            <w:tcW w:w="2254" w:type="dxa"/>
          </w:tcPr>
          <w:p w14:paraId="473311EB" w14:textId="77777777" w:rsidR="003E1D9F" w:rsidRPr="00A108CD" w:rsidRDefault="003E1D9F" w:rsidP="00617565">
            <w:pPr>
              <w:jc w:val="center"/>
              <w:rPr>
                <w:rFonts w:asciiTheme="minorHAnsi" w:hAnsiTheme="minorHAnsi" w:cstheme="minorHAnsi"/>
                <w:b/>
                <w:szCs w:val="18"/>
              </w:rPr>
            </w:pPr>
            <w:r w:rsidRPr="00A108CD">
              <w:rPr>
                <w:rFonts w:asciiTheme="minorHAnsi" w:hAnsiTheme="minorHAnsi" w:cstheme="minorHAnsi"/>
                <w:b/>
                <w:szCs w:val="18"/>
              </w:rPr>
              <w:t>= POINTS OUT OF TEN</w:t>
            </w:r>
          </w:p>
        </w:tc>
      </w:tr>
      <w:tr w:rsidR="003E1D9F" w:rsidRPr="00A108CD" w14:paraId="6BE39B3F" w14:textId="77777777" w:rsidTr="00617565">
        <w:tc>
          <w:tcPr>
            <w:tcW w:w="4106" w:type="dxa"/>
          </w:tcPr>
          <w:p w14:paraId="65E1E45E" w14:textId="77777777" w:rsidR="003E1D9F" w:rsidRPr="00A108CD" w:rsidRDefault="003E1D9F" w:rsidP="00617565">
            <w:pPr>
              <w:jc w:val="center"/>
              <w:rPr>
                <w:rFonts w:asciiTheme="minorHAnsi" w:hAnsiTheme="minorHAnsi" w:cstheme="minorHAnsi"/>
                <w:szCs w:val="18"/>
              </w:rPr>
            </w:pPr>
            <w:r w:rsidRPr="00A108CD">
              <w:rPr>
                <w:rFonts w:asciiTheme="minorHAnsi" w:hAnsiTheme="minorHAnsi" w:cstheme="minorHAnsi"/>
                <w:szCs w:val="18"/>
              </w:rPr>
              <w:t>(</w:t>
            </w:r>
            <w:r w:rsidRPr="00A108CD">
              <w:rPr>
                <w:rFonts w:asciiTheme="minorHAnsi" w:hAnsiTheme="minorHAnsi" w:cstheme="minorHAnsi"/>
                <w:b/>
                <w:szCs w:val="18"/>
              </w:rPr>
              <w:t>100- MINIMUM LOCAL CONTENT PERCENTAGE SET BY MINISTER</w:t>
            </w:r>
            <w:r w:rsidRPr="00A108CD">
              <w:rPr>
                <w:rFonts w:asciiTheme="minorHAnsi" w:hAnsiTheme="minorHAnsi" w:cstheme="minorHAnsi"/>
                <w:szCs w:val="18"/>
              </w:rPr>
              <w:t>)</w:t>
            </w:r>
          </w:p>
        </w:tc>
        <w:tc>
          <w:tcPr>
            <w:tcW w:w="1701" w:type="dxa"/>
          </w:tcPr>
          <w:p w14:paraId="2602D719" w14:textId="77777777" w:rsidR="003E1D9F" w:rsidRPr="00A108CD" w:rsidRDefault="003E1D9F" w:rsidP="00617565">
            <w:pPr>
              <w:jc w:val="center"/>
              <w:rPr>
                <w:rFonts w:asciiTheme="minorHAnsi" w:hAnsiTheme="minorHAnsi" w:cstheme="minorHAnsi"/>
                <w:szCs w:val="18"/>
              </w:rPr>
            </w:pPr>
          </w:p>
        </w:tc>
        <w:tc>
          <w:tcPr>
            <w:tcW w:w="955" w:type="dxa"/>
          </w:tcPr>
          <w:p w14:paraId="5602919A" w14:textId="77777777" w:rsidR="003E1D9F" w:rsidRPr="00A108CD" w:rsidRDefault="003E1D9F" w:rsidP="00617565">
            <w:pPr>
              <w:jc w:val="center"/>
              <w:rPr>
                <w:rFonts w:asciiTheme="minorHAnsi" w:hAnsiTheme="minorHAnsi" w:cstheme="minorHAnsi"/>
                <w:szCs w:val="18"/>
              </w:rPr>
            </w:pPr>
          </w:p>
        </w:tc>
        <w:tc>
          <w:tcPr>
            <w:tcW w:w="2254" w:type="dxa"/>
          </w:tcPr>
          <w:p w14:paraId="3B98B1A3" w14:textId="77777777" w:rsidR="003E1D9F" w:rsidRPr="00A108CD" w:rsidRDefault="003E1D9F" w:rsidP="00617565">
            <w:pPr>
              <w:jc w:val="center"/>
              <w:rPr>
                <w:rFonts w:asciiTheme="minorHAnsi" w:hAnsiTheme="minorHAnsi" w:cstheme="minorHAnsi"/>
                <w:szCs w:val="18"/>
              </w:rPr>
            </w:pPr>
          </w:p>
        </w:tc>
      </w:tr>
    </w:tbl>
    <w:p w14:paraId="15C7A258" w14:textId="70F2F66E" w:rsidR="003E1D9F" w:rsidRPr="00A108CD" w:rsidRDefault="003E1D9F" w:rsidP="003E1D9F">
      <w:pPr>
        <w:rPr>
          <w:rFonts w:asciiTheme="minorHAnsi" w:hAnsiTheme="minorHAnsi" w:cstheme="minorHAnsi"/>
          <w:szCs w:val="18"/>
        </w:rPr>
      </w:pPr>
      <w:r w:rsidRPr="00A108CD">
        <w:rPr>
          <w:rFonts w:asciiTheme="minorHAnsi" w:hAnsiTheme="minorHAnsi" w:cstheme="minorHAnsi"/>
          <w:szCs w:val="18"/>
        </w:rPr>
        <w:t xml:space="preserve">For example, a bid which has committed </w:t>
      </w:r>
      <w:r w:rsidR="00622BE5">
        <w:rPr>
          <w:rFonts w:asciiTheme="minorHAnsi" w:hAnsiTheme="minorHAnsi" w:cstheme="minorHAnsi"/>
          <w:szCs w:val="18"/>
        </w:rPr>
        <w:t>9</w:t>
      </w:r>
      <w:r w:rsidRPr="00A108CD">
        <w:rPr>
          <w:rFonts w:asciiTheme="minorHAnsi" w:hAnsiTheme="minorHAnsi" w:cstheme="minorHAnsi"/>
          <w:szCs w:val="18"/>
        </w:rPr>
        <w:t>0</w:t>
      </w:r>
      <w:r w:rsidR="008823A0">
        <w:rPr>
          <w:rFonts w:asciiTheme="minorHAnsi" w:hAnsiTheme="minorHAnsi" w:cstheme="minorHAnsi"/>
          <w:szCs w:val="18"/>
        </w:rPr>
        <w:t xml:space="preserve"> per cent</w:t>
      </w:r>
      <w:r w:rsidRPr="00A108CD">
        <w:rPr>
          <w:rFonts w:asciiTheme="minorHAnsi" w:hAnsiTheme="minorHAnsi" w:cstheme="minorHAnsi"/>
          <w:szCs w:val="18"/>
        </w:rPr>
        <w:t xml:space="preserve"> local content </w:t>
      </w:r>
      <w:r>
        <w:rPr>
          <w:rFonts w:asciiTheme="minorHAnsi" w:hAnsiTheme="minorHAnsi" w:cstheme="minorHAnsi"/>
          <w:szCs w:val="18"/>
        </w:rPr>
        <w:t>for a project that the Minister</w:t>
      </w:r>
      <w:r w:rsidR="008823A0">
        <w:rPr>
          <w:rFonts w:asciiTheme="minorHAnsi" w:hAnsiTheme="minorHAnsi" w:cstheme="minorHAnsi"/>
          <w:szCs w:val="18"/>
        </w:rPr>
        <w:t xml:space="preserve"> for Jobs, Innovation and Trade</w:t>
      </w:r>
      <w:r>
        <w:rPr>
          <w:rFonts w:asciiTheme="minorHAnsi" w:hAnsiTheme="minorHAnsi" w:cstheme="minorHAnsi"/>
          <w:szCs w:val="18"/>
        </w:rPr>
        <w:t xml:space="preserve"> </w:t>
      </w:r>
      <w:r w:rsidRPr="00A108CD">
        <w:rPr>
          <w:rFonts w:asciiTheme="minorHAnsi" w:hAnsiTheme="minorHAnsi" w:cstheme="minorHAnsi"/>
          <w:szCs w:val="18"/>
        </w:rPr>
        <w:t xml:space="preserve">has </w:t>
      </w:r>
      <w:r>
        <w:rPr>
          <w:rFonts w:asciiTheme="minorHAnsi" w:hAnsiTheme="minorHAnsi" w:cstheme="minorHAnsi"/>
          <w:szCs w:val="18"/>
        </w:rPr>
        <w:t xml:space="preserve">set </w:t>
      </w:r>
      <w:r w:rsidRPr="00A108CD">
        <w:rPr>
          <w:rFonts w:asciiTheme="minorHAnsi" w:hAnsiTheme="minorHAnsi" w:cstheme="minorHAnsi"/>
          <w:szCs w:val="18"/>
        </w:rPr>
        <w:t>a</w:t>
      </w:r>
      <w:r w:rsidR="006079A8">
        <w:rPr>
          <w:rFonts w:asciiTheme="minorHAnsi" w:hAnsiTheme="minorHAnsi" w:cstheme="minorHAnsi"/>
          <w:szCs w:val="18"/>
        </w:rPr>
        <w:t>n</w:t>
      </w:r>
      <w:r w:rsidRPr="00A108CD">
        <w:rPr>
          <w:rFonts w:asciiTheme="minorHAnsi" w:hAnsiTheme="minorHAnsi" w:cstheme="minorHAnsi"/>
          <w:szCs w:val="18"/>
        </w:rPr>
        <w:t xml:space="preserve"> </w:t>
      </w:r>
      <w:r w:rsidR="00C02488">
        <w:rPr>
          <w:rFonts w:asciiTheme="minorHAnsi" w:hAnsiTheme="minorHAnsi" w:cstheme="minorHAnsi"/>
          <w:szCs w:val="18"/>
        </w:rPr>
        <w:t>8</w:t>
      </w:r>
      <w:r w:rsidRPr="00A108CD">
        <w:rPr>
          <w:rFonts w:asciiTheme="minorHAnsi" w:hAnsiTheme="minorHAnsi" w:cstheme="minorHAnsi"/>
          <w:szCs w:val="18"/>
        </w:rPr>
        <w:t>0</w:t>
      </w:r>
      <w:r w:rsidR="008823A0">
        <w:rPr>
          <w:rFonts w:asciiTheme="minorHAnsi" w:hAnsiTheme="minorHAnsi" w:cstheme="minorHAnsi"/>
          <w:szCs w:val="18"/>
        </w:rPr>
        <w:t xml:space="preserve"> per cent</w:t>
      </w:r>
      <w:r w:rsidRPr="00A108CD">
        <w:rPr>
          <w:rFonts w:asciiTheme="minorHAnsi" w:hAnsiTheme="minorHAnsi" w:cstheme="minorHAnsi"/>
          <w:szCs w:val="18"/>
        </w:rPr>
        <w:t xml:space="preserve"> local content minimum, the score will be calculated as follows: </w:t>
      </w:r>
    </w:p>
    <w:p w14:paraId="26ABD785" w14:textId="3C992C8A" w:rsidR="003E1D9F" w:rsidRPr="00A108CD" w:rsidRDefault="003E1D9F" w:rsidP="003E1D9F">
      <w:pPr>
        <w:jc w:val="center"/>
        <w:rPr>
          <w:rFonts w:asciiTheme="minorHAnsi" w:hAnsiTheme="minorHAnsi" w:cstheme="minorHAnsi"/>
          <w:szCs w:val="18"/>
        </w:rPr>
      </w:pPr>
      <w:r w:rsidRPr="00A108CD">
        <w:rPr>
          <w:rFonts w:asciiTheme="minorHAnsi" w:hAnsiTheme="minorHAnsi" w:cstheme="minorHAnsi"/>
          <w:szCs w:val="18"/>
        </w:rPr>
        <w:t>((</w:t>
      </w:r>
      <w:r w:rsidR="00622BE5">
        <w:rPr>
          <w:rFonts w:asciiTheme="minorHAnsi" w:hAnsiTheme="minorHAnsi" w:cstheme="minorHAnsi"/>
          <w:szCs w:val="18"/>
        </w:rPr>
        <w:t>9</w:t>
      </w:r>
      <w:r w:rsidRPr="00A108CD">
        <w:rPr>
          <w:rFonts w:asciiTheme="minorHAnsi" w:hAnsiTheme="minorHAnsi" w:cstheme="minorHAnsi"/>
          <w:szCs w:val="18"/>
        </w:rPr>
        <w:t>0-</w:t>
      </w:r>
      <w:r w:rsidR="00622BE5">
        <w:rPr>
          <w:rFonts w:asciiTheme="minorHAnsi" w:hAnsiTheme="minorHAnsi" w:cstheme="minorHAnsi"/>
          <w:szCs w:val="18"/>
        </w:rPr>
        <w:t>8</w:t>
      </w:r>
      <w:r w:rsidRPr="00A108CD">
        <w:rPr>
          <w:rFonts w:asciiTheme="minorHAnsi" w:hAnsiTheme="minorHAnsi" w:cstheme="minorHAnsi"/>
          <w:szCs w:val="18"/>
        </w:rPr>
        <w:t>0)/(100-</w:t>
      </w:r>
      <w:r w:rsidR="0044485E">
        <w:rPr>
          <w:rFonts w:asciiTheme="minorHAnsi" w:hAnsiTheme="minorHAnsi" w:cstheme="minorHAnsi"/>
          <w:szCs w:val="18"/>
        </w:rPr>
        <w:t>8</w:t>
      </w:r>
      <w:r w:rsidRPr="00A108CD">
        <w:rPr>
          <w:rFonts w:asciiTheme="minorHAnsi" w:hAnsiTheme="minorHAnsi" w:cstheme="minorHAnsi"/>
          <w:szCs w:val="18"/>
        </w:rPr>
        <w:t>0))= (</w:t>
      </w:r>
      <w:r w:rsidR="005249EB">
        <w:rPr>
          <w:rFonts w:asciiTheme="minorHAnsi" w:hAnsiTheme="minorHAnsi" w:cstheme="minorHAnsi"/>
          <w:szCs w:val="18"/>
        </w:rPr>
        <w:t>1</w:t>
      </w:r>
      <w:r w:rsidRPr="00A108CD">
        <w:rPr>
          <w:rFonts w:asciiTheme="minorHAnsi" w:hAnsiTheme="minorHAnsi" w:cstheme="minorHAnsi"/>
          <w:szCs w:val="18"/>
        </w:rPr>
        <w:t>0/</w:t>
      </w:r>
      <w:r w:rsidR="005249EB">
        <w:rPr>
          <w:rFonts w:asciiTheme="minorHAnsi" w:hAnsiTheme="minorHAnsi" w:cstheme="minorHAnsi"/>
          <w:szCs w:val="18"/>
        </w:rPr>
        <w:t>2</w:t>
      </w:r>
      <w:r w:rsidRPr="00A108CD">
        <w:rPr>
          <w:rFonts w:asciiTheme="minorHAnsi" w:hAnsiTheme="minorHAnsi" w:cstheme="minorHAnsi"/>
          <w:szCs w:val="18"/>
        </w:rPr>
        <w:t xml:space="preserve">0) x 10 = </w:t>
      </w:r>
      <w:r w:rsidRPr="00A108CD">
        <w:rPr>
          <w:rFonts w:asciiTheme="minorHAnsi" w:hAnsiTheme="minorHAnsi" w:cstheme="minorHAnsi"/>
          <w:b/>
          <w:szCs w:val="18"/>
        </w:rPr>
        <w:t>5 Points</w:t>
      </w:r>
    </w:p>
    <w:p w14:paraId="2977E315" w14:textId="7DC3B63C" w:rsidR="003E1D9F" w:rsidRDefault="003E1D9F" w:rsidP="003E1D9F">
      <w:pPr>
        <w:spacing w:after="160" w:line="259" w:lineRule="auto"/>
        <w:jc w:val="both"/>
        <w:rPr>
          <w:rFonts w:asciiTheme="minorHAnsi" w:hAnsiTheme="minorHAnsi" w:cstheme="minorHAnsi"/>
          <w:szCs w:val="18"/>
        </w:rPr>
      </w:pPr>
      <w:r w:rsidRPr="001A710A">
        <w:rPr>
          <w:rFonts w:asciiTheme="minorHAnsi" w:hAnsiTheme="minorHAnsi" w:cstheme="minorHAnsi"/>
          <w:b/>
          <w:szCs w:val="18"/>
        </w:rPr>
        <w:t xml:space="preserve">Apply the Risk Discount to calculate the overall industry development score: </w:t>
      </w:r>
      <w:r w:rsidRPr="001A710A">
        <w:rPr>
          <w:rFonts w:asciiTheme="minorHAnsi" w:hAnsiTheme="minorHAnsi" w:cstheme="minorHAnsi"/>
          <w:szCs w:val="18"/>
        </w:rPr>
        <w:t xml:space="preserve">The local content commitment should be discounted depending on the level of risk </w:t>
      </w:r>
      <w:r>
        <w:rPr>
          <w:rFonts w:asciiTheme="minorHAnsi" w:hAnsiTheme="minorHAnsi" w:cstheme="minorHAnsi"/>
          <w:szCs w:val="18"/>
        </w:rPr>
        <w:t xml:space="preserve">assessed </w:t>
      </w:r>
      <w:r w:rsidRPr="001A710A">
        <w:rPr>
          <w:rFonts w:asciiTheme="minorHAnsi" w:hAnsiTheme="minorHAnsi" w:cstheme="minorHAnsi"/>
          <w:szCs w:val="18"/>
        </w:rPr>
        <w:t xml:space="preserve">by </w:t>
      </w:r>
      <w:r w:rsidR="008823A0">
        <w:rPr>
          <w:rFonts w:asciiTheme="minorHAnsi" w:hAnsiTheme="minorHAnsi" w:cstheme="minorHAnsi"/>
          <w:szCs w:val="18"/>
        </w:rPr>
        <w:t>ICN.</w:t>
      </w:r>
      <w:r w:rsidRPr="001A710A">
        <w:rPr>
          <w:rFonts w:asciiTheme="minorHAnsi" w:hAnsiTheme="minorHAnsi" w:cstheme="minorHAnsi"/>
          <w:szCs w:val="18"/>
        </w:rPr>
        <w:t xml:space="preserve"> The ICN assessment reports will classify the risk of achieving local content commitments as ‘high, medium or low’ and provide a summary for the assessment.</w:t>
      </w:r>
      <w:r w:rsidRPr="001A710A">
        <w:rPr>
          <w:rFonts w:asciiTheme="minorHAnsi" w:hAnsiTheme="minorHAnsi" w:cstheme="minorHAnsi"/>
          <w:b/>
          <w:szCs w:val="18"/>
        </w:rPr>
        <w:t xml:space="preserve"> </w:t>
      </w:r>
    </w:p>
    <w:p w14:paraId="774F6754" w14:textId="77777777" w:rsidR="003E1D9F" w:rsidRDefault="003E1D9F" w:rsidP="003E1D9F">
      <w:pPr>
        <w:spacing w:after="160" w:line="259" w:lineRule="auto"/>
        <w:jc w:val="both"/>
        <w:rPr>
          <w:rFonts w:asciiTheme="minorHAnsi" w:hAnsiTheme="minorHAnsi" w:cstheme="minorHAnsi"/>
          <w:szCs w:val="18"/>
        </w:rPr>
      </w:pPr>
      <w:r w:rsidRPr="001A710A">
        <w:rPr>
          <w:rFonts w:asciiTheme="minorHAnsi" w:hAnsiTheme="minorHAnsi" w:cstheme="minorHAnsi"/>
          <w:szCs w:val="18"/>
        </w:rPr>
        <w:t xml:space="preserve">A ‘High Risk’ rating </w:t>
      </w:r>
      <w:r>
        <w:rPr>
          <w:rFonts w:asciiTheme="minorHAnsi" w:hAnsiTheme="minorHAnsi" w:cstheme="minorHAnsi"/>
          <w:szCs w:val="18"/>
        </w:rPr>
        <w:t xml:space="preserve">will mean the </w:t>
      </w:r>
      <w:r w:rsidRPr="001A710A">
        <w:rPr>
          <w:rFonts w:asciiTheme="minorHAnsi" w:hAnsiTheme="minorHAnsi" w:cstheme="minorHAnsi"/>
          <w:szCs w:val="18"/>
        </w:rPr>
        <w:t>local content commitment</w:t>
      </w:r>
      <w:r>
        <w:rPr>
          <w:rFonts w:asciiTheme="minorHAnsi" w:hAnsiTheme="minorHAnsi" w:cstheme="minorHAnsi"/>
          <w:szCs w:val="18"/>
        </w:rPr>
        <w:t xml:space="preserve"> will mean the LIDP does not meet expectations with a score of zero</w:t>
      </w:r>
      <w:r w:rsidRPr="001A710A">
        <w:rPr>
          <w:rFonts w:asciiTheme="minorHAnsi" w:hAnsiTheme="minorHAnsi" w:cstheme="minorHAnsi"/>
          <w:szCs w:val="18"/>
        </w:rPr>
        <w:t>, a ‘Medium Risk’ rating</w:t>
      </w:r>
      <w:r>
        <w:rPr>
          <w:rFonts w:asciiTheme="minorHAnsi" w:hAnsiTheme="minorHAnsi" w:cstheme="minorHAnsi"/>
          <w:szCs w:val="18"/>
        </w:rPr>
        <w:t xml:space="preserve"> has</w:t>
      </w:r>
      <w:r w:rsidRPr="001A710A">
        <w:rPr>
          <w:rFonts w:asciiTheme="minorHAnsi" w:hAnsiTheme="minorHAnsi" w:cstheme="minorHAnsi"/>
          <w:szCs w:val="18"/>
        </w:rPr>
        <w:t xml:space="preserve"> a discount of two points and a ‘Low Risk’ rating receives nil discounts from the local content commitment. This becomes the score for </w:t>
      </w:r>
      <w:r>
        <w:rPr>
          <w:rFonts w:asciiTheme="minorHAnsi" w:hAnsiTheme="minorHAnsi" w:cstheme="minorHAnsi"/>
          <w:szCs w:val="18"/>
        </w:rPr>
        <w:t xml:space="preserve">industry development </w:t>
      </w:r>
      <w:r w:rsidRPr="001A710A">
        <w:rPr>
          <w:rFonts w:asciiTheme="minorHAnsi" w:hAnsiTheme="minorHAnsi" w:cstheme="minorHAnsi"/>
          <w:szCs w:val="18"/>
        </w:rPr>
        <w:t>and gets added to the relevant bidder’s total score.</w:t>
      </w:r>
    </w:p>
    <w:p w14:paraId="3C3C0564" w14:textId="77777777" w:rsidR="003E1D9F" w:rsidRPr="003018CA" w:rsidRDefault="003E1D9F" w:rsidP="003E1D9F">
      <w:pPr>
        <w:jc w:val="both"/>
        <w:rPr>
          <w:rFonts w:asciiTheme="minorHAnsi" w:hAnsiTheme="minorHAnsi" w:cstheme="minorHAnsi"/>
          <w:szCs w:val="18"/>
        </w:rPr>
      </w:pPr>
      <w:r w:rsidRPr="003018CA">
        <w:rPr>
          <w:rFonts w:asciiTheme="minorHAnsi" w:hAnsiTheme="minorHAnsi" w:cstheme="minorHAnsi"/>
          <w:szCs w:val="18"/>
        </w:rPr>
        <w:t xml:space="preserve">This scoring system preferences bids that commit to more local content and are low risk. </w:t>
      </w:r>
    </w:p>
    <w:p w14:paraId="79C02930" w14:textId="77777777" w:rsidR="00B97128" w:rsidRDefault="00B97128" w:rsidP="001E3CD5">
      <w:pPr>
        <w:rPr>
          <w:rFonts w:asciiTheme="minorHAnsi" w:hAnsiTheme="minorHAnsi" w:cstheme="minorHAnsi"/>
          <w:b/>
          <w:szCs w:val="18"/>
        </w:rPr>
      </w:pPr>
    </w:p>
    <w:p w14:paraId="7C7C339E" w14:textId="77777777" w:rsidR="00B97128" w:rsidRDefault="00B97128" w:rsidP="001E3CD5">
      <w:pPr>
        <w:rPr>
          <w:rFonts w:asciiTheme="minorHAnsi" w:hAnsiTheme="minorHAnsi" w:cstheme="minorHAnsi"/>
          <w:b/>
          <w:szCs w:val="18"/>
        </w:rPr>
      </w:pPr>
    </w:p>
    <w:p w14:paraId="639DBD25" w14:textId="77777777" w:rsidR="00B97128" w:rsidRDefault="00B97128" w:rsidP="001E3CD5">
      <w:pPr>
        <w:rPr>
          <w:rFonts w:asciiTheme="minorHAnsi" w:hAnsiTheme="minorHAnsi" w:cstheme="minorHAnsi"/>
          <w:b/>
          <w:szCs w:val="18"/>
        </w:rPr>
      </w:pPr>
    </w:p>
    <w:p w14:paraId="5B5A43FD" w14:textId="77777777" w:rsidR="00B97128" w:rsidRDefault="00B97128" w:rsidP="001E3CD5">
      <w:pPr>
        <w:rPr>
          <w:rFonts w:asciiTheme="minorHAnsi" w:hAnsiTheme="minorHAnsi" w:cstheme="minorHAnsi"/>
          <w:b/>
          <w:szCs w:val="18"/>
        </w:rPr>
      </w:pPr>
    </w:p>
    <w:p w14:paraId="62B948B3" w14:textId="77777777" w:rsidR="00B97128" w:rsidRDefault="00B97128" w:rsidP="001E3CD5">
      <w:pPr>
        <w:rPr>
          <w:rFonts w:asciiTheme="minorHAnsi" w:hAnsiTheme="minorHAnsi" w:cstheme="minorHAnsi"/>
          <w:b/>
          <w:szCs w:val="18"/>
        </w:rPr>
      </w:pPr>
    </w:p>
    <w:p w14:paraId="666A04A6" w14:textId="77777777" w:rsidR="00B97128" w:rsidRDefault="00B97128" w:rsidP="001E3CD5">
      <w:pPr>
        <w:rPr>
          <w:rFonts w:asciiTheme="minorHAnsi" w:hAnsiTheme="minorHAnsi" w:cstheme="minorHAnsi"/>
          <w:b/>
          <w:szCs w:val="18"/>
        </w:rPr>
      </w:pPr>
    </w:p>
    <w:p w14:paraId="3DEFB7F5" w14:textId="77777777" w:rsidR="00B97128" w:rsidRDefault="00B97128" w:rsidP="001E3CD5">
      <w:pPr>
        <w:rPr>
          <w:rFonts w:asciiTheme="minorHAnsi" w:hAnsiTheme="minorHAnsi" w:cstheme="minorHAnsi"/>
          <w:b/>
          <w:szCs w:val="18"/>
        </w:rPr>
      </w:pPr>
    </w:p>
    <w:p w14:paraId="7898D4E7" w14:textId="77777777" w:rsidR="00B97128" w:rsidRDefault="00B97128" w:rsidP="001E3CD5">
      <w:pPr>
        <w:rPr>
          <w:rFonts w:asciiTheme="minorHAnsi" w:hAnsiTheme="minorHAnsi" w:cstheme="minorHAnsi"/>
          <w:b/>
          <w:szCs w:val="18"/>
        </w:rPr>
      </w:pPr>
    </w:p>
    <w:p w14:paraId="399FBBB0" w14:textId="77777777" w:rsidR="00B97128" w:rsidRDefault="00B97128" w:rsidP="001E3CD5">
      <w:pPr>
        <w:rPr>
          <w:rFonts w:asciiTheme="minorHAnsi" w:hAnsiTheme="minorHAnsi" w:cstheme="minorHAnsi"/>
          <w:b/>
          <w:szCs w:val="18"/>
        </w:rPr>
      </w:pPr>
    </w:p>
    <w:p w14:paraId="7928A52E" w14:textId="77777777" w:rsidR="00B97128" w:rsidRDefault="00B97128" w:rsidP="001E3CD5">
      <w:pPr>
        <w:rPr>
          <w:rFonts w:asciiTheme="minorHAnsi" w:hAnsiTheme="minorHAnsi" w:cstheme="minorHAnsi"/>
          <w:b/>
          <w:szCs w:val="18"/>
        </w:rPr>
      </w:pPr>
    </w:p>
    <w:p w14:paraId="229D6819" w14:textId="77777777" w:rsidR="00B97128" w:rsidRDefault="00B97128" w:rsidP="001E3CD5">
      <w:pPr>
        <w:rPr>
          <w:rFonts w:asciiTheme="minorHAnsi" w:hAnsiTheme="minorHAnsi" w:cstheme="minorHAnsi"/>
          <w:b/>
          <w:szCs w:val="18"/>
        </w:rPr>
      </w:pPr>
    </w:p>
    <w:p w14:paraId="618DB642" w14:textId="77777777" w:rsidR="00B97128" w:rsidRDefault="00B97128" w:rsidP="001E3CD5">
      <w:pPr>
        <w:rPr>
          <w:rFonts w:asciiTheme="minorHAnsi" w:hAnsiTheme="minorHAnsi" w:cstheme="minorHAnsi"/>
          <w:b/>
          <w:szCs w:val="18"/>
        </w:rPr>
      </w:pPr>
    </w:p>
    <w:p w14:paraId="5809E576" w14:textId="77777777" w:rsidR="00B97128" w:rsidRDefault="00B97128" w:rsidP="001E3CD5">
      <w:pPr>
        <w:rPr>
          <w:rFonts w:asciiTheme="minorHAnsi" w:hAnsiTheme="minorHAnsi" w:cstheme="minorHAnsi"/>
          <w:b/>
          <w:szCs w:val="18"/>
        </w:rPr>
      </w:pPr>
    </w:p>
    <w:p w14:paraId="49222573" w14:textId="77777777" w:rsidR="00B97128" w:rsidRDefault="00B97128" w:rsidP="001E3CD5">
      <w:pPr>
        <w:rPr>
          <w:rFonts w:asciiTheme="minorHAnsi" w:hAnsiTheme="minorHAnsi" w:cstheme="minorHAnsi"/>
          <w:b/>
          <w:szCs w:val="18"/>
        </w:rPr>
      </w:pPr>
    </w:p>
    <w:p w14:paraId="25FD27D8" w14:textId="77777777" w:rsidR="00B97128" w:rsidRDefault="00B97128" w:rsidP="001E3CD5">
      <w:pPr>
        <w:rPr>
          <w:rFonts w:asciiTheme="minorHAnsi" w:hAnsiTheme="minorHAnsi" w:cstheme="minorHAnsi"/>
          <w:b/>
          <w:szCs w:val="18"/>
        </w:rPr>
      </w:pPr>
    </w:p>
    <w:p w14:paraId="69F902FC" w14:textId="7C79678F" w:rsidR="003E1D9F" w:rsidRPr="001E3CD5" w:rsidRDefault="003E1D9F" w:rsidP="001E3CD5">
      <w:pPr>
        <w:rPr>
          <w:rFonts w:asciiTheme="minorHAnsi" w:hAnsiTheme="minorHAnsi" w:cstheme="minorHAnsi"/>
          <w:b/>
          <w:szCs w:val="18"/>
        </w:rPr>
      </w:pPr>
      <w:r w:rsidRPr="001E3CD5">
        <w:rPr>
          <w:rFonts w:asciiTheme="minorHAnsi" w:hAnsiTheme="minorHAnsi" w:cstheme="minorHAnsi"/>
          <w:b/>
          <w:szCs w:val="18"/>
        </w:rPr>
        <w:lastRenderedPageBreak/>
        <w:t>T</w:t>
      </w:r>
      <w:r w:rsidR="00F42B78">
        <w:rPr>
          <w:rFonts w:asciiTheme="minorHAnsi" w:hAnsiTheme="minorHAnsi" w:cstheme="minorHAnsi"/>
          <w:b/>
          <w:szCs w:val="18"/>
        </w:rPr>
        <w:t>able</w:t>
      </w:r>
      <w:r w:rsidRPr="001E3CD5">
        <w:rPr>
          <w:rFonts w:asciiTheme="minorHAnsi" w:hAnsiTheme="minorHAnsi" w:cstheme="minorHAnsi"/>
          <w:b/>
          <w:szCs w:val="18"/>
        </w:rPr>
        <w:t xml:space="preserve"> </w:t>
      </w:r>
      <w:r w:rsidR="00B97128">
        <w:rPr>
          <w:rFonts w:asciiTheme="minorHAnsi" w:hAnsiTheme="minorHAnsi" w:cstheme="minorHAnsi"/>
          <w:b/>
          <w:szCs w:val="18"/>
        </w:rPr>
        <w:t xml:space="preserve">7 </w:t>
      </w:r>
      <w:r w:rsidRPr="001E3CD5">
        <w:rPr>
          <w:rFonts w:asciiTheme="minorHAnsi" w:hAnsiTheme="minorHAnsi" w:cstheme="minorHAnsi"/>
          <w:b/>
          <w:szCs w:val="18"/>
        </w:rPr>
        <w:t>- Summary of Industry Development Criteria Evaluation Process</w:t>
      </w:r>
    </w:p>
    <w:tbl>
      <w:tblPr>
        <w:tblStyle w:val="TableGrid"/>
        <w:tblW w:w="9054" w:type="dxa"/>
        <w:tblLook w:val="04A0" w:firstRow="1" w:lastRow="0" w:firstColumn="1" w:lastColumn="0" w:noHBand="0" w:noVBand="1"/>
      </w:tblPr>
      <w:tblGrid>
        <w:gridCol w:w="2405"/>
        <w:gridCol w:w="1701"/>
        <w:gridCol w:w="1688"/>
        <w:gridCol w:w="1109"/>
        <w:gridCol w:w="1030"/>
        <w:gridCol w:w="1087"/>
        <w:gridCol w:w="34"/>
      </w:tblGrid>
      <w:tr w:rsidR="003E1D9F" w:rsidRPr="00865235" w14:paraId="70CF7AC3" w14:textId="77777777" w:rsidTr="00617565">
        <w:trPr>
          <w:gridAfter w:val="1"/>
          <w:wAfter w:w="34" w:type="dxa"/>
        </w:trPr>
        <w:tc>
          <w:tcPr>
            <w:tcW w:w="2405" w:type="dxa"/>
            <w:shd w:val="clear" w:color="auto" w:fill="C00000"/>
          </w:tcPr>
          <w:p w14:paraId="10F45E22" w14:textId="77777777" w:rsidR="003E1D9F" w:rsidRPr="00865235" w:rsidRDefault="003E1D9F" w:rsidP="00617565">
            <w:pPr>
              <w:jc w:val="center"/>
              <w:rPr>
                <w:rFonts w:asciiTheme="minorHAnsi" w:hAnsiTheme="minorHAnsi" w:cstheme="minorHAnsi"/>
                <w:b/>
                <w:color w:val="FFFFFF" w:themeColor="background1"/>
                <w:szCs w:val="18"/>
              </w:rPr>
            </w:pPr>
          </w:p>
        </w:tc>
        <w:tc>
          <w:tcPr>
            <w:tcW w:w="6615" w:type="dxa"/>
            <w:gridSpan w:val="5"/>
            <w:shd w:val="clear" w:color="auto" w:fill="C00000"/>
          </w:tcPr>
          <w:p w14:paraId="09CBF700" w14:textId="77777777" w:rsidR="003E1D9F" w:rsidRPr="00865235" w:rsidRDefault="003E1D9F" w:rsidP="00617565">
            <w:pPr>
              <w:jc w:val="cente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BID EVALUATION – INDUSTRY DEVELOPMENT OUTCOME RATING</w:t>
            </w:r>
          </w:p>
        </w:tc>
      </w:tr>
      <w:tr w:rsidR="003E1D9F" w:rsidRPr="00865235" w14:paraId="50854DAB" w14:textId="77777777" w:rsidTr="00617565">
        <w:trPr>
          <w:gridAfter w:val="1"/>
          <w:wAfter w:w="34" w:type="dxa"/>
        </w:trPr>
        <w:tc>
          <w:tcPr>
            <w:tcW w:w="2405" w:type="dxa"/>
            <w:shd w:val="clear" w:color="auto" w:fill="C00000"/>
          </w:tcPr>
          <w:p w14:paraId="62A57AC8"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 xml:space="preserve">Strategic Project Type and Local Content % </w:t>
            </w:r>
          </w:p>
        </w:tc>
        <w:tc>
          <w:tcPr>
            <w:tcW w:w="1701" w:type="dxa"/>
            <w:shd w:val="clear" w:color="auto" w:fill="C00000"/>
          </w:tcPr>
          <w:p w14:paraId="016432E3"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 xml:space="preserve">Local Content Minimum </w:t>
            </w:r>
          </w:p>
        </w:tc>
        <w:tc>
          <w:tcPr>
            <w:tcW w:w="1688" w:type="dxa"/>
            <w:shd w:val="clear" w:color="auto" w:fill="C00000"/>
          </w:tcPr>
          <w:p w14:paraId="7C00D4FA"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 xml:space="preserve">Value Add Calculation </w:t>
            </w:r>
          </w:p>
          <w:p w14:paraId="46F76299"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(score calculated out of maximum ten points)</w:t>
            </w:r>
          </w:p>
        </w:tc>
        <w:tc>
          <w:tcPr>
            <w:tcW w:w="3226" w:type="dxa"/>
            <w:gridSpan w:val="3"/>
            <w:shd w:val="clear" w:color="auto" w:fill="C00000"/>
          </w:tcPr>
          <w:p w14:paraId="1B8E5CA1"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Risk Discount Applied (as required)</w:t>
            </w:r>
          </w:p>
          <w:p w14:paraId="3F84462F" w14:textId="77777777" w:rsidR="003E1D9F" w:rsidRPr="00865235" w:rsidRDefault="003E1D9F" w:rsidP="00617565">
            <w:pPr>
              <w:rPr>
                <w:rFonts w:asciiTheme="minorHAnsi" w:hAnsiTheme="minorHAnsi" w:cstheme="minorHAnsi"/>
                <w:b/>
                <w:color w:val="FFFFFF" w:themeColor="background1"/>
                <w:szCs w:val="18"/>
              </w:rPr>
            </w:pPr>
          </w:p>
        </w:tc>
      </w:tr>
      <w:tr w:rsidR="003E1D9F" w:rsidRPr="00A108CD" w14:paraId="707631BE" w14:textId="77777777" w:rsidTr="00617565">
        <w:tc>
          <w:tcPr>
            <w:tcW w:w="2405" w:type="dxa"/>
            <w:shd w:val="clear" w:color="auto" w:fill="C00000"/>
          </w:tcPr>
          <w:p w14:paraId="250175BC" w14:textId="77777777" w:rsidR="003E1D9F" w:rsidRPr="00865235" w:rsidRDefault="003E1D9F" w:rsidP="00617565">
            <w:pPr>
              <w:rPr>
                <w:rFonts w:asciiTheme="minorHAnsi" w:hAnsiTheme="minorHAnsi" w:cstheme="minorHAnsi"/>
                <w:color w:val="FFFFFF" w:themeColor="background1"/>
                <w:szCs w:val="18"/>
              </w:rPr>
            </w:pPr>
          </w:p>
        </w:tc>
        <w:tc>
          <w:tcPr>
            <w:tcW w:w="1701" w:type="dxa"/>
            <w:shd w:val="clear" w:color="auto" w:fill="C00000"/>
          </w:tcPr>
          <w:p w14:paraId="440E7441" w14:textId="77777777" w:rsidR="003E1D9F" w:rsidRPr="00865235" w:rsidRDefault="003E1D9F" w:rsidP="00617565">
            <w:pPr>
              <w:rPr>
                <w:rFonts w:asciiTheme="minorHAnsi" w:hAnsiTheme="minorHAnsi" w:cstheme="minorHAnsi"/>
                <w:color w:val="FFFFFF" w:themeColor="background1"/>
                <w:szCs w:val="18"/>
              </w:rPr>
            </w:pPr>
          </w:p>
        </w:tc>
        <w:tc>
          <w:tcPr>
            <w:tcW w:w="1688" w:type="dxa"/>
            <w:shd w:val="clear" w:color="auto" w:fill="C00000"/>
          </w:tcPr>
          <w:p w14:paraId="798EBBF9" w14:textId="77777777" w:rsidR="003E1D9F" w:rsidRPr="00865235" w:rsidRDefault="003E1D9F" w:rsidP="00617565">
            <w:pPr>
              <w:rPr>
                <w:rFonts w:asciiTheme="minorHAnsi" w:hAnsiTheme="minorHAnsi" w:cstheme="minorHAnsi"/>
                <w:color w:val="FFFFFF" w:themeColor="background1"/>
                <w:szCs w:val="18"/>
              </w:rPr>
            </w:pPr>
          </w:p>
        </w:tc>
        <w:tc>
          <w:tcPr>
            <w:tcW w:w="1109" w:type="dxa"/>
            <w:shd w:val="clear" w:color="auto" w:fill="C00000"/>
          </w:tcPr>
          <w:p w14:paraId="73CE41E8"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 xml:space="preserve">Low Risk </w:t>
            </w:r>
          </w:p>
        </w:tc>
        <w:tc>
          <w:tcPr>
            <w:tcW w:w="1030" w:type="dxa"/>
            <w:shd w:val="clear" w:color="auto" w:fill="C00000"/>
          </w:tcPr>
          <w:p w14:paraId="4AC34443"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 xml:space="preserve">Medium Risk </w:t>
            </w:r>
          </w:p>
        </w:tc>
        <w:tc>
          <w:tcPr>
            <w:tcW w:w="1121" w:type="dxa"/>
            <w:gridSpan w:val="2"/>
            <w:shd w:val="clear" w:color="auto" w:fill="C00000"/>
          </w:tcPr>
          <w:p w14:paraId="401E963B" w14:textId="77777777" w:rsidR="003E1D9F" w:rsidRPr="00865235" w:rsidRDefault="003E1D9F" w:rsidP="00617565">
            <w:pPr>
              <w:rPr>
                <w:rFonts w:asciiTheme="minorHAnsi" w:hAnsiTheme="minorHAnsi" w:cstheme="minorHAnsi"/>
                <w:b/>
                <w:color w:val="FFFFFF" w:themeColor="background1"/>
                <w:szCs w:val="18"/>
              </w:rPr>
            </w:pPr>
            <w:r w:rsidRPr="00865235">
              <w:rPr>
                <w:rFonts w:asciiTheme="minorHAnsi" w:hAnsiTheme="minorHAnsi" w:cstheme="minorHAnsi"/>
                <w:b/>
                <w:color w:val="FFFFFF" w:themeColor="background1"/>
                <w:szCs w:val="18"/>
              </w:rPr>
              <w:t xml:space="preserve">High Risk </w:t>
            </w:r>
          </w:p>
        </w:tc>
      </w:tr>
      <w:tr w:rsidR="003E1D9F" w:rsidRPr="00A108CD" w14:paraId="701ECE24" w14:textId="77777777" w:rsidTr="00617565">
        <w:tc>
          <w:tcPr>
            <w:tcW w:w="2405" w:type="dxa"/>
          </w:tcPr>
          <w:p w14:paraId="015F3DD7" w14:textId="77777777" w:rsidR="003E1D9F" w:rsidRPr="000E0A04" w:rsidRDefault="003E1D9F" w:rsidP="000E0A04">
            <w:pPr>
              <w:pStyle w:val="Default"/>
              <w:spacing w:after="94"/>
              <w:rPr>
                <w:rFonts w:asciiTheme="minorHAnsi" w:hAnsiTheme="minorHAnsi" w:cstheme="minorHAnsi"/>
                <w:b/>
                <w:szCs w:val="18"/>
              </w:rPr>
            </w:pPr>
            <w:r w:rsidRPr="000E0A04">
              <w:rPr>
                <w:rFonts w:asciiTheme="minorHAnsi" w:hAnsiTheme="minorHAnsi" w:cstheme="minorHAnsi"/>
                <w:b/>
                <w:sz w:val="18"/>
                <w:szCs w:val="18"/>
              </w:rPr>
              <w:t xml:space="preserve">Construction Project: </w:t>
            </w:r>
          </w:p>
          <w:p w14:paraId="7F414D50" w14:textId="2DA91054" w:rsidR="00B41672" w:rsidRDefault="003E1D9F" w:rsidP="00617565">
            <w:pPr>
              <w:rPr>
                <w:rFonts w:asciiTheme="minorHAnsi" w:hAnsiTheme="minorHAnsi" w:cstheme="minorHAnsi"/>
                <w:szCs w:val="18"/>
              </w:rPr>
            </w:pPr>
            <w:r w:rsidRPr="00A108CD">
              <w:rPr>
                <w:rFonts w:asciiTheme="minorHAnsi" w:hAnsiTheme="minorHAnsi" w:cstheme="minorHAnsi"/>
                <w:szCs w:val="18"/>
              </w:rPr>
              <w:t xml:space="preserve">90% local content </w:t>
            </w:r>
            <w:r w:rsidR="00B41672">
              <w:rPr>
                <w:rFonts w:asciiTheme="minorHAnsi" w:hAnsiTheme="minorHAnsi" w:cstheme="minorHAnsi"/>
                <w:szCs w:val="18"/>
              </w:rPr>
              <w:t>or as set by the</w:t>
            </w:r>
            <w:r w:rsidR="004D63ED">
              <w:rPr>
                <w:rFonts w:asciiTheme="minorHAnsi" w:hAnsiTheme="minorHAnsi" w:cstheme="minorHAnsi"/>
                <w:szCs w:val="18"/>
              </w:rPr>
              <w:t xml:space="preserve"> responsible Minister.</w:t>
            </w:r>
          </w:p>
          <w:p w14:paraId="08F60E89" w14:textId="77777777" w:rsidR="003E1D9F" w:rsidRDefault="003E1D9F" w:rsidP="00617565">
            <w:pPr>
              <w:pStyle w:val="Default"/>
              <w:spacing w:after="94"/>
              <w:rPr>
                <w:rFonts w:asciiTheme="minorHAnsi" w:hAnsiTheme="minorHAnsi" w:cstheme="minorHAnsi"/>
                <w:b/>
                <w:sz w:val="18"/>
                <w:szCs w:val="18"/>
              </w:rPr>
            </w:pPr>
          </w:p>
          <w:p w14:paraId="62984960" w14:textId="77777777" w:rsidR="003E1D9F" w:rsidRPr="00A108CD" w:rsidRDefault="003E1D9F" w:rsidP="00617565">
            <w:pPr>
              <w:pStyle w:val="Default"/>
              <w:spacing w:after="94"/>
              <w:rPr>
                <w:rFonts w:asciiTheme="minorHAnsi" w:hAnsiTheme="minorHAnsi" w:cstheme="minorHAnsi"/>
                <w:b/>
                <w:sz w:val="18"/>
                <w:szCs w:val="18"/>
              </w:rPr>
            </w:pPr>
            <w:r w:rsidRPr="00A108CD">
              <w:rPr>
                <w:rFonts w:asciiTheme="minorHAnsi" w:hAnsiTheme="minorHAnsi" w:cstheme="minorHAnsi"/>
                <w:b/>
                <w:sz w:val="18"/>
                <w:szCs w:val="18"/>
              </w:rPr>
              <w:t>Services or Maintenance Contract:</w:t>
            </w:r>
          </w:p>
          <w:p w14:paraId="0743DD24" w14:textId="5C0B9268" w:rsidR="003E1D9F" w:rsidRDefault="003E1D9F" w:rsidP="00617565">
            <w:pPr>
              <w:rPr>
                <w:rFonts w:asciiTheme="minorHAnsi" w:hAnsiTheme="minorHAnsi" w:cstheme="minorHAnsi"/>
                <w:szCs w:val="18"/>
              </w:rPr>
            </w:pPr>
            <w:r w:rsidRPr="00A108CD">
              <w:rPr>
                <w:rFonts w:asciiTheme="minorHAnsi" w:hAnsiTheme="minorHAnsi" w:cstheme="minorHAnsi"/>
                <w:szCs w:val="18"/>
              </w:rPr>
              <w:t>80% local content</w:t>
            </w:r>
            <w:r w:rsidR="004D63ED">
              <w:rPr>
                <w:rFonts w:asciiTheme="minorHAnsi" w:hAnsiTheme="minorHAnsi" w:cstheme="minorHAnsi"/>
                <w:szCs w:val="18"/>
              </w:rPr>
              <w:t xml:space="preserve"> or as set by the responsible Minister.</w:t>
            </w:r>
          </w:p>
          <w:p w14:paraId="51876BD1" w14:textId="77777777" w:rsidR="003E1D9F" w:rsidRDefault="003E1D9F" w:rsidP="00617565">
            <w:pPr>
              <w:rPr>
                <w:rFonts w:asciiTheme="minorHAnsi" w:hAnsiTheme="minorHAnsi" w:cstheme="minorHAnsi"/>
                <w:szCs w:val="18"/>
              </w:rPr>
            </w:pPr>
          </w:p>
          <w:p w14:paraId="5340248A" w14:textId="77777777" w:rsidR="003E1D9F" w:rsidRPr="00A108CD" w:rsidRDefault="003E1D9F" w:rsidP="00617565">
            <w:pPr>
              <w:pStyle w:val="Default"/>
              <w:spacing w:after="94"/>
              <w:rPr>
                <w:rFonts w:asciiTheme="minorHAnsi" w:hAnsiTheme="minorHAnsi" w:cstheme="minorHAnsi"/>
                <w:b/>
                <w:sz w:val="18"/>
                <w:szCs w:val="18"/>
              </w:rPr>
            </w:pPr>
            <w:r w:rsidRPr="00A108CD">
              <w:rPr>
                <w:rFonts w:asciiTheme="minorHAnsi" w:hAnsiTheme="minorHAnsi" w:cstheme="minorHAnsi"/>
                <w:b/>
                <w:sz w:val="18"/>
                <w:szCs w:val="18"/>
              </w:rPr>
              <w:t xml:space="preserve">Maintenance or Operations Phase of a Strategic Project </w:t>
            </w:r>
          </w:p>
          <w:p w14:paraId="5EC6A663" w14:textId="6D1D000C" w:rsidR="003E1D9F" w:rsidRDefault="003E1D9F" w:rsidP="00617565">
            <w:pPr>
              <w:rPr>
                <w:rFonts w:asciiTheme="minorHAnsi" w:hAnsiTheme="minorHAnsi" w:cstheme="minorHAnsi"/>
                <w:szCs w:val="18"/>
              </w:rPr>
            </w:pPr>
            <w:r w:rsidRPr="00A108CD">
              <w:rPr>
                <w:rFonts w:asciiTheme="minorHAnsi" w:hAnsiTheme="minorHAnsi" w:cstheme="minorHAnsi"/>
                <w:szCs w:val="18"/>
              </w:rPr>
              <w:t>80% local content</w:t>
            </w:r>
            <w:r w:rsidR="004D63ED">
              <w:rPr>
                <w:rFonts w:asciiTheme="minorHAnsi" w:hAnsiTheme="minorHAnsi" w:cstheme="minorHAnsi"/>
                <w:szCs w:val="18"/>
              </w:rPr>
              <w:t xml:space="preserve"> or as set by the responsible Minister.</w:t>
            </w:r>
          </w:p>
          <w:p w14:paraId="05E9FF28" w14:textId="77777777" w:rsidR="003E1D9F" w:rsidRDefault="003E1D9F" w:rsidP="00617565">
            <w:pPr>
              <w:rPr>
                <w:rFonts w:asciiTheme="minorHAnsi" w:hAnsiTheme="minorHAnsi" w:cstheme="minorHAnsi"/>
                <w:szCs w:val="18"/>
              </w:rPr>
            </w:pPr>
          </w:p>
          <w:p w14:paraId="4EC884BF" w14:textId="77777777" w:rsidR="00E4524B" w:rsidRDefault="003E1D9F" w:rsidP="00617565">
            <w:pPr>
              <w:pStyle w:val="Default"/>
              <w:spacing w:after="94"/>
              <w:rPr>
                <w:rFonts w:asciiTheme="minorHAnsi" w:hAnsiTheme="minorHAnsi" w:cstheme="minorHAnsi"/>
                <w:b/>
                <w:sz w:val="18"/>
                <w:szCs w:val="18"/>
              </w:rPr>
            </w:pPr>
            <w:r w:rsidRPr="00A108CD">
              <w:rPr>
                <w:rFonts w:asciiTheme="minorHAnsi" w:hAnsiTheme="minorHAnsi" w:cstheme="minorHAnsi"/>
                <w:b/>
                <w:sz w:val="18"/>
                <w:szCs w:val="18"/>
              </w:rPr>
              <w:t xml:space="preserve">Other projects with minimums </w:t>
            </w:r>
          </w:p>
          <w:p w14:paraId="7CEE572D" w14:textId="7250264F" w:rsidR="003E1D9F" w:rsidRPr="000E0A04" w:rsidRDefault="00E4524B" w:rsidP="00617565">
            <w:pPr>
              <w:pStyle w:val="Default"/>
              <w:spacing w:after="94"/>
              <w:rPr>
                <w:rFonts w:asciiTheme="minorHAnsi" w:eastAsia="Times New Roman" w:hAnsiTheme="minorHAnsi" w:cstheme="minorHAnsi"/>
                <w:color w:val="53565A"/>
                <w:sz w:val="18"/>
                <w:szCs w:val="18"/>
              </w:rPr>
            </w:pPr>
            <w:r w:rsidRPr="000E0A04">
              <w:rPr>
                <w:rFonts w:asciiTheme="minorHAnsi" w:eastAsia="Times New Roman" w:hAnsiTheme="minorHAnsi" w:cstheme="minorHAnsi"/>
                <w:color w:val="53565A"/>
                <w:sz w:val="18"/>
                <w:szCs w:val="18"/>
              </w:rPr>
              <w:t>As s</w:t>
            </w:r>
            <w:r w:rsidR="003E1D9F" w:rsidRPr="000E0A04">
              <w:rPr>
                <w:rFonts w:asciiTheme="minorHAnsi" w:eastAsia="Times New Roman" w:hAnsiTheme="minorHAnsi" w:cstheme="minorHAnsi"/>
                <w:color w:val="53565A"/>
                <w:sz w:val="18"/>
                <w:szCs w:val="18"/>
              </w:rPr>
              <w:t>et by Minister</w:t>
            </w:r>
          </w:p>
          <w:p w14:paraId="5E935BA5" w14:textId="07DAA25C" w:rsidR="003E1D9F" w:rsidRPr="00A108CD" w:rsidRDefault="003E1D9F" w:rsidP="00617565">
            <w:pPr>
              <w:rPr>
                <w:rFonts w:asciiTheme="minorHAnsi" w:hAnsiTheme="minorHAnsi" w:cstheme="minorHAnsi"/>
                <w:szCs w:val="18"/>
              </w:rPr>
            </w:pPr>
          </w:p>
        </w:tc>
        <w:tc>
          <w:tcPr>
            <w:tcW w:w="1701" w:type="dxa"/>
          </w:tcPr>
          <w:p w14:paraId="562FC459" w14:textId="77777777" w:rsidR="003E1D9F" w:rsidRPr="00A108CD" w:rsidRDefault="003E1D9F" w:rsidP="00617565">
            <w:pPr>
              <w:rPr>
                <w:rFonts w:asciiTheme="minorHAnsi" w:hAnsiTheme="minorHAnsi" w:cstheme="minorHAnsi"/>
                <w:szCs w:val="18"/>
              </w:rPr>
            </w:pPr>
            <w:r w:rsidRPr="00A108CD">
              <w:rPr>
                <w:rFonts w:asciiTheme="minorHAnsi" w:hAnsiTheme="minorHAnsi" w:cstheme="minorHAnsi"/>
                <w:b/>
                <w:szCs w:val="18"/>
              </w:rPr>
              <w:t>PASS</w:t>
            </w:r>
            <w:r w:rsidRPr="00A108CD">
              <w:rPr>
                <w:rFonts w:asciiTheme="minorHAnsi" w:hAnsiTheme="minorHAnsi" w:cstheme="minorHAnsi"/>
                <w:szCs w:val="18"/>
              </w:rPr>
              <w:t xml:space="preserve"> (bid meets minimum local content threshold, value add score is calculated (if applicable)) </w:t>
            </w:r>
          </w:p>
          <w:p w14:paraId="018C6A65" w14:textId="77777777" w:rsidR="003E1D9F" w:rsidRPr="00A108CD" w:rsidRDefault="003E1D9F" w:rsidP="00617565">
            <w:pPr>
              <w:rPr>
                <w:rFonts w:asciiTheme="minorHAnsi" w:hAnsiTheme="minorHAnsi" w:cstheme="minorHAnsi"/>
                <w:szCs w:val="18"/>
              </w:rPr>
            </w:pPr>
            <w:r w:rsidRPr="00A108CD">
              <w:rPr>
                <w:rFonts w:asciiTheme="minorHAnsi" w:hAnsiTheme="minorHAnsi" w:cstheme="minorHAnsi"/>
                <w:b/>
                <w:szCs w:val="18"/>
              </w:rPr>
              <w:t xml:space="preserve">FAIL </w:t>
            </w:r>
            <w:r w:rsidRPr="00A108CD">
              <w:rPr>
                <w:rFonts w:asciiTheme="minorHAnsi" w:hAnsiTheme="minorHAnsi" w:cstheme="minorHAnsi"/>
                <w:szCs w:val="18"/>
              </w:rPr>
              <w:t xml:space="preserve">(bid does not meet the minimum local content threshold; no value add score is calculated) </w:t>
            </w:r>
          </w:p>
        </w:tc>
        <w:tc>
          <w:tcPr>
            <w:tcW w:w="1688" w:type="dxa"/>
          </w:tcPr>
          <w:p w14:paraId="02DA52ED" w14:textId="77777777" w:rsidR="003E1D9F" w:rsidRPr="00A108CD" w:rsidRDefault="003E1D9F" w:rsidP="00617565">
            <w:pPr>
              <w:rPr>
                <w:rFonts w:asciiTheme="minorHAnsi" w:hAnsiTheme="minorHAnsi" w:cstheme="minorHAnsi"/>
                <w:szCs w:val="18"/>
              </w:rPr>
            </w:pPr>
            <w:r w:rsidRPr="00A108CD">
              <w:rPr>
                <w:rFonts w:asciiTheme="minorHAnsi" w:hAnsiTheme="minorHAnsi" w:cstheme="minorHAnsi"/>
                <w:szCs w:val="18"/>
              </w:rPr>
              <w:t xml:space="preserve">VALUE ADD FORMULA USED </w:t>
            </w:r>
          </w:p>
          <w:p w14:paraId="0CAC045A" w14:textId="77777777" w:rsidR="003E1D9F" w:rsidRPr="00A108CD" w:rsidRDefault="003E1D9F" w:rsidP="00617565">
            <w:pPr>
              <w:rPr>
                <w:rFonts w:asciiTheme="minorHAnsi" w:hAnsiTheme="minorHAnsi" w:cstheme="minorHAnsi"/>
                <w:szCs w:val="18"/>
              </w:rPr>
            </w:pPr>
          </w:p>
          <w:p w14:paraId="3E2F9CCA" w14:textId="77777777" w:rsidR="003E1D9F" w:rsidRPr="00A108CD" w:rsidRDefault="003E1D9F" w:rsidP="00617565">
            <w:pPr>
              <w:rPr>
                <w:rFonts w:asciiTheme="minorHAnsi" w:hAnsiTheme="minorHAnsi" w:cstheme="minorHAnsi"/>
                <w:szCs w:val="18"/>
              </w:rPr>
            </w:pPr>
          </w:p>
          <w:p w14:paraId="439EC367" w14:textId="77777777" w:rsidR="003E1D9F" w:rsidRPr="00A108CD" w:rsidRDefault="003E1D9F" w:rsidP="00617565">
            <w:pPr>
              <w:rPr>
                <w:rFonts w:asciiTheme="minorHAnsi" w:hAnsiTheme="minorHAnsi" w:cstheme="minorHAnsi"/>
                <w:szCs w:val="18"/>
              </w:rPr>
            </w:pPr>
          </w:p>
        </w:tc>
        <w:tc>
          <w:tcPr>
            <w:tcW w:w="1109" w:type="dxa"/>
          </w:tcPr>
          <w:p w14:paraId="3CBB14DE" w14:textId="77777777" w:rsidR="003E1D9F" w:rsidRPr="00A108CD" w:rsidRDefault="003E1D9F" w:rsidP="00617565">
            <w:pPr>
              <w:rPr>
                <w:rFonts w:asciiTheme="minorHAnsi" w:hAnsiTheme="minorHAnsi" w:cstheme="minorHAnsi"/>
                <w:szCs w:val="18"/>
              </w:rPr>
            </w:pPr>
            <w:r w:rsidRPr="00A108CD">
              <w:rPr>
                <w:rFonts w:asciiTheme="minorHAnsi" w:hAnsiTheme="minorHAnsi" w:cstheme="minorHAnsi"/>
                <w:szCs w:val="18"/>
              </w:rPr>
              <w:t>No Discount Required</w:t>
            </w:r>
          </w:p>
        </w:tc>
        <w:tc>
          <w:tcPr>
            <w:tcW w:w="1030" w:type="dxa"/>
          </w:tcPr>
          <w:p w14:paraId="701C694E" w14:textId="77777777" w:rsidR="003E1D9F" w:rsidRPr="00A108CD" w:rsidRDefault="003E1D9F" w:rsidP="00617565">
            <w:pPr>
              <w:rPr>
                <w:rFonts w:asciiTheme="minorHAnsi" w:hAnsiTheme="minorHAnsi" w:cstheme="minorHAnsi"/>
                <w:szCs w:val="18"/>
              </w:rPr>
            </w:pPr>
            <w:r w:rsidRPr="00A108CD">
              <w:rPr>
                <w:rFonts w:asciiTheme="minorHAnsi" w:hAnsiTheme="minorHAnsi" w:cstheme="minorHAnsi"/>
                <w:szCs w:val="18"/>
              </w:rPr>
              <w:t>Discount 2 points</w:t>
            </w:r>
          </w:p>
        </w:tc>
        <w:tc>
          <w:tcPr>
            <w:tcW w:w="1121" w:type="dxa"/>
            <w:gridSpan w:val="2"/>
          </w:tcPr>
          <w:p w14:paraId="0D00BB51" w14:textId="77777777" w:rsidR="003E1D9F" w:rsidRPr="00A108CD" w:rsidRDefault="003E1D9F" w:rsidP="00617565">
            <w:pPr>
              <w:rPr>
                <w:rFonts w:asciiTheme="minorHAnsi" w:hAnsiTheme="minorHAnsi" w:cstheme="minorHAnsi"/>
                <w:szCs w:val="18"/>
              </w:rPr>
            </w:pPr>
            <w:r>
              <w:rPr>
                <w:rFonts w:asciiTheme="minorHAnsi" w:hAnsiTheme="minorHAnsi" w:cstheme="minorHAnsi"/>
                <w:szCs w:val="18"/>
              </w:rPr>
              <w:t xml:space="preserve">Nil </w:t>
            </w:r>
            <w:r w:rsidRPr="00A108CD">
              <w:rPr>
                <w:rFonts w:asciiTheme="minorHAnsi" w:hAnsiTheme="minorHAnsi" w:cstheme="minorHAnsi"/>
                <w:szCs w:val="18"/>
              </w:rPr>
              <w:t xml:space="preserve">points </w:t>
            </w:r>
          </w:p>
        </w:tc>
      </w:tr>
    </w:tbl>
    <w:p w14:paraId="67316DF2" w14:textId="6B138457" w:rsidR="00EC6B0E" w:rsidRDefault="00EC6B0E" w:rsidP="00EC6B0E">
      <w:pPr>
        <w:jc w:val="both"/>
        <w:rPr>
          <w:rFonts w:asciiTheme="minorHAnsi" w:hAnsiTheme="minorHAnsi" w:cstheme="minorHAnsi"/>
          <w:szCs w:val="18"/>
        </w:rPr>
      </w:pPr>
      <w:r>
        <w:rPr>
          <w:rFonts w:asciiTheme="minorHAnsi" w:hAnsiTheme="minorHAnsi" w:cstheme="minorHAnsi"/>
          <w:szCs w:val="18"/>
        </w:rPr>
        <w:t xml:space="preserve">Your agency may wish to apply a different methodology in order to meet the intent of a specific project. Contact </w:t>
      </w:r>
      <w:r w:rsidR="00527253">
        <w:rPr>
          <w:rFonts w:asciiTheme="minorHAnsi" w:hAnsiTheme="minorHAnsi" w:cstheme="minorHAnsi"/>
          <w:szCs w:val="18"/>
        </w:rPr>
        <w:t>DJPR</w:t>
      </w:r>
      <w:r>
        <w:rPr>
          <w:rFonts w:asciiTheme="minorHAnsi" w:hAnsiTheme="minorHAnsi" w:cstheme="minorHAnsi"/>
          <w:szCs w:val="18"/>
        </w:rPr>
        <w:t xml:space="preserve"> in order to establish the feasibility of the methodology. The use of different methodologies </w:t>
      </w:r>
      <w:r w:rsidR="00E53BB8">
        <w:rPr>
          <w:rFonts w:asciiTheme="minorHAnsi" w:hAnsiTheme="minorHAnsi" w:cstheme="minorHAnsi"/>
          <w:szCs w:val="18"/>
        </w:rPr>
        <w:t>is</w:t>
      </w:r>
      <w:r>
        <w:rPr>
          <w:rFonts w:asciiTheme="minorHAnsi" w:hAnsiTheme="minorHAnsi" w:cstheme="minorHAnsi"/>
          <w:szCs w:val="18"/>
        </w:rPr>
        <w:t xml:space="preserve"> subject to agreement with </w:t>
      </w:r>
      <w:r w:rsidR="00527253">
        <w:rPr>
          <w:rFonts w:asciiTheme="minorHAnsi" w:hAnsiTheme="minorHAnsi" w:cstheme="minorHAnsi"/>
          <w:szCs w:val="18"/>
        </w:rPr>
        <w:t>DJPR</w:t>
      </w:r>
      <w:r>
        <w:rPr>
          <w:rFonts w:asciiTheme="minorHAnsi" w:hAnsiTheme="minorHAnsi" w:cstheme="minorHAnsi"/>
          <w:szCs w:val="18"/>
        </w:rPr>
        <w:t xml:space="preserve"> and review by the Local Jobs First Commissioner.  </w:t>
      </w:r>
    </w:p>
    <w:p w14:paraId="4A6A3F8E" w14:textId="77777777" w:rsidR="005962A2" w:rsidRPr="00A108CD" w:rsidRDefault="005962A2" w:rsidP="005962A2">
      <w:pPr>
        <w:jc w:val="both"/>
        <w:rPr>
          <w:rFonts w:asciiTheme="minorHAnsi" w:hAnsiTheme="minorHAnsi" w:cstheme="minorHAnsi"/>
          <w:b/>
          <w:szCs w:val="18"/>
          <w:u w:val="single"/>
        </w:rPr>
      </w:pPr>
      <w:r w:rsidRPr="00A108CD">
        <w:rPr>
          <w:rFonts w:asciiTheme="minorHAnsi" w:hAnsiTheme="minorHAnsi" w:cstheme="minorHAnsi"/>
          <w:b/>
          <w:szCs w:val="18"/>
          <w:u w:val="single"/>
        </w:rPr>
        <w:t xml:space="preserve">Guidance on assessment of job outcomes –MPSG Applicable Projects  </w:t>
      </w:r>
    </w:p>
    <w:p w14:paraId="69150326" w14:textId="77777777" w:rsidR="005962A2" w:rsidRPr="00A108CD" w:rsidRDefault="005962A2" w:rsidP="005962A2">
      <w:pPr>
        <w:jc w:val="both"/>
        <w:rPr>
          <w:rFonts w:asciiTheme="minorHAnsi" w:hAnsiTheme="minorHAnsi" w:cstheme="minorHAnsi"/>
          <w:szCs w:val="18"/>
        </w:rPr>
      </w:pPr>
      <w:r w:rsidRPr="00A108CD">
        <w:rPr>
          <w:rFonts w:asciiTheme="minorHAnsi" w:hAnsiTheme="minorHAnsi" w:cstheme="minorHAnsi"/>
          <w:szCs w:val="18"/>
        </w:rPr>
        <w:t xml:space="preserve">For </w:t>
      </w:r>
      <w:r>
        <w:rPr>
          <w:rFonts w:asciiTheme="minorHAnsi" w:hAnsiTheme="minorHAnsi" w:cstheme="minorHAnsi"/>
          <w:szCs w:val="18"/>
        </w:rPr>
        <w:t xml:space="preserve">projects where </w:t>
      </w:r>
      <w:r w:rsidRPr="00A108CD">
        <w:rPr>
          <w:rFonts w:asciiTheme="minorHAnsi" w:hAnsiTheme="minorHAnsi" w:cstheme="minorHAnsi"/>
          <w:szCs w:val="18"/>
        </w:rPr>
        <w:t>MPSG appl</w:t>
      </w:r>
      <w:r>
        <w:rPr>
          <w:rFonts w:asciiTheme="minorHAnsi" w:hAnsiTheme="minorHAnsi" w:cstheme="minorHAnsi"/>
          <w:szCs w:val="18"/>
        </w:rPr>
        <w:t>ies</w:t>
      </w:r>
      <w:r w:rsidRPr="00A108CD">
        <w:rPr>
          <w:rFonts w:asciiTheme="minorHAnsi" w:hAnsiTheme="minorHAnsi" w:cstheme="minorHAnsi"/>
          <w:szCs w:val="18"/>
        </w:rPr>
        <w:t xml:space="preserve">, a maximum of 5 points are allocated to MPSG specific outcomes and 5 points are allocated to </w:t>
      </w:r>
      <w:r>
        <w:rPr>
          <w:rFonts w:asciiTheme="minorHAnsi" w:hAnsiTheme="minorHAnsi" w:cstheme="minorHAnsi"/>
          <w:szCs w:val="18"/>
        </w:rPr>
        <w:t>broader</w:t>
      </w:r>
      <w:r w:rsidRPr="00A108CD">
        <w:rPr>
          <w:rFonts w:asciiTheme="minorHAnsi" w:hAnsiTheme="minorHAnsi" w:cstheme="minorHAnsi"/>
          <w:szCs w:val="18"/>
        </w:rPr>
        <w:t xml:space="preserve"> job outcomes (e</w:t>
      </w:r>
      <w:r>
        <w:rPr>
          <w:rFonts w:asciiTheme="minorHAnsi" w:hAnsiTheme="minorHAnsi" w:cstheme="minorHAnsi"/>
          <w:szCs w:val="18"/>
        </w:rPr>
        <w:t>.g</w:t>
      </w:r>
      <w:r w:rsidRPr="00A108CD">
        <w:rPr>
          <w:rFonts w:asciiTheme="minorHAnsi" w:hAnsiTheme="minorHAnsi" w:cstheme="minorHAnsi"/>
          <w:szCs w:val="18"/>
        </w:rPr>
        <w:t>. creation/retention of Victorian/</w:t>
      </w:r>
      <w:r>
        <w:rPr>
          <w:rFonts w:asciiTheme="minorHAnsi" w:hAnsiTheme="minorHAnsi" w:cstheme="minorHAnsi"/>
          <w:szCs w:val="18"/>
        </w:rPr>
        <w:t>local</w:t>
      </w:r>
      <w:r w:rsidRPr="00A108CD">
        <w:rPr>
          <w:rFonts w:asciiTheme="minorHAnsi" w:hAnsiTheme="minorHAnsi" w:cstheme="minorHAnsi"/>
          <w:szCs w:val="18"/>
        </w:rPr>
        <w:t xml:space="preserve"> jobs and creation of job development/training opportunities). The total score for job outcomes for MPSG applicable projects is 10. </w:t>
      </w:r>
    </w:p>
    <w:p w14:paraId="6626BD77" w14:textId="78609D3B" w:rsidR="005962A2" w:rsidRDefault="005962A2" w:rsidP="005962A2">
      <w:pPr>
        <w:jc w:val="both"/>
        <w:rPr>
          <w:rFonts w:asciiTheme="minorHAnsi" w:hAnsiTheme="minorHAnsi" w:cstheme="minorHAnsi"/>
          <w:szCs w:val="18"/>
        </w:rPr>
      </w:pPr>
      <w:r w:rsidRPr="00A108CD">
        <w:rPr>
          <w:rFonts w:asciiTheme="minorHAnsi" w:hAnsiTheme="minorHAnsi" w:cstheme="minorHAnsi"/>
          <w:szCs w:val="18"/>
        </w:rPr>
        <w:t xml:space="preserve">MPSG outcomes in bids are required to be compared against each other and relative scores assigned. A bidder with a more comprehensive compliance strategy will be scored more highly than a bidder who has included minimal information in a MPSG compliance strategy. </w:t>
      </w:r>
    </w:p>
    <w:p w14:paraId="773F7750" w14:textId="2710E996" w:rsidR="005962A2" w:rsidRPr="00A108CD" w:rsidRDefault="005962A2" w:rsidP="005962A2">
      <w:pPr>
        <w:jc w:val="both"/>
        <w:rPr>
          <w:rFonts w:asciiTheme="minorHAnsi" w:hAnsiTheme="minorHAnsi" w:cstheme="minorHAnsi"/>
          <w:szCs w:val="18"/>
        </w:rPr>
      </w:pPr>
      <w:r w:rsidRPr="00662E20">
        <w:rPr>
          <w:rFonts w:asciiTheme="minorHAnsi" w:hAnsiTheme="minorHAnsi" w:cstheme="minorHAnsi"/>
          <w:szCs w:val="18"/>
        </w:rPr>
        <w:t>A highly scored MPSG commitment could include for example; partnering with a TAFE; system of training and support in place for apprentices, trainees and cadets, mentoring</w:t>
      </w:r>
      <w:r w:rsidR="0073403E">
        <w:rPr>
          <w:rFonts w:asciiTheme="minorHAnsi" w:hAnsiTheme="minorHAnsi" w:cstheme="minorHAnsi"/>
          <w:szCs w:val="18"/>
        </w:rPr>
        <w:t xml:space="preserve"> or</w:t>
      </w:r>
      <w:r w:rsidRPr="00662E20">
        <w:rPr>
          <w:rFonts w:asciiTheme="minorHAnsi" w:hAnsiTheme="minorHAnsi" w:cstheme="minorHAnsi"/>
          <w:szCs w:val="18"/>
        </w:rPr>
        <w:t xml:space="preserve"> </w:t>
      </w:r>
      <w:r>
        <w:rPr>
          <w:rFonts w:asciiTheme="minorHAnsi" w:hAnsiTheme="minorHAnsi" w:cstheme="minorHAnsi"/>
          <w:szCs w:val="18"/>
        </w:rPr>
        <w:t>d</w:t>
      </w:r>
      <w:r w:rsidRPr="00662E20">
        <w:rPr>
          <w:rFonts w:asciiTheme="minorHAnsi" w:hAnsiTheme="minorHAnsi" w:cstheme="minorHAnsi"/>
          <w:szCs w:val="18"/>
        </w:rPr>
        <w:t>edicated MPSG compliance reporting officer in place.</w:t>
      </w:r>
    </w:p>
    <w:p w14:paraId="58D12648" w14:textId="77777777" w:rsidR="005962A2" w:rsidRDefault="005962A2" w:rsidP="005962A2">
      <w:pPr>
        <w:jc w:val="both"/>
        <w:rPr>
          <w:rFonts w:asciiTheme="minorHAnsi" w:hAnsiTheme="minorHAnsi" w:cstheme="minorHAnsi"/>
          <w:szCs w:val="18"/>
        </w:rPr>
      </w:pPr>
      <w:r w:rsidRPr="00A108CD">
        <w:rPr>
          <w:rFonts w:asciiTheme="minorHAnsi" w:hAnsiTheme="minorHAnsi" w:cstheme="minorHAnsi"/>
          <w:szCs w:val="18"/>
        </w:rPr>
        <w:t>A bidder that does not use Victorian apprentices, trainees or cadets for at least 10</w:t>
      </w:r>
      <w:r>
        <w:rPr>
          <w:rFonts w:asciiTheme="minorHAnsi" w:hAnsiTheme="minorHAnsi" w:cstheme="minorHAnsi"/>
          <w:szCs w:val="18"/>
        </w:rPr>
        <w:t xml:space="preserve"> per cent</w:t>
      </w:r>
      <w:r w:rsidRPr="00A108CD">
        <w:rPr>
          <w:rFonts w:asciiTheme="minorHAnsi" w:hAnsiTheme="minorHAnsi" w:cstheme="minorHAnsi"/>
          <w:szCs w:val="18"/>
        </w:rPr>
        <w:t xml:space="preserve"> of the total estimated labour hours, the bidder is designated a score of 0 due to non-compliance. </w:t>
      </w:r>
    </w:p>
    <w:p w14:paraId="6AB6797C" w14:textId="77777777" w:rsidR="005962A2" w:rsidRPr="00A108CD" w:rsidRDefault="005962A2" w:rsidP="005962A2">
      <w:pPr>
        <w:jc w:val="both"/>
        <w:rPr>
          <w:rFonts w:asciiTheme="minorHAnsi" w:hAnsiTheme="minorHAnsi" w:cstheme="minorHAnsi"/>
          <w:b/>
          <w:szCs w:val="18"/>
          <w:u w:val="single"/>
        </w:rPr>
      </w:pPr>
      <w:r w:rsidRPr="00A108CD">
        <w:rPr>
          <w:rFonts w:asciiTheme="minorHAnsi" w:hAnsiTheme="minorHAnsi" w:cstheme="minorHAnsi"/>
          <w:b/>
          <w:szCs w:val="18"/>
          <w:u w:val="single"/>
        </w:rPr>
        <w:t xml:space="preserve">MPSG Applicable Project- Additional Job Outcomes – 5 Points </w:t>
      </w:r>
    </w:p>
    <w:p w14:paraId="755F885F" w14:textId="77777777" w:rsidR="005962A2" w:rsidRPr="00A108CD" w:rsidRDefault="005962A2" w:rsidP="005962A2">
      <w:pPr>
        <w:jc w:val="both"/>
        <w:rPr>
          <w:rFonts w:asciiTheme="minorHAnsi" w:hAnsiTheme="minorHAnsi" w:cstheme="minorHAnsi"/>
          <w:szCs w:val="18"/>
        </w:rPr>
      </w:pPr>
      <w:r w:rsidRPr="00A108CD">
        <w:rPr>
          <w:rFonts w:asciiTheme="minorHAnsi" w:hAnsiTheme="minorHAnsi" w:cstheme="minorHAnsi"/>
          <w:szCs w:val="18"/>
        </w:rPr>
        <w:t>Additional (non-MPSG) job outcomes in bids are required to be compared against each other and relative scores assigned. High, medium and low job numbers that are either created or retained are defined based on a relative basis depending on the numbers committed to among the bids being compared.</w:t>
      </w:r>
    </w:p>
    <w:p w14:paraId="6CFFAE27" w14:textId="77777777" w:rsidR="005962A2" w:rsidRPr="00A108CD" w:rsidRDefault="005962A2" w:rsidP="005962A2">
      <w:pPr>
        <w:rPr>
          <w:rFonts w:asciiTheme="minorHAnsi" w:hAnsiTheme="minorHAnsi" w:cstheme="minorHAnsi"/>
          <w:b/>
          <w:szCs w:val="18"/>
          <w:u w:val="single"/>
        </w:rPr>
      </w:pPr>
      <w:r w:rsidRPr="00A108CD">
        <w:rPr>
          <w:rFonts w:asciiTheme="minorHAnsi" w:hAnsiTheme="minorHAnsi" w:cstheme="minorHAnsi"/>
          <w:szCs w:val="18"/>
        </w:rPr>
        <w:lastRenderedPageBreak/>
        <w:t xml:space="preserve">The maximum number of points a bidder can receive for additional job outcomes is 5 points. </w:t>
      </w:r>
      <w:r w:rsidRPr="00A108CD">
        <w:rPr>
          <w:rFonts w:asciiTheme="minorHAnsi" w:hAnsiTheme="minorHAnsi" w:cstheme="minorHAnsi"/>
          <w:b/>
          <w:szCs w:val="18"/>
          <w:u w:val="single"/>
        </w:rPr>
        <w:t>Table 6- Relative scores for additional job outcomes (MPSG applicable projects) (maximum 5 points)</w:t>
      </w:r>
    </w:p>
    <w:p w14:paraId="27C901EF" w14:textId="4B5BA3B0" w:rsidR="005962A2" w:rsidRPr="001E3CD5" w:rsidRDefault="005237A5" w:rsidP="005962A2">
      <w:pPr>
        <w:rPr>
          <w:rFonts w:asciiTheme="minorHAnsi" w:hAnsiTheme="minorHAnsi" w:cstheme="minorHAnsi"/>
          <w:b/>
          <w:szCs w:val="18"/>
        </w:rPr>
      </w:pPr>
      <w:r w:rsidRPr="001E3CD5">
        <w:rPr>
          <w:rFonts w:asciiTheme="minorHAnsi" w:hAnsiTheme="minorHAnsi" w:cstheme="minorHAnsi"/>
          <w:b/>
          <w:szCs w:val="18"/>
        </w:rPr>
        <w:t xml:space="preserve">Table </w:t>
      </w:r>
      <w:r w:rsidR="00B97128">
        <w:rPr>
          <w:rFonts w:asciiTheme="minorHAnsi" w:hAnsiTheme="minorHAnsi" w:cstheme="minorHAnsi"/>
          <w:b/>
          <w:szCs w:val="18"/>
        </w:rPr>
        <w:t>8 -</w:t>
      </w:r>
      <w:r w:rsidRPr="001E3CD5">
        <w:rPr>
          <w:rFonts w:asciiTheme="minorHAnsi" w:hAnsiTheme="minorHAnsi" w:cstheme="minorHAnsi"/>
          <w:b/>
          <w:szCs w:val="18"/>
        </w:rPr>
        <w:t xml:space="preserve"> </w:t>
      </w:r>
      <w:r w:rsidR="005962A2" w:rsidRPr="001E3CD5">
        <w:rPr>
          <w:rFonts w:asciiTheme="minorHAnsi" w:hAnsiTheme="minorHAnsi" w:cstheme="minorHAnsi"/>
          <w:b/>
          <w:szCs w:val="18"/>
        </w:rPr>
        <w:t xml:space="preserve">Relative scores for </w:t>
      </w:r>
      <w:r w:rsidR="00AA4FBF">
        <w:rPr>
          <w:rFonts w:asciiTheme="minorHAnsi" w:hAnsiTheme="minorHAnsi" w:cstheme="minorHAnsi"/>
          <w:b/>
          <w:szCs w:val="18"/>
        </w:rPr>
        <w:t>S</w:t>
      </w:r>
      <w:r w:rsidR="005962A2" w:rsidRPr="001E3CD5">
        <w:rPr>
          <w:rFonts w:asciiTheme="minorHAnsi" w:hAnsiTheme="minorHAnsi" w:cstheme="minorHAnsi"/>
          <w:b/>
          <w:szCs w:val="18"/>
        </w:rPr>
        <w:t xml:space="preserve">tandard </w:t>
      </w:r>
      <w:r w:rsidR="00AA4FBF">
        <w:rPr>
          <w:rFonts w:asciiTheme="minorHAnsi" w:hAnsiTheme="minorHAnsi" w:cstheme="minorHAnsi"/>
          <w:b/>
          <w:szCs w:val="18"/>
        </w:rPr>
        <w:t>P</w:t>
      </w:r>
      <w:r w:rsidR="005962A2" w:rsidRPr="001E3CD5">
        <w:rPr>
          <w:rFonts w:asciiTheme="minorHAnsi" w:hAnsiTheme="minorHAnsi" w:cstheme="minorHAnsi"/>
          <w:b/>
          <w:szCs w:val="18"/>
        </w:rPr>
        <w:t xml:space="preserve">rojects  </w:t>
      </w:r>
    </w:p>
    <w:tbl>
      <w:tblPr>
        <w:tblStyle w:val="TableGrid"/>
        <w:tblW w:w="9776" w:type="dxa"/>
        <w:tblLayout w:type="fixed"/>
        <w:tblLook w:val="04A0" w:firstRow="1" w:lastRow="0" w:firstColumn="1" w:lastColumn="0" w:noHBand="0" w:noVBand="1"/>
      </w:tblPr>
      <w:tblGrid>
        <w:gridCol w:w="1134"/>
        <w:gridCol w:w="2405"/>
        <w:gridCol w:w="1843"/>
        <w:gridCol w:w="2126"/>
        <w:gridCol w:w="2268"/>
      </w:tblGrid>
      <w:tr w:rsidR="005962A2" w:rsidRPr="00A62CCC" w14:paraId="5E484B1E" w14:textId="77777777" w:rsidTr="00631D46">
        <w:trPr>
          <w:trHeight w:val="597"/>
        </w:trPr>
        <w:tc>
          <w:tcPr>
            <w:tcW w:w="1134" w:type="dxa"/>
            <w:shd w:val="clear" w:color="auto" w:fill="C00000"/>
          </w:tcPr>
          <w:p w14:paraId="655BF9BA" w14:textId="77777777" w:rsidR="005962A2" w:rsidRPr="00A62CCC" w:rsidRDefault="005962A2" w:rsidP="00631D46">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Score</w:t>
            </w:r>
          </w:p>
        </w:tc>
        <w:tc>
          <w:tcPr>
            <w:tcW w:w="2405" w:type="dxa"/>
            <w:shd w:val="clear" w:color="auto" w:fill="C00000"/>
          </w:tcPr>
          <w:p w14:paraId="14882E7D" w14:textId="77777777" w:rsidR="005962A2" w:rsidRPr="00A62CCC" w:rsidRDefault="005962A2" w:rsidP="00631D46">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0</w:t>
            </w:r>
          </w:p>
          <w:p w14:paraId="476C23B0" w14:textId="77777777" w:rsidR="005962A2" w:rsidRPr="00A62CCC" w:rsidRDefault="005962A2" w:rsidP="00631D46">
            <w:pPr>
              <w:rPr>
                <w:rFonts w:asciiTheme="minorHAnsi" w:hAnsiTheme="minorHAnsi" w:cstheme="minorHAnsi"/>
                <w:b/>
                <w:color w:val="FFFFFF" w:themeColor="background1"/>
                <w:szCs w:val="18"/>
              </w:rPr>
            </w:pPr>
          </w:p>
        </w:tc>
        <w:tc>
          <w:tcPr>
            <w:tcW w:w="1843" w:type="dxa"/>
            <w:shd w:val="clear" w:color="auto" w:fill="C00000"/>
          </w:tcPr>
          <w:p w14:paraId="1AA1EC35" w14:textId="77777777" w:rsidR="005962A2" w:rsidRPr="00A62CCC" w:rsidRDefault="005962A2" w:rsidP="00631D46">
            <w:pPr>
              <w:rPr>
                <w:rFonts w:asciiTheme="minorHAnsi" w:hAnsiTheme="minorHAnsi" w:cstheme="minorHAnsi"/>
                <w:b/>
                <w:color w:val="FFFFFF" w:themeColor="background1"/>
                <w:szCs w:val="18"/>
              </w:rPr>
            </w:pPr>
            <w:r w:rsidRPr="00A62CCC">
              <w:rPr>
                <w:rFonts w:asciiTheme="minorHAnsi" w:hAnsiTheme="minorHAnsi" w:cstheme="minorHAnsi"/>
                <w:b/>
                <w:color w:val="FFFFFF" w:themeColor="background1"/>
                <w:szCs w:val="18"/>
              </w:rPr>
              <w:t>1</w:t>
            </w:r>
            <w:r>
              <w:rPr>
                <w:rFonts w:asciiTheme="minorHAnsi" w:hAnsiTheme="minorHAnsi" w:cstheme="minorHAnsi"/>
                <w:b/>
                <w:color w:val="FFFFFF" w:themeColor="background1"/>
                <w:szCs w:val="18"/>
              </w:rPr>
              <w:t>-2</w:t>
            </w:r>
          </w:p>
        </w:tc>
        <w:tc>
          <w:tcPr>
            <w:tcW w:w="2126" w:type="dxa"/>
            <w:shd w:val="clear" w:color="auto" w:fill="C00000"/>
          </w:tcPr>
          <w:p w14:paraId="50EF7BDA" w14:textId="77777777" w:rsidR="005962A2" w:rsidRPr="00A62CCC" w:rsidRDefault="005962A2" w:rsidP="00631D46">
            <w:pP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2-3</w:t>
            </w:r>
          </w:p>
        </w:tc>
        <w:tc>
          <w:tcPr>
            <w:tcW w:w="2268" w:type="dxa"/>
            <w:shd w:val="clear" w:color="auto" w:fill="C00000"/>
          </w:tcPr>
          <w:p w14:paraId="0E6F48CB" w14:textId="77777777" w:rsidR="005962A2" w:rsidRPr="00A62CCC" w:rsidRDefault="005962A2" w:rsidP="00631D46">
            <w:pP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4-5</w:t>
            </w:r>
          </w:p>
        </w:tc>
      </w:tr>
      <w:tr w:rsidR="005962A2" w:rsidRPr="00A62CCC" w14:paraId="3DD9B060" w14:textId="77777777" w:rsidTr="00631D46">
        <w:trPr>
          <w:trHeight w:val="49"/>
        </w:trPr>
        <w:tc>
          <w:tcPr>
            <w:tcW w:w="1134" w:type="dxa"/>
          </w:tcPr>
          <w:p w14:paraId="1676A0A8" w14:textId="77777777" w:rsidR="005962A2" w:rsidRPr="00A62CCC" w:rsidRDefault="005962A2" w:rsidP="00631D46">
            <w:pPr>
              <w:rPr>
                <w:rFonts w:asciiTheme="minorHAnsi" w:hAnsiTheme="minorHAnsi" w:cstheme="minorHAnsi"/>
                <w:b/>
                <w:szCs w:val="18"/>
              </w:rPr>
            </w:pPr>
            <w:r w:rsidRPr="00A62CCC">
              <w:rPr>
                <w:rFonts w:asciiTheme="minorHAnsi" w:hAnsiTheme="minorHAnsi" w:cstheme="minorHAnsi"/>
                <w:b/>
                <w:szCs w:val="18"/>
              </w:rPr>
              <w:t>Mandatory</w:t>
            </w:r>
          </w:p>
          <w:p w14:paraId="5FFE0FF1" w14:textId="77777777" w:rsidR="005962A2" w:rsidRPr="00A62CCC" w:rsidRDefault="005962A2" w:rsidP="00631D46">
            <w:pPr>
              <w:rPr>
                <w:rFonts w:asciiTheme="minorHAnsi" w:hAnsiTheme="minorHAnsi" w:cstheme="minorHAnsi"/>
                <w:b/>
                <w:szCs w:val="18"/>
              </w:rPr>
            </w:pPr>
          </w:p>
        </w:tc>
        <w:tc>
          <w:tcPr>
            <w:tcW w:w="2405" w:type="dxa"/>
          </w:tcPr>
          <w:p w14:paraId="30B67242" w14:textId="77777777"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No Victorian jobs created or retained</w:t>
            </w:r>
          </w:p>
          <w:p w14:paraId="624A226B" w14:textId="77777777" w:rsidR="005962A2" w:rsidRPr="00A62CCC" w:rsidRDefault="005962A2" w:rsidP="00631D46">
            <w:pPr>
              <w:rPr>
                <w:rFonts w:asciiTheme="minorHAnsi" w:hAnsiTheme="minorHAnsi" w:cstheme="minorHAnsi"/>
                <w:szCs w:val="18"/>
              </w:rPr>
            </w:pPr>
          </w:p>
          <w:p w14:paraId="511757E9" w14:textId="20864439"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No Australian/New Zealand jobs created or retained</w:t>
            </w:r>
          </w:p>
          <w:p w14:paraId="079454D9" w14:textId="77777777" w:rsidR="005962A2" w:rsidRPr="00A62CCC" w:rsidRDefault="005962A2" w:rsidP="00631D46">
            <w:pPr>
              <w:rPr>
                <w:rFonts w:asciiTheme="minorHAnsi" w:hAnsiTheme="minorHAnsi" w:cstheme="minorHAnsi"/>
                <w:szCs w:val="18"/>
              </w:rPr>
            </w:pPr>
          </w:p>
          <w:p w14:paraId="6087BC15" w14:textId="77777777"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 xml:space="preserve">No use of apprentices, cadets and trainees </w:t>
            </w:r>
          </w:p>
          <w:p w14:paraId="524754C2" w14:textId="77777777" w:rsidR="005962A2" w:rsidRPr="00A62CCC" w:rsidRDefault="005962A2" w:rsidP="00631D46">
            <w:pPr>
              <w:rPr>
                <w:rFonts w:asciiTheme="minorHAnsi" w:hAnsiTheme="minorHAnsi" w:cstheme="minorHAnsi"/>
                <w:szCs w:val="18"/>
              </w:rPr>
            </w:pPr>
          </w:p>
          <w:p w14:paraId="158B7C3B" w14:textId="77777777"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No job development/ training opportunities have been identified</w:t>
            </w:r>
          </w:p>
          <w:p w14:paraId="2329B089" w14:textId="77777777" w:rsidR="005962A2" w:rsidRPr="00A62CCC" w:rsidRDefault="005962A2" w:rsidP="00631D46">
            <w:pPr>
              <w:rPr>
                <w:rFonts w:asciiTheme="minorHAnsi" w:hAnsiTheme="minorHAnsi" w:cstheme="minorHAnsi"/>
                <w:szCs w:val="18"/>
              </w:rPr>
            </w:pPr>
          </w:p>
        </w:tc>
        <w:tc>
          <w:tcPr>
            <w:tcW w:w="1843" w:type="dxa"/>
          </w:tcPr>
          <w:p w14:paraId="11664E17" w14:textId="77777777"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Very low number of Victorian jobs created or retained</w:t>
            </w:r>
          </w:p>
          <w:p w14:paraId="1CCE856D" w14:textId="77777777" w:rsidR="005962A2" w:rsidRPr="00A62CCC" w:rsidRDefault="005962A2" w:rsidP="00631D46">
            <w:pPr>
              <w:rPr>
                <w:rFonts w:asciiTheme="minorHAnsi" w:hAnsiTheme="minorHAnsi" w:cstheme="minorHAnsi"/>
                <w:szCs w:val="18"/>
              </w:rPr>
            </w:pPr>
          </w:p>
          <w:p w14:paraId="39E15B7F" w14:textId="59F3F1BB" w:rsidR="005962A2" w:rsidRDefault="005962A2" w:rsidP="00631D46">
            <w:pPr>
              <w:rPr>
                <w:rFonts w:asciiTheme="minorHAnsi" w:hAnsiTheme="minorHAnsi" w:cstheme="minorHAnsi"/>
                <w:szCs w:val="18"/>
              </w:rPr>
            </w:pPr>
            <w:r w:rsidRPr="00A62CCC">
              <w:rPr>
                <w:rFonts w:asciiTheme="minorHAnsi" w:hAnsiTheme="minorHAnsi" w:cstheme="minorHAnsi"/>
                <w:szCs w:val="18"/>
              </w:rPr>
              <w:t>Very low number of Australian/New Zealand jobs created or retained</w:t>
            </w:r>
          </w:p>
          <w:p w14:paraId="7E8D8785" w14:textId="77777777" w:rsidR="005237A5" w:rsidRPr="00A62CCC" w:rsidRDefault="005237A5" w:rsidP="00631D46">
            <w:pPr>
              <w:rPr>
                <w:rFonts w:asciiTheme="minorHAnsi" w:hAnsiTheme="minorHAnsi" w:cstheme="minorHAnsi"/>
                <w:szCs w:val="18"/>
              </w:rPr>
            </w:pPr>
          </w:p>
          <w:p w14:paraId="157FFA1F" w14:textId="1694EB6F" w:rsidR="005962A2" w:rsidRDefault="005962A2" w:rsidP="00631D46">
            <w:pPr>
              <w:rPr>
                <w:rFonts w:asciiTheme="minorHAnsi" w:hAnsiTheme="minorHAnsi" w:cstheme="minorHAnsi"/>
                <w:szCs w:val="18"/>
              </w:rPr>
            </w:pPr>
            <w:r w:rsidRPr="00A62CCC">
              <w:rPr>
                <w:rFonts w:asciiTheme="minorHAnsi" w:hAnsiTheme="minorHAnsi" w:cstheme="minorHAnsi"/>
                <w:szCs w:val="18"/>
              </w:rPr>
              <w:t xml:space="preserve">Low use of apprentices, cadets and trainees </w:t>
            </w:r>
          </w:p>
          <w:p w14:paraId="6A18CD60" w14:textId="77777777" w:rsidR="005237A5" w:rsidRPr="00A62CCC" w:rsidRDefault="005237A5" w:rsidP="00631D46">
            <w:pPr>
              <w:rPr>
                <w:rFonts w:asciiTheme="minorHAnsi" w:hAnsiTheme="minorHAnsi" w:cstheme="minorHAnsi"/>
                <w:szCs w:val="18"/>
              </w:rPr>
            </w:pPr>
          </w:p>
          <w:p w14:paraId="69AB28B6" w14:textId="77777777" w:rsidR="005962A2" w:rsidRPr="00A62CCC" w:rsidRDefault="005962A2" w:rsidP="00631D46">
            <w:pPr>
              <w:rPr>
                <w:rFonts w:asciiTheme="minorHAnsi" w:hAnsiTheme="minorHAnsi" w:cstheme="minorHAnsi"/>
                <w:b/>
                <w:szCs w:val="18"/>
              </w:rPr>
            </w:pPr>
            <w:r w:rsidRPr="00A62CCC">
              <w:rPr>
                <w:rFonts w:asciiTheme="minorHAnsi" w:hAnsiTheme="minorHAnsi" w:cstheme="minorHAnsi"/>
                <w:szCs w:val="18"/>
              </w:rPr>
              <w:t>No job development/ training opportunities have been identified</w:t>
            </w:r>
          </w:p>
        </w:tc>
        <w:tc>
          <w:tcPr>
            <w:tcW w:w="2126" w:type="dxa"/>
          </w:tcPr>
          <w:p w14:paraId="6645C9D2" w14:textId="3C4AA51C"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Medium number of Victorian jobs created or retained</w:t>
            </w:r>
          </w:p>
          <w:p w14:paraId="1E5C7939" w14:textId="77777777" w:rsidR="005962A2" w:rsidRPr="00A62CCC" w:rsidRDefault="005962A2" w:rsidP="00631D46">
            <w:pPr>
              <w:rPr>
                <w:rFonts w:asciiTheme="minorHAnsi" w:hAnsiTheme="minorHAnsi" w:cstheme="minorHAnsi"/>
                <w:szCs w:val="18"/>
              </w:rPr>
            </w:pPr>
          </w:p>
          <w:p w14:paraId="5CA343D1" w14:textId="548BC3BA" w:rsidR="005962A2" w:rsidRDefault="005962A2" w:rsidP="00631D46">
            <w:pPr>
              <w:rPr>
                <w:rFonts w:asciiTheme="minorHAnsi" w:hAnsiTheme="minorHAnsi" w:cstheme="minorHAnsi"/>
                <w:szCs w:val="18"/>
              </w:rPr>
            </w:pPr>
            <w:r w:rsidRPr="00A62CCC">
              <w:rPr>
                <w:rFonts w:asciiTheme="minorHAnsi" w:hAnsiTheme="minorHAnsi" w:cstheme="minorHAnsi"/>
                <w:szCs w:val="18"/>
              </w:rPr>
              <w:t xml:space="preserve">Medium number of Australian/New Zealand jobs created or retained. </w:t>
            </w:r>
          </w:p>
          <w:p w14:paraId="10E086F9" w14:textId="77777777" w:rsidR="005237A5" w:rsidRPr="00A62CCC" w:rsidRDefault="005237A5" w:rsidP="00631D46">
            <w:pPr>
              <w:rPr>
                <w:rFonts w:asciiTheme="minorHAnsi" w:hAnsiTheme="minorHAnsi" w:cstheme="minorHAnsi"/>
                <w:szCs w:val="18"/>
              </w:rPr>
            </w:pPr>
          </w:p>
          <w:p w14:paraId="7E6D8708" w14:textId="10A6AE1D" w:rsidR="005962A2" w:rsidRDefault="005962A2" w:rsidP="00631D46">
            <w:pPr>
              <w:rPr>
                <w:rFonts w:asciiTheme="minorHAnsi" w:hAnsiTheme="minorHAnsi" w:cstheme="minorHAnsi"/>
                <w:szCs w:val="18"/>
              </w:rPr>
            </w:pPr>
            <w:r w:rsidRPr="00A62CCC">
              <w:rPr>
                <w:rFonts w:asciiTheme="minorHAnsi" w:hAnsiTheme="minorHAnsi" w:cstheme="minorHAnsi"/>
                <w:szCs w:val="18"/>
              </w:rPr>
              <w:t>Some use of apprentices, cadets and trainees</w:t>
            </w:r>
          </w:p>
          <w:p w14:paraId="65725617" w14:textId="77777777" w:rsidR="005237A5" w:rsidRPr="00A62CCC" w:rsidRDefault="005237A5" w:rsidP="00631D46">
            <w:pPr>
              <w:rPr>
                <w:rFonts w:asciiTheme="minorHAnsi" w:hAnsiTheme="minorHAnsi" w:cstheme="minorHAnsi"/>
                <w:szCs w:val="18"/>
              </w:rPr>
            </w:pPr>
          </w:p>
          <w:p w14:paraId="4AE24381" w14:textId="77777777"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Job development/ training opportunities have been identified.</w:t>
            </w:r>
          </w:p>
          <w:p w14:paraId="6544809B" w14:textId="77777777" w:rsidR="005962A2" w:rsidRPr="00A62CCC" w:rsidRDefault="005962A2" w:rsidP="00631D46">
            <w:pPr>
              <w:rPr>
                <w:rFonts w:asciiTheme="minorHAnsi" w:hAnsiTheme="minorHAnsi" w:cstheme="minorHAnsi"/>
                <w:szCs w:val="18"/>
              </w:rPr>
            </w:pPr>
          </w:p>
          <w:p w14:paraId="1006A4DC" w14:textId="77777777" w:rsidR="005962A2" w:rsidRPr="00A62CCC" w:rsidRDefault="005962A2" w:rsidP="00631D46">
            <w:pPr>
              <w:rPr>
                <w:rFonts w:asciiTheme="minorHAnsi" w:hAnsiTheme="minorHAnsi" w:cstheme="minorHAnsi"/>
                <w:b/>
                <w:szCs w:val="18"/>
              </w:rPr>
            </w:pPr>
          </w:p>
        </w:tc>
        <w:tc>
          <w:tcPr>
            <w:tcW w:w="2268" w:type="dxa"/>
          </w:tcPr>
          <w:p w14:paraId="69EF4AA2" w14:textId="76326422"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Very high number of Victorian jobs created or retained</w:t>
            </w:r>
          </w:p>
          <w:p w14:paraId="1C0F2A55" w14:textId="77777777" w:rsidR="005962A2" w:rsidRPr="00A62CCC" w:rsidRDefault="005962A2" w:rsidP="00631D46">
            <w:pPr>
              <w:rPr>
                <w:rFonts w:asciiTheme="minorHAnsi" w:hAnsiTheme="minorHAnsi" w:cstheme="minorHAnsi"/>
                <w:szCs w:val="18"/>
              </w:rPr>
            </w:pPr>
          </w:p>
          <w:p w14:paraId="0CD7AD90" w14:textId="1557D414" w:rsidR="005962A2" w:rsidRDefault="005962A2" w:rsidP="00631D46">
            <w:pPr>
              <w:rPr>
                <w:rFonts w:asciiTheme="minorHAnsi" w:hAnsiTheme="minorHAnsi" w:cstheme="minorHAnsi"/>
                <w:szCs w:val="18"/>
              </w:rPr>
            </w:pPr>
            <w:r w:rsidRPr="00A62CCC">
              <w:rPr>
                <w:rFonts w:asciiTheme="minorHAnsi" w:hAnsiTheme="minorHAnsi" w:cstheme="minorHAnsi"/>
                <w:szCs w:val="18"/>
              </w:rPr>
              <w:t>Very high number of Australian/New Zealand jobs created or retained</w:t>
            </w:r>
          </w:p>
          <w:p w14:paraId="656FBEE8" w14:textId="77777777" w:rsidR="005237A5" w:rsidRPr="00A62CCC" w:rsidRDefault="005237A5" w:rsidP="00631D46">
            <w:pPr>
              <w:rPr>
                <w:rFonts w:asciiTheme="minorHAnsi" w:hAnsiTheme="minorHAnsi" w:cstheme="minorHAnsi"/>
                <w:szCs w:val="18"/>
              </w:rPr>
            </w:pPr>
          </w:p>
          <w:p w14:paraId="492A2702" w14:textId="77777777"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Very high number of apprentices, cadets and traineeship positions created</w:t>
            </w:r>
          </w:p>
          <w:p w14:paraId="71274C51" w14:textId="77777777" w:rsidR="005962A2" w:rsidRPr="00A62CCC" w:rsidRDefault="005962A2" w:rsidP="00631D46">
            <w:pPr>
              <w:rPr>
                <w:rFonts w:asciiTheme="minorHAnsi" w:hAnsiTheme="minorHAnsi" w:cstheme="minorHAnsi"/>
                <w:szCs w:val="18"/>
              </w:rPr>
            </w:pPr>
          </w:p>
          <w:p w14:paraId="0BA7C267" w14:textId="16AD0794" w:rsidR="005962A2" w:rsidRPr="00A62CCC" w:rsidRDefault="005962A2" w:rsidP="00631D46">
            <w:pPr>
              <w:rPr>
                <w:rFonts w:asciiTheme="minorHAnsi" w:hAnsiTheme="minorHAnsi" w:cstheme="minorHAnsi"/>
                <w:szCs w:val="18"/>
              </w:rPr>
            </w:pPr>
            <w:r w:rsidRPr="00A62CCC">
              <w:rPr>
                <w:rFonts w:asciiTheme="minorHAnsi" w:hAnsiTheme="minorHAnsi" w:cstheme="minorHAnsi"/>
                <w:szCs w:val="18"/>
              </w:rPr>
              <w:t>High number of job development/ training opportunities have been identified in detail</w:t>
            </w:r>
          </w:p>
        </w:tc>
      </w:tr>
    </w:tbl>
    <w:p w14:paraId="63502D3D" w14:textId="77777777" w:rsidR="005962A2" w:rsidRPr="00A108CD" w:rsidRDefault="005962A2" w:rsidP="005962A2">
      <w:pPr>
        <w:rPr>
          <w:rFonts w:asciiTheme="minorHAnsi" w:hAnsiTheme="minorHAnsi" w:cstheme="minorHAnsi"/>
          <w:szCs w:val="18"/>
        </w:rPr>
      </w:pPr>
    </w:p>
    <w:p w14:paraId="15E45940" w14:textId="77777777" w:rsidR="005962A2" w:rsidRPr="00A108CD" w:rsidRDefault="005962A2" w:rsidP="005962A2">
      <w:pPr>
        <w:jc w:val="both"/>
        <w:rPr>
          <w:rFonts w:asciiTheme="minorHAnsi" w:hAnsiTheme="minorHAnsi" w:cstheme="minorHAnsi"/>
          <w:b/>
          <w:szCs w:val="18"/>
          <w:u w:val="single"/>
        </w:rPr>
      </w:pPr>
      <w:r w:rsidRPr="00A108CD">
        <w:rPr>
          <w:rFonts w:asciiTheme="minorHAnsi" w:hAnsiTheme="minorHAnsi" w:cstheme="minorHAnsi"/>
          <w:b/>
          <w:szCs w:val="18"/>
          <w:u w:val="single"/>
        </w:rPr>
        <w:t xml:space="preserve">Guidance on assessment of job outcomes –MPSG Applicable Projects  </w:t>
      </w:r>
    </w:p>
    <w:p w14:paraId="7440A8CA" w14:textId="77777777" w:rsidR="005962A2" w:rsidRPr="00A108CD" w:rsidRDefault="005962A2" w:rsidP="005962A2">
      <w:pPr>
        <w:jc w:val="both"/>
        <w:rPr>
          <w:rFonts w:asciiTheme="minorHAnsi" w:hAnsiTheme="minorHAnsi" w:cstheme="minorHAnsi"/>
          <w:szCs w:val="18"/>
        </w:rPr>
      </w:pPr>
      <w:r w:rsidRPr="00A108CD">
        <w:rPr>
          <w:rFonts w:asciiTheme="minorHAnsi" w:hAnsiTheme="minorHAnsi" w:cstheme="minorHAnsi"/>
          <w:szCs w:val="18"/>
        </w:rPr>
        <w:t xml:space="preserve">The total score for job outcomes for MPSG applicable projects can be calculated by adding the score for MPSG outcomes with the score for additional job outcomes.  </w:t>
      </w:r>
    </w:p>
    <w:p w14:paraId="6F984497" w14:textId="77777777" w:rsidR="005962A2" w:rsidRDefault="005962A2" w:rsidP="005962A2">
      <w:pPr>
        <w:jc w:val="both"/>
        <w:rPr>
          <w:rFonts w:asciiTheme="minorHAnsi" w:hAnsiTheme="minorHAnsi" w:cstheme="minorHAnsi"/>
          <w:szCs w:val="18"/>
        </w:rPr>
      </w:pPr>
      <w:r w:rsidRPr="00A108CD">
        <w:rPr>
          <w:rFonts w:asciiTheme="minorHAnsi" w:hAnsiTheme="minorHAnsi" w:cstheme="minorHAnsi"/>
          <w:szCs w:val="18"/>
        </w:rPr>
        <w:t xml:space="preserve">For example, a bidder that received 3/5 points for MPSG outcomes and 4/5 points for additional job outcomes will receive a total final score of 7/10. </w:t>
      </w:r>
    </w:p>
    <w:p w14:paraId="2F1D2735" w14:textId="74E63B39" w:rsidR="00516DFD" w:rsidRDefault="0035048D" w:rsidP="0035048D">
      <w:r w:rsidRPr="0035048D">
        <w:rPr>
          <w:noProof/>
        </w:rPr>
        <mc:AlternateContent>
          <mc:Choice Requires="wps">
            <w:drawing>
              <wp:inline distT="0" distB="0" distL="0" distR="0" wp14:anchorId="52DD93CB" wp14:editId="197BBD12">
                <wp:extent cx="5731510" cy="997772"/>
                <wp:effectExtent l="0" t="0" r="21590" b="209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97772"/>
                        </a:xfrm>
                        <a:prstGeom prst="rect">
                          <a:avLst/>
                        </a:prstGeom>
                        <a:solidFill>
                          <a:srgbClr val="FFFFFF"/>
                        </a:solidFill>
                        <a:ln w="9525">
                          <a:solidFill>
                            <a:srgbClr val="000000"/>
                          </a:solidFill>
                          <a:miter lim="800000"/>
                          <a:headEnd/>
                          <a:tailEnd/>
                        </a:ln>
                      </wps:spPr>
                      <wps:txbx>
                        <w:txbxContent>
                          <w:p w14:paraId="3D5899FD" w14:textId="4E666CFA" w:rsidR="00DE4B66" w:rsidRPr="00060EFA" w:rsidRDefault="00DE4B66" w:rsidP="00060EFA">
                            <w:pPr>
                              <w:jc w:val="center"/>
                            </w:pPr>
                            <w:r>
                              <w:t>A</w:t>
                            </w:r>
                            <w:r w:rsidRPr="00060EFA">
                              <w:t>pplying L</w:t>
                            </w:r>
                            <w:r>
                              <w:t xml:space="preserve">ocal </w:t>
                            </w:r>
                            <w:r w:rsidRPr="00060EFA">
                              <w:t>J</w:t>
                            </w:r>
                            <w:r>
                              <w:t xml:space="preserve">obs </w:t>
                            </w:r>
                            <w:r w:rsidRPr="00060EFA">
                              <w:t>F</w:t>
                            </w:r>
                            <w:r>
                              <w:t>irst</w:t>
                            </w:r>
                            <w:r w:rsidRPr="00060EFA">
                              <w:t xml:space="preserve"> to Strategic Projects is identical to that of Standard Projects except </w:t>
                            </w:r>
                            <w:r>
                              <w:t xml:space="preserve">that the Minister for Jobs, Innovation and Trade </w:t>
                            </w:r>
                            <w:r w:rsidRPr="00060EFA">
                              <w:t xml:space="preserve">is responsible for setting local content requirements for a Strategic Project. </w:t>
                            </w:r>
                          </w:p>
                          <w:p w14:paraId="0B184C9D" w14:textId="43E660D7" w:rsidR="00DE4B66" w:rsidRDefault="00DE4B66" w:rsidP="00060EFA">
                            <w:pPr>
                              <w:jc w:val="center"/>
                            </w:pPr>
                            <w:r w:rsidRPr="00060EFA">
                              <w:t xml:space="preserve">An agency must contact the </w:t>
                            </w:r>
                            <w:r>
                              <w:t>Department of Jobs, Precincts and Regions</w:t>
                            </w:r>
                            <w:r w:rsidRPr="00060EFA">
                              <w:t xml:space="preserve"> prior to proceeding with a project to confirm the setting of local content requirements for a specific project. </w:t>
                            </w:r>
                          </w:p>
                          <w:p w14:paraId="3E3FE460" w14:textId="23B89F90" w:rsidR="00DE4B66" w:rsidRDefault="00DE4B66" w:rsidP="00060EFA">
                            <w:pPr>
                              <w:jc w:val="center"/>
                            </w:pPr>
                            <w:r w:rsidRPr="00060EFA">
                              <w:t xml:space="preserve">The Minister must agree to the minimum local content requirements which are required to be included in project documents released to the market.  </w:t>
                            </w:r>
                            <w:r>
                              <w:t xml:space="preserve">DJPR coordinates briefing the Minister of the local content requirements for </w:t>
                            </w:r>
                            <w:r w:rsidR="00C56259">
                              <w:t>S</w:t>
                            </w:r>
                            <w:r>
                              <w:t xml:space="preserve">trategic </w:t>
                            </w:r>
                            <w:r w:rsidR="00C56259">
                              <w:t>P</w:t>
                            </w:r>
                            <w:r>
                              <w:t>rojects and will advise an agency following the Minister’s agreement.</w:t>
                            </w:r>
                          </w:p>
                          <w:p w14:paraId="7F4579E2" w14:textId="28B9F6AE" w:rsidR="00DE4B66" w:rsidRDefault="00DE4B66" w:rsidP="00060EFA">
                            <w:pPr>
                              <w:jc w:val="center"/>
                            </w:pPr>
                            <w:r>
                              <w:t xml:space="preserve">Agencies must refer to the guidance on assessment of industry development outcomes when evaluating responses from market. </w:t>
                            </w:r>
                          </w:p>
                          <w:p w14:paraId="3428F956" w14:textId="2F8E27F7" w:rsidR="00DE4B66" w:rsidRPr="00A51772" w:rsidRDefault="00DE4B66" w:rsidP="00060EFA">
                            <w:pPr>
                              <w:jc w:val="center"/>
                            </w:pPr>
                            <w:r>
                              <w:t>Release of documents without the agreement of the Minister for Jobs, Innovation and Trade to local content requirements will deem the agency non-complaint with LJF</w:t>
                            </w:r>
                          </w:p>
                        </w:txbxContent>
                      </wps:txbx>
                      <wps:bodyPr rot="0" vert="horz" wrap="square" lIns="91440" tIns="45720" rIns="91440" bIns="45720" anchor="t" anchorCtr="0">
                        <a:spAutoFit/>
                      </wps:bodyPr>
                    </wps:wsp>
                  </a:graphicData>
                </a:graphic>
              </wp:inline>
            </w:drawing>
          </mc:Choice>
          <mc:Fallback>
            <w:pict>
              <v:shape w14:anchorId="52DD93CB" id="_x0000_s1031" type="#_x0000_t202" style="width:451.3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">
                <v:textbox style="mso-fit-shape-to-text:t">
                  <w:txbxContent>
                    <w:p w14:paraId="3D5899FD" w14:textId="4E666CFA" w:rsidR="00DE4B66" w:rsidRPr="00060EFA" w:rsidRDefault="00DE4B66" w:rsidP="00060EFA">
                      <w:pPr>
                        <w:jc w:val="center"/>
                      </w:pPr>
                      <w:r>
                        <w:t>A</w:t>
                      </w:r>
                      <w:r w:rsidRPr="00060EFA">
                        <w:t>pplying L</w:t>
                      </w:r>
                      <w:r>
                        <w:t xml:space="preserve">ocal </w:t>
                      </w:r>
                      <w:r w:rsidRPr="00060EFA">
                        <w:t>J</w:t>
                      </w:r>
                      <w:r>
                        <w:t xml:space="preserve">obs </w:t>
                      </w:r>
                      <w:r w:rsidRPr="00060EFA">
                        <w:t>F</w:t>
                      </w:r>
                      <w:r>
                        <w:t>irst</w:t>
                      </w:r>
                      <w:r w:rsidRPr="00060EFA">
                        <w:t xml:space="preserve"> to Strategic Projects is identical to that of Standard Projects except </w:t>
                      </w:r>
                      <w:r>
                        <w:t xml:space="preserve">that the Minister for Jobs, Innovation and Trade </w:t>
                      </w:r>
                      <w:r w:rsidRPr="00060EFA">
                        <w:t xml:space="preserve">is responsible for setting local content requirements for a Strategic Project. </w:t>
                      </w:r>
                    </w:p>
                    <w:p w14:paraId="0B184C9D" w14:textId="43E660D7" w:rsidR="00DE4B66" w:rsidRDefault="00DE4B66" w:rsidP="00060EFA">
                      <w:pPr>
                        <w:jc w:val="center"/>
                      </w:pPr>
                      <w:r w:rsidRPr="00060EFA">
                        <w:t xml:space="preserve">An agency must contact the </w:t>
                      </w:r>
                      <w:r>
                        <w:t>Department of Jobs, Precincts and Regions</w:t>
                      </w:r>
                      <w:r w:rsidRPr="00060EFA">
                        <w:t xml:space="preserve"> prior to proceeding with a project to confirm the setting of local content requirements for a specific project. </w:t>
                      </w:r>
                    </w:p>
                    <w:p w14:paraId="3E3FE460" w14:textId="23B89F90" w:rsidR="00DE4B66" w:rsidRDefault="00DE4B66" w:rsidP="00060EFA">
                      <w:pPr>
                        <w:jc w:val="center"/>
                      </w:pPr>
                      <w:r w:rsidRPr="00060EFA">
                        <w:t xml:space="preserve">The Minister must agree to the minimum local content requirements which are required to be included in project documents released to the market.  </w:t>
                      </w:r>
                      <w:r>
                        <w:t xml:space="preserve">DJPR coordinates briefing the Minister of the local content requirements for </w:t>
                      </w:r>
                      <w:r w:rsidR="00C56259">
                        <w:t>S</w:t>
                      </w:r>
                      <w:r>
                        <w:t xml:space="preserve">trategic </w:t>
                      </w:r>
                      <w:r w:rsidR="00C56259">
                        <w:t>P</w:t>
                      </w:r>
                      <w:r>
                        <w:t>rojects and will advise an agency following the Minister’s agreement.</w:t>
                      </w:r>
                    </w:p>
                    <w:p w14:paraId="7F4579E2" w14:textId="28B9F6AE" w:rsidR="00DE4B66" w:rsidRDefault="00DE4B66" w:rsidP="00060EFA">
                      <w:pPr>
                        <w:jc w:val="center"/>
                      </w:pPr>
                      <w:r>
                        <w:t xml:space="preserve">Agencies must refer to the guidance on assessment of industry development outcomes when evaluating responses from market. </w:t>
                      </w:r>
                    </w:p>
                    <w:p w14:paraId="3428F956" w14:textId="2F8E27F7" w:rsidR="00DE4B66" w:rsidRPr="00A51772" w:rsidRDefault="00DE4B66" w:rsidP="00060EFA">
                      <w:pPr>
                        <w:jc w:val="center"/>
                      </w:pPr>
                      <w:r>
                        <w:t>Release of documents without the agreement of the Minister for Jobs, Innovation and Trade to local content requirements will deem the agency non-complaint with LJF</w:t>
                      </w:r>
                    </w:p>
                  </w:txbxContent>
                </v:textbox>
                <w10:anchorlock/>
              </v:shape>
            </w:pict>
          </mc:Fallback>
        </mc:AlternateContent>
      </w:r>
    </w:p>
    <w:p w14:paraId="0C0F1B90" w14:textId="77777777" w:rsidR="00D86D18" w:rsidRDefault="00D86D18" w:rsidP="00F776BC">
      <w:pPr>
        <w:rPr>
          <w:b/>
          <w:sz w:val="20"/>
        </w:rPr>
      </w:pPr>
    </w:p>
    <w:p w14:paraId="53D11413" w14:textId="77777777" w:rsidR="00D86D18" w:rsidRDefault="00D86D18" w:rsidP="00F776BC">
      <w:pPr>
        <w:rPr>
          <w:b/>
          <w:sz w:val="20"/>
        </w:rPr>
      </w:pPr>
    </w:p>
    <w:p w14:paraId="5EA26140" w14:textId="77777777" w:rsidR="00D86D18" w:rsidRDefault="00D86D18" w:rsidP="00F776BC">
      <w:pPr>
        <w:rPr>
          <w:b/>
          <w:sz w:val="20"/>
        </w:rPr>
      </w:pPr>
    </w:p>
    <w:p w14:paraId="1B992974" w14:textId="16FC0D99" w:rsidR="00F776BC" w:rsidRPr="00865235" w:rsidRDefault="00F776BC" w:rsidP="00F776BC">
      <w:pPr>
        <w:rPr>
          <w:b/>
          <w:sz w:val="20"/>
        </w:rPr>
      </w:pPr>
      <w:r w:rsidRPr="00A62CCC">
        <w:rPr>
          <w:b/>
          <w:sz w:val="20"/>
        </w:rPr>
        <w:lastRenderedPageBreak/>
        <w:t>Step 7 – Awarding a contract</w:t>
      </w:r>
      <w:r w:rsidRPr="00865235">
        <w:rPr>
          <w:b/>
          <w:sz w:val="20"/>
        </w:rPr>
        <w:t xml:space="preserve"> </w:t>
      </w:r>
    </w:p>
    <w:p w14:paraId="5DD7FF7C" w14:textId="77777777" w:rsidR="00F776BC" w:rsidRDefault="00F776BC" w:rsidP="00A827D1">
      <w:pPr>
        <w:numPr>
          <w:ilvl w:val="0"/>
          <w:numId w:val="15"/>
        </w:numPr>
        <w:spacing w:before="0"/>
        <w:jc w:val="both"/>
        <w:rPr>
          <w:rFonts w:cs="Arial"/>
        </w:rPr>
      </w:pPr>
      <w:r w:rsidRPr="001856B3">
        <w:rPr>
          <w:rFonts w:cs="Arial"/>
        </w:rPr>
        <w:t xml:space="preserve">The </w:t>
      </w:r>
      <w:r>
        <w:rPr>
          <w:rFonts w:cs="Arial"/>
        </w:rPr>
        <w:t xml:space="preserve">agency project </w:t>
      </w:r>
      <w:r w:rsidRPr="001856B3">
        <w:rPr>
          <w:rFonts w:cs="Arial"/>
        </w:rPr>
        <w:t xml:space="preserve">manager must </w:t>
      </w:r>
      <w:r>
        <w:rPr>
          <w:rFonts w:cs="Arial"/>
        </w:rPr>
        <w:t xml:space="preserve">notify the ICN of the </w:t>
      </w:r>
      <w:r w:rsidRPr="00AE74D9">
        <w:rPr>
          <w:rFonts w:cs="Arial"/>
        </w:rPr>
        <w:t>appointed supplier for a given tender</w:t>
      </w:r>
      <w:r>
        <w:rPr>
          <w:rFonts w:cs="Arial"/>
        </w:rPr>
        <w:t xml:space="preserve">. This must be done through the VMC and must occur within five business days of awarding a contract. </w:t>
      </w:r>
    </w:p>
    <w:p w14:paraId="427128AA" w14:textId="77777777" w:rsidR="00F776BC" w:rsidRDefault="00F776BC" w:rsidP="00A827D1">
      <w:pPr>
        <w:numPr>
          <w:ilvl w:val="0"/>
          <w:numId w:val="15"/>
        </w:numPr>
        <w:spacing w:before="0"/>
        <w:jc w:val="both"/>
        <w:rPr>
          <w:rFonts w:cs="Arial"/>
        </w:rPr>
      </w:pPr>
      <w:r w:rsidRPr="009C3338">
        <w:rPr>
          <w:rFonts w:cs="Arial"/>
        </w:rPr>
        <w:t>The LIDP</w:t>
      </w:r>
      <w:r>
        <w:rPr>
          <w:rFonts w:cs="Arial"/>
        </w:rPr>
        <w:t xml:space="preserve"> and LJF </w:t>
      </w:r>
      <w:r w:rsidRPr="009C3338">
        <w:rPr>
          <w:rFonts w:cs="Arial"/>
        </w:rPr>
        <w:t xml:space="preserve">commitments must be incorporated into the contract as project deliverables. This can be achieved by attaching the final agreed LIDP to the contract and including the relevant model clauses in the agreement. Refer to the LJF Model Clauses, which have been prepared by the Victorian Government Solicitor's Office (VGSO) and is available on the Local Jobs First website. </w:t>
      </w:r>
    </w:p>
    <w:p w14:paraId="0A31DBD3" w14:textId="79F9DDC0" w:rsidR="00F776BC" w:rsidRDefault="00F776BC" w:rsidP="00A827D1">
      <w:pPr>
        <w:pStyle w:val="ListParagraph"/>
        <w:numPr>
          <w:ilvl w:val="0"/>
          <w:numId w:val="15"/>
        </w:numPr>
        <w:jc w:val="both"/>
        <w:rPr>
          <w:rFonts w:ascii="Arial" w:hAnsi="Arial" w:cs="Arial"/>
          <w:sz w:val="18"/>
          <w:szCs w:val="20"/>
          <w:lang w:eastAsia="en-US"/>
        </w:rPr>
      </w:pPr>
      <w:r w:rsidRPr="004E02A5">
        <w:rPr>
          <w:rFonts w:ascii="Arial" w:hAnsi="Arial" w:cs="Arial"/>
          <w:sz w:val="18"/>
          <w:szCs w:val="20"/>
          <w:lang w:eastAsia="en-US"/>
        </w:rPr>
        <w:t>If a bidder wishes to receive feedback on a successful or unsuccessful tender, then an agency must provide it</w:t>
      </w:r>
      <w:r>
        <w:rPr>
          <w:rFonts w:ascii="Arial" w:hAnsi="Arial" w:cs="Arial"/>
          <w:sz w:val="18"/>
          <w:szCs w:val="20"/>
          <w:lang w:eastAsia="en-US"/>
        </w:rPr>
        <w:t xml:space="preserve"> to the bidder</w:t>
      </w:r>
      <w:r w:rsidRPr="004E02A5">
        <w:rPr>
          <w:rFonts w:ascii="Arial" w:hAnsi="Arial" w:cs="Arial"/>
          <w:sz w:val="18"/>
          <w:szCs w:val="20"/>
          <w:lang w:eastAsia="en-US"/>
        </w:rPr>
        <w:t xml:space="preserve">. Agencies can provide the feedback provided by the ICN in the ICN </w:t>
      </w:r>
      <w:r w:rsidR="000905D1" w:rsidRPr="000905D1">
        <w:rPr>
          <w:rFonts w:ascii="Arial" w:hAnsi="Arial" w:cs="Arial"/>
          <w:sz w:val="18"/>
          <w:szCs w:val="20"/>
          <w:lang w:eastAsia="en-US"/>
        </w:rPr>
        <w:t xml:space="preserve">risk evaluation report </w:t>
      </w:r>
      <w:r w:rsidRPr="004E02A5">
        <w:rPr>
          <w:rFonts w:ascii="Arial" w:hAnsi="Arial" w:cs="Arial"/>
          <w:sz w:val="18"/>
          <w:szCs w:val="20"/>
          <w:lang w:eastAsia="en-US"/>
        </w:rPr>
        <w:t xml:space="preserve">to suppliers. </w:t>
      </w:r>
    </w:p>
    <w:p w14:paraId="5E0F3B93" w14:textId="77777777" w:rsidR="000905D1" w:rsidRPr="004E02A5" w:rsidRDefault="000905D1" w:rsidP="00A827D1">
      <w:pPr>
        <w:pStyle w:val="ListParagraph"/>
        <w:ind w:left="360"/>
        <w:jc w:val="both"/>
        <w:rPr>
          <w:rFonts w:ascii="Arial" w:hAnsi="Arial" w:cs="Arial"/>
          <w:sz w:val="18"/>
          <w:szCs w:val="20"/>
          <w:lang w:eastAsia="en-US"/>
        </w:rPr>
      </w:pPr>
    </w:p>
    <w:p w14:paraId="45142AAD" w14:textId="77777777" w:rsidR="00F776BC" w:rsidRPr="00C533B1" w:rsidRDefault="00F776BC" w:rsidP="00A827D1">
      <w:pPr>
        <w:jc w:val="both"/>
        <w:rPr>
          <w:b/>
          <w:sz w:val="20"/>
        </w:rPr>
      </w:pPr>
      <w:r w:rsidRPr="00C533B1">
        <w:rPr>
          <w:b/>
          <w:sz w:val="20"/>
        </w:rPr>
        <w:t xml:space="preserve">Step 8 – Monitoring Local Jobs First during delivery of the project </w:t>
      </w:r>
    </w:p>
    <w:p w14:paraId="6641B7EC" w14:textId="45F3D32A" w:rsidR="00C533B1" w:rsidRDefault="00C533B1" w:rsidP="00A827D1">
      <w:pPr>
        <w:pStyle w:val="ListParagraph"/>
        <w:numPr>
          <w:ilvl w:val="0"/>
          <w:numId w:val="15"/>
        </w:numPr>
        <w:jc w:val="both"/>
        <w:rPr>
          <w:rFonts w:ascii="Arial" w:hAnsi="Arial" w:cs="Arial"/>
          <w:sz w:val="18"/>
          <w:szCs w:val="20"/>
          <w:lang w:eastAsia="en-US"/>
        </w:rPr>
      </w:pPr>
      <w:r w:rsidRPr="00C533B1">
        <w:rPr>
          <w:rFonts w:ascii="Arial" w:hAnsi="Arial" w:cs="Arial"/>
          <w:sz w:val="18"/>
          <w:szCs w:val="20"/>
          <w:lang w:eastAsia="en-US"/>
        </w:rPr>
        <w:t>There are reporting requirements for all projects. Suppliers are required to report on their LJF commitments as contained in the LIDP during the life of the project to practical completion.</w:t>
      </w:r>
    </w:p>
    <w:p w14:paraId="35F8C880" w14:textId="77777777" w:rsidR="00C533B1" w:rsidRPr="00C533B1" w:rsidRDefault="00C533B1" w:rsidP="00A827D1">
      <w:pPr>
        <w:pStyle w:val="ListParagraph"/>
        <w:ind w:left="360"/>
        <w:jc w:val="both"/>
        <w:rPr>
          <w:rFonts w:ascii="Arial" w:hAnsi="Arial" w:cs="Arial"/>
          <w:sz w:val="18"/>
          <w:szCs w:val="20"/>
          <w:lang w:eastAsia="en-US"/>
        </w:rPr>
      </w:pPr>
    </w:p>
    <w:p w14:paraId="09C8B65C" w14:textId="777D2E8F" w:rsidR="00C533B1" w:rsidRDefault="00C533B1" w:rsidP="00A827D1">
      <w:pPr>
        <w:pStyle w:val="ListParagraph"/>
        <w:numPr>
          <w:ilvl w:val="0"/>
          <w:numId w:val="15"/>
        </w:numPr>
        <w:jc w:val="both"/>
        <w:rPr>
          <w:rFonts w:ascii="Arial" w:hAnsi="Arial" w:cs="Arial"/>
          <w:sz w:val="18"/>
          <w:szCs w:val="20"/>
          <w:lang w:eastAsia="en-US"/>
        </w:rPr>
      </w:pPr>
      <w:r w:rsidRPr="00C533B1">
        <w:rPr>
          <w:rFonts w:ascii="Arial" w:hAnsi="Arial" w:cs="Arial"/>
          <w:sz w:val="18"/>
          <w:szCs w:val="20"/>
          <w:lang w:eastAsia="en-US"/>
        </w:rPr>
        <w:t>For all projects valued over $20 million, agencies monitor and report local content and job outcomes on a six-monthly basis.</w:t>
      </w:r>
    </w:p>
    <w:p w14:paraId="18700DE7" w14:textId="77777777" w:rsidR="00C533B1" w:rsidRPr="00C533B1" w:rsidRDefault="00C533B1" w:rsidP="00A827D1">
      <w:pPr>
        <w:pStyle w:val="ListParagraph"/>
        <w:ind w:left="360"/>
        <w:jc w:val="both"/>
        <w:rPr>
          <w:rFonts w:ascii="Arial" w:hAnsi="Arial" w:cs="Arial"/>
          <w:sz w:val="18"/>
          <w:szCs w:val="20"/>
          <w:lang w:eastAsia="en-US"/>
        </w:rPr>
      </w:pPr>
    </w:p>
    <w:p w14:paraId="7C8FAB89" w14:textId="77777777" w:rsidR="00C533B1" w:rsidRPr="00C533B1" w:rsidRDefault="00C533B1" w:rsidP="00A827D1">
      <w:pPr>
        <w:pStyle w:val="ListParagraph"/>
        <w:numPr>
          <w:ilvl w:val="0"/>
          <w:numId w:val="15"/>
        </w:numPr>
        <w:jc w:val="both"/>
        <w:rPr>
          <w:rFonts w:ascii="Arial" w:hAnsi="Arial" w:cs="Arial"/>
          <w:sz w:val="18"/>
          <w:szCs w:val="20"/>
          <w:lang w:eastAsia="en-US"/>
        </w:rPr>
      </w:pPr>
      <w:r w:rsidRPr="00C533B1">
        <w:rPr>
          <w:rFonts w:ascii="Arial" w:hAnsi="Arial" w:cs="Arial"/>
          <w:sz w:val="18"/>
          <w:szCs w:val="20"/>
          <w:lang w:eastAsia="en-US"/>
        </w:rPr>
        <w:t xml:space="preserve">Further information regarding Local Jobs First monitoring and reporting is available at section 10. </w:t>
      </w:r>
    </w:p>
    <w:p w14:paraId="059C72B8" w14:textId="727EC3C3" w:rsidR="005962A2" w:rsidRPr="007A3EE5" w:rsidRDefault="00F776BC" w:rsidP="00F776BC">
      <w:r w:rsidRPr="003E3110">
        <w:rPr>
          <w:rFonts w:asciiTheme="minorHAnsi" w:hAnsiTheme="minorHAnsi" w:cstheme="minorHAnsi"/>
          <w:noProof/>
          <w:szCs w:val="18"/>
        </w:rPr>
        <mc:AlternateContent>
          <mc:Choice Requires="wps">
            <w:drawing>
              <wp:inline distT="0" distB="0" distL="0" distR="0" wp14:anchorId="7799990E" wp14:editId="3B44A2D5">
                <wp:extent cx="5731510" cy="1717482"/>
                <wp:effectExtent l="0" t="0" r="21590" b="165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17482"/>
                        </a:xfrm>
                        <a:prstGeom prst="rect">
                          <a:avLst/>
                        </a:prstGeom>
                        <a:solidFill>
                          <a:srgbClr val="FFFFFF"/>
                        </a:solidFill>
                        <a:ln w="9525">
                          <a:solidFill>
                            <a:srgbClr val="000000"/>
                          </a:solidFill>
                          <a:miter lim="800000"/>
                          <a:headEnd/>
                          <a:tailEnd/>
                        </a:ln>
                      </wps:spPr>
                      <wps:txbx>
                        <w:txbxContent>
                          <w:p w14:paraId="36F3196D" w14:textId="6B7F0261" w:rsidR="00DE4B66" w:rsidRDefault="00DE4B66" w:rsidP="00F776BC">
                            <w:pPr>
                              <w:jc w:val="center"/>
                            </w:pPr>
                            <w:r w:rsidRPr="003C0DDE">
                              <w:t xml:space="preserve">Bidders must submit their LIDP and ICN </w:t>
                            </w:r>
                            <w:r w:rsidR="00B5557E">
                              <w:t>Acknowledgement Letter</w:t>
                            </w:r>
                            <w:r w:rsidRPr="003C0DDE">
                              <w:t xml:space="preserve"> to the agency’s tender evaluation panel. </w:t>
                            </w:r>
                          </w:p>
                          <w:p w14:paraId="27233D65" w14:textId="036D3B46" w:rsidR="00DE4B66" w:rsidRDefault="00DE4B66" w:rsidP="00F776BC">
                            <w:pPr>
                              <w:jc w:val="center"/>
                            </w:pPr>
                            <w:r>
                              <w:t xml:space="preserve">Agencies </w:t>
                            </w:r>
                            <w:r w:rsidRPr="003C0DDE">
                              <w:t xml:space="preserve">must use the </w:t>
                            </w:r>
                            <w:r w:rsidRPr="008D1DDF">
                              <w:t xml:space="preserve">LJF risk evaluation report </w:t>
                            </w:r>
                            <w:r w:rsidRPr="003C0DDE">
                              <w:t xml:space="preserve">during the evaluation process. </w:t>
                            </w:r>
                          </w:p>
                          <w:p w14:paraId="0DF71A85" w14:textId="77777777" w:rsidR="00DE4B66" w:rsidRDefault="00DE4B66" w:rsidP="00F776BC">
                            <w:pPr>
                              <w:jc w:val="center"/>
                            </w:pPr>
                            <w:r w:rsidRPr="003C0DDE">
                              <w:t>Agencies are required to apply a mandatory minimum 10</w:t>
                            </w:r>
                            <w:r>
                              <w:t xml:space="preserve"> per cent</w:t>
                            </w:r>
                            <w:r w:rsidRPr="003C0DDE">
                              <w:t xml:space="preserve"> weighting for local industry development and 10</w:t>
                            </w:r>
                            <w:r>
                              <w:t xml:space="preserve"> per cent</w:t>
                            </w:r>
                            <w:r w:rsidRPr="003C0DDE">
                              <w:t xml:space="preserve"> for job outcomes</w:t>
                            </w:r>
                            <w:r>
                              <w:t xml:space="preserve"> and </w:t>
                            </w:r>
                            <w:r w:rsidRPr="003C0DDE">
                              <w:t xml:space="preserve">notify the ICN of the appointed supplier. </w:t>
                            </w:r>
                          </w:p>
                          <w:p w14:paraId="5BC11716" w14:textId="7B4EF626" w:rsidR="00DE4B66" w:rsidRPr="007A3EE5" w:rsidRDefault="00DE4B66" w:rsidP="00780D48">
                            <w:pPr>
                              <w:spacing w:before="0"/>
                              <w:ind w:left="502"/>
                              <w:jc w:val="both"/>
                              <w:rPr>
                                <w:rFonts w:cs="Arial"/>
                              </w:rPr>
                            </w:pPr>
                            <w:r w:rsidRPr="003C0DDE">
                              <w:t xml:space="preserve">For </w:t>
                            </w:r>
                            <w:r>
                              <w:t xml:space="preserve">all </w:t>
                            </w:r>
                            <w:r w:rsidRPr="003C0DDE">
                              <w:t>projects valued over $20 million</w:t>
                            </w:r>
                            <w:r>
                              <w:t>,</w:t>
                            </w:r>
                            <w:r w:rsidRPr="003C0DDE">
                              <w:t xml:space="preserve"> agencies must use </w:t>
                            </w:r>
                            <w:r w:rsidRPr="00C14CF9">
                              <w:rPr>
                                <w:rFonts w:cs="Arial"/>
                              </w:rPr>
                              <w:t>agencies must re</w:t>
                            </w:r>
                            <w:r>
                              <w:rPr>
                                <w:rFonts w:cs="Arial"/>
                              </w:rPr>
                              <w:t xml:space="preserve">port to DJPR six-monthly on local Jobs First project outcomes. </w:t>
                            </w:r>
                          </w:p>
                          <w:p w14:paraId="199F9EBB" w14:textId="77777777" w:rsidR="00DE4B66" w:rsidRPr="003C0DDE" w:rsidRDefault="00DE4B66" w:rsidP="00F776BC">
                            <w:pPr>
                              <w:jc w:val="center"/>
                              <w:rPr>
                                <w:b/>
                              </w:rPr>
                            </w:pPr>
                            <w:r>
                              <w:rPr>
                                <w:b/>
                              </w:rPr>
                              <w:t>LIDP</w:t>
                            </w:r>
                            <w:r w:rsidRPr="00A51772">
                              <w:rPr>
                                <w:b/>
                              </w:rPr>
                              <w:t xml:space="preserve"> commitments must be incorporated into the contract as project deliverables</w:t>
                            </w:r>
                            <w:r>
                              <w:rPr>
                                <w:b/>
                              </w:rPr>
                              <w:t xml:space="preserve">. </w:t>
                            </w:r>
                          </w:p>
                        </w:txbxContent>
                      </wps:txbx>
                      <wps:bodyPr rot="0" vert="horz" wrap="square" lIns="91440" tIns="45720" rIns="91440" bIns="45720" anchor="t" anchorCtr="0">
                        <a:noAutofit/>
                      </wps:bodyPr>
                    </wps:wsp>
                  </a:graphicData>
                </a:graphic>
              </wp:inline>
            </w:drawing>
          </mc:Choice>
          <mc:Fallback>
            <w:pict>
              <v:shape w14:anchorId="7799990E" id="_x0000_s1032" type="#_x0000_t202" style="width:451.3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">
                <v:textbox>
                  <w:txbxContent>
                    <w:p w14:paraId="36F3196D" w14:textId="6B7F0261" w:rsidR="00DE4B66" w:rsidRDefault="00DE4B66" w:rsidP="00F776BC">
                      <w:pPr>
                        <w:jc w:val="center"/>
                      </w:pPr>
                      <w:r w:rsidRPr="003C0DDE">
                        <w:t xml:space="preserve">Bidders must submit their LIDP and ICN </w:t>
                      </w:r>
                      <w:r w:rsidR="00B5557E">
                        <w:t>Acknowledgement Letter</w:t>
                      </w:r>
                      <w:r w:rsidRPr="003C0DDE">
                        <w:t xml:space="preserve"> to the agency’s tender evaluation panel. </w:t>
                      </w:r>
                    </w:p>
                    <w:p w14:paraId="27233D65" w14:textId="036D3B46" w:rsidR="00DE4B66" w:rsidRDefault="00DE4B66" w:rsidP="00F776BC">
                      <w:pPr>
                        <w:jc w:val="center"/>
                      </w:pPr>
                      <w:r>
                        <w:t xml:space="preserve">Agencies </w:t>
                      </w:r>
                      <w:r w:rsidRPr="003C0DDE">
                        <w:t xml:space="preserve">must use the </w:t>
                      </w:r>
                      <w:r w:rsidRPr="008D1DDF">
                        <w:t xml:space="preserve">LJF risk evaluation report </w:t>
                      </w:r>
                      <w:r w:rsidRPr="003C0DDE">
                        <w:t xml:space="preserve">during the evaluation process. </w:t>
                      </w:r>
                    </w:p>
                    <w:p w14:paraId="0DF71A85" w14:textId="77777777" w:rsidR="00DE4B66" w:rsidRDefault="00DE4B66" w:rsidP="00F776BC">
                      <w:pPr>
                        <w:jc w:val="center"/>
                      </w:pPr>
                      <w:r w:rsidRPr="003C0DDE">
                        <w:t>Agencies are required to apply a mandatory minimum 10</w:t>
                      </w:r>
                      <w:r>
                        <w:t xml:space="preserve"> per cent</w:t>
                      </w:r>
                      <w:r w:rsidRPr="003C0DDE">
                        <w:t xml:space="preserve"> weighting for local industry development and 10</w:t>
                      </w:r>
                      <w:r>
                        <w:t xml:space="preserve"> per cent</w:t>
                      </w:r>
                      <w:r w:rsidRPr="003C0DDE">
                        <w:t xml:space="preserve"> for job outcomes</w:t>
                      </w:r>
                      <w:r>
                        <w:t xml:space="preserve"> and </w:t>
                      </w:r>
                      <w:r w:rsidRPr="003C0DDE">
                        <w:t xml:space="preserve">notify the ICN of the appointed supplier. </w:t>
                      </w:r>
                    </w:p>
                    <w:p w14:paraId="5BC11716" w14:textId="7B4EF626" w:rsidR="00DE4B66" w:rsidRPr="007A3EE5" w:rsidRDefault="00DE4B66" w:rsidP="00780D48">
                      <w:pPr>
                        <w:spacing w:before="0"/>
                        <w:ind w:left="502"/>
                        <w:jc w:val="both"/>
                        <w:rPr>
                          <w:rFonts w:cs="Arial"/>
                        </w:rPr>
                      </w:pPr>
                      <w:r w:rsidRPr="003C0DDE">
                        <w:t xml:space="preserve">For </w:t>
                      </w:r>
                      <w:r>
                        <w:t xml:space="preserve">all </w:t>
                      </w:r>
                      <w:r w:rsidRPr="003C0DDE">
                        <w:t>projects valued over $20 million</w:t>
                      </w:r>
                      <w:r>
                        <w:t>,</w:t>
                      </w:r>
                      <w:r w:rsidRPr="003C0DDE">
                        <w:t xml:space="preserve"> agencies must use </w:t>
                      </w:r>
                      <w:r w:rsidRPr="00C14CF9">
                        <w:rPr>
                          <w:rFonts w:cs="Arial"/>
                        </w:rPr>
                        <w:t>agencies must re</w:t>
                      </w:r>
                      <w:r>
                        <w:rPr>
                          <w:rFonts w:cs="Arial"/>
                        </w:rPr>
                        <w:t xml:space="preserve">port to DJPR six-monthly on local Jobs First project outcomes. </w:t>
                      </w:r>
                    </w:p>
                    <w:p w14:paraId="199F9EBB" w14:textId="77777777" w:rsidR="00DE4B66" w:rsidRPr="003C0DDE" w:rsidRDefault="00DE4B66" w:rsidP="00F776BC">
                      <w:pPr>
                        <w:jc w:val="center"/>
                        <w:rPr>
                          <w:b/>
                        </w:rPr>
                      </w:pPr>
                      <w:r>
                        <w:rPr>
                          <w:b/>
                        </w:rPr>
                        <w:t>LIDP</w:t>
                      </w:r>
                      <w:r w:rsidRPr="00A51772">
                        <w:rPr>
                          <w:b/>
                        </w:rPr>
                        <w:t xml:space="preserve"> commitments must be incorporated into the contract as project deliverables</w:t>
                      </w:r>
                      <w:r>
                        <w:rPr>
                          <w:b/>
                        </w:rPr>
                        <w:t xml:space="preserve">. </w:t>
                      </w:r>
                    </w:p>
                  </w:txbxContent>
                </v:textbox>
                <w10:anchorlock/>
              </v:shape>
            </w:pict>
          </mc:Fallback>
        </mc:AlternateContent>
      </w:r>
    </w:p>
    <w:p w14:paraId="20D90AA7" w14:textId="08EB2A5D" w:rsidR="00F776BC" w:rsidRDefault="00F776BC" w:rsidP="00F776BC">
      <w:pPr>
        <w:rPr>
          <w:b/>
          <w:sz w:val="20"/>
        </w:rPr>
      </w:pPr>
      <w:r w:rsidRPr="0002578D">
        <w:rPr>
          <w:b/>
          <w:sz w:val="20"/>
        </w:rPr>
        <w:t xml:space="preserve">Step </w:t>
      </w:r>
      <w:r>
        <w:rPr>
          <w:b/>
          <w:sz w:val="20"/>
        </w:rPr>
        <w:t xml:space="preserve">9 – Changes during the delivery of the Project </w:t>
      </w:r>
      <w:r w:rsidR="001D77D8">
        <w:rPr>
          <w:b/>
          <w:sz w:val="20"/>
        </w:rPr>
        <w:t>(</w:t>
      </w:r>
      <w:r w:rsidR="001D77D8" w:rsidRPr="001D77D8">
        <w:rPr>
          <w:b/>
          <w:sz w:val="20"/>
        </w:rPr>
        <w:t>Contract Variations</w:t>
      </w:r>
      <w:r w:rsidR="00C86205">
        <w:rPr>
          <w:b/>
          <w:sz w:val="20"/>
        </w:rPr>
        <w:t>,</w:t>
      </w:r>
      <w:r w:rsidR="001D77D8" w:rsidRPr="001D77D8">
        <w:rPr>
          <w:b/>
          <w:sz w:val="20"/>
        </w:rPr>
        <w:t xml:space="preserve"> if applicable</w:t>
      </w:r>
      <w:r w:rsidR="001D77D8">
        <w:rPr>
          <w:b/>
          <w:sz w:val="20"/>
        </w:rPr>
        <w:t>)</w:t>
      </w:r>
    </w:p>
    <w:p w14:paraId="6A982AC6" w14:textId="0ED6F50F" w:rsidR="0095282E" w:rsidRPr="0095282E" w:rsidRDefault="0095282E" w:rsidP="00A827D1">
      <w:pPr>
        <w:pStyle w:val="ListParagraph"/>
        <w:numPr>
          <w:ilvl w:val="0"/>
          <w:numId w:val="15"/>
        </w:numPr>
        <w:jc w:val="both"/>
        <w:rPr>
          <w:rFonts w:ascii="Arial" w:hAnsi="Arial" w:cs="Arial"/>
          <w:sz w:val="18"/>
          <w:szCs w:val="20"/>
          <w:lang w:eastAsia="en-US"/>
        </w:rPr>
      </w:pPr>
      <w:r w:rsidRPr="0095282E">
        <w:rPr>
          <w:rFonts w:ascii="Arial" w:hAnsi="Arial" w:cs="Arial"/>
          <w:sz w:val="18"/>
          <w:szCs w:val="20"/>
          <w:lang w:eastAsia="en-US"/>
        </w:rPr>
        <w:t xml:space="preserve">If a significant variation to the contract occurs during the course of the project, which effects a change in the nature of the contestable items, then a revised LIDP will likely be required. This means, there are new contestable items to consider, there are contestable items that are no longer </w:t>
      </w:r>
      <w:r w:rsidR="002E5382" w:rsidRPr="0095282E">
        <w:rPr>
          <w:rFonts w:ascii="Arial" w:hAnsi="Arial" w:cs="Arial"/>
          <w:sz w:val="18"/>
          <w:szCs w:val="20"/>
          <w:lang w:eastAsia="en-US"/>
        </w:rPr>
        <w:t>required,</w:t>
      </w:r>
      <w:r w:rsidRPr="0095282E">
        <w:rPr>
          <w:rFonts w:ascii="Arial" w:hAnsi="Arial" w:cs="Arial"/>
          <w:sz w:val="18"/>
          <w:szCs w:val="20"/>
          <w:lang w:eastAsia="en-US"/>
        </w:rPr>
        <w:t xml:space="preserve"> or the mix of items changed significantly in the project. </w:t>
      </w:r>
    </w:p>
    <w:p w14:paraId="6AADEC42" w14:textId="77777777" w:rsidR="0095282E" w:rsidRPr="0095282E" w:rsidRDefault="0095282E" w:rsidP="00A827D1">
      <w:pPr>
        <w:pStyle w:val="ListParagraph"/>
        <w:ind w:left="360"/>
        <w:jc w:val="both"/>
        <w:rPr>
          <w:rFonts w:ascii="Arial" w:hAnsi="Arial" w:cs="Arial"/>
          <w:sz w:val="18"/>
          <w:szCs w:val="20"/>
          <w:lang w:eastAsia="en-US"/>
        </w:rPr>
      </w:pPr>
    </w:p>
    <w:p w14:paraId="1D2BFB62" w14:textId="42408450" w:rsidR="000C1D9B" w:rsidRPr="00521288" w:rsidRDefault="0095282E" w:rsidP="00A827D1">
      <w:pPr>
        <w:pStyle w:val="ListParagraph"/>
        <w:numPr>
          <w:ilvl w:val="0"/>
          <w:numId w:val="15"/>
        </w:numPr>
        <w:spacing w:after="200"/>
        <w:ind w:left="499" w:hanging="357"/>
        <w:contextualSpacing w:val="0"/>
        <w:jc w:val="both"/>
        <w:rPr>
          <w:rFonts w:ascii="Arial" w:hAnsi="Arial" w:cs="Arial"/>
          <w:sz w:val="18"/>
          <w:szCs w:val="20"/>
          <w:lang w:eastAsia="en-US"/>
        </w:rPr>
      </w:pPr>
      <w:r w:rsidRPr="000C1D9B">
        <w:rPr>
          <w:rFonts w:ascii="Arial" w:hAnsi="Arial" w:cs="Arial"/>
          <w:sz w:val="18"/>
          <w:szCs w:val="20"/>
          <w:lang w:eastAsia="en-US"/>
        </w:rPr>
        <w:t xml:space="preserve">The contracting agency must notify the ICN and DJPR if a significant variation is </w:t>
      </w:r>
      <w:r w:rsidR="005B48B4" w:rsidRPr="000C1D9B">
        <w:rPr>
          <w:rFonts w:ascii="Arial" w:hAnsi="Arial" w:cs="Arial"/>
          <w:sz w:val="18"/>
          <w:szCs w:val="20"/>
          <w:lang w:eastAsia="en-US"/>
        </w:rPr>
        <w:t>expected</w:t>
      </w:r>
      <w:r w:rsidRPr="000C1D9B">
        <w:rPr>
          <w:rFonts w:ascii="Arial" w:hAnsi="Arial" w:cs="Arial"/>
          <w:sz w:val="18"/>
          <w:szCs w:val="20"/>
          <w:lang w:eastAsia="en-US"/>
        </w:rPr>
        <w:t xml:space="preserve">, to facilitate a review of the LIDP and project framework to determine if the local content requirement is still appropriate. It may be necessary for the government </w:t>
      </w:r>
      <w:r w:rsidR="00BF6E4C">
        <w:rPr>
          <w:rFonts w:ascii="Arial" w:hAnsi="Arial" w:cs="Arial"/>
          <w:sz w:val="18"/>
          <w:szCs w:val="20"/>
          <w:lang w:eastAsia="en-US"/>
        </w:rPr>
        <w:t xml:space="preserve">or Minister </w:t>
      </w:r>
      <w:r w:rsidRPr="000C1D9B">
        <w:rPr>
          <w:rFonts w:ascii="Arial" w:hAnsi="Arial" w:cs="Arial"/>
          <w:sz w:val="18"/>
          <w:szCs w:val="20"/>
          <w:lang w:eastAsia="en-US"/>
        </w:rPr>
        <w:t>to set a revised target for the project</w:t>
      </w:r>
      <w:r w:rsidR="002D5397" w:rsidRPr="000C1D9B">
        <w:rPr>
          <w:rFonts w:ascii="Arial" w:hAnsi="Arial" w:cs="Arial"/>
          <w:sz w:val="18"/>
          <w:szCs w:val="20"/>
          <w:lang w:eastAsia="en-US"/>
        </w:rPr>
        <w:t xml:space="preserve"> </w:t>
      </w:r>
      <w:r w:rsidR="00D2065C">
        <w:rPr>
          <w:rFonts w:ascii="Arial" w:hAnsi="Arial" w:cs="Arial"/>
          <w:sz w:val="18"/>
          <w:szCs w:val="20"/>
          <w:lang w:eastAsia="en-US"/>
        </w:rPr>
        <w:t xml:space="preserve">if it </w:t>
      </w:r>
      <w:r w:rsidR="002D5397" w:rsidRPr="000C1D9B">
        <w:rPr>
          <w:rFonts w:ascii="Arial" w:hAnsi="Arial" w:cs="Arial"/>
          <w:sz w:val="18"/>
          <w:szCs w:val="20"/>
          <w:lang w:eastAsia="en-US"/>
        </w:rPr>
        <w:t>has changed significantl</w:t>
      </w:r>
      <w:r w:rsidR="002D5397" w:rsidRPr="00580CFF">
        <w:rPr>
          <w:rFonts w:ascii="Arial" w:hAnsi="Arial" w:cs="Arial"/>
          <w:sz w:val="18"/>
          <w:szCs w:val="20"/>
          <w:lang w:eastAsia="en-US"/>
        </w:rPr>
        <w:t>y</w:t>
      </w:r>
      <w:r w:rsidR="005A2F49">
        <w:rPr>
          <w:rFonts w:ascii="Arial" w:hAnsi="Arial" w:cs="Arial"/>
          <w:sz w:val="18"/>
          <w:szCs w:val="20"/>
          <w:lang w:eastAsia="en-US"/>
        </w:rPr>
        <w:t>.</w:t>
      </w:r>
    </w:p>
    <w:p w14:paraId="6AD4D725" w14:textId="4EDDED91" w:rsidR="00580CFF" w:rsidRDefault="0095282E" w:rsidP="00A827D1">
      <w:pPr>
        <w:pStyle w:val="ListParagraph"/>
        <w:numPr>
          <w:ilvl w:val="0"/>
          <w:numId w:val="15"/>
        </w:numPr>
        <w:jc w:val="both"/>
        <w:rPr>
          <w:rFonts w:ascii="Arial" w:hAnsi="Arial" w:cs="Arial"/>
          <w:sz w:val="18"/>
          <w:szCs w:val="20"/>
          <w:lang w:eastAsia="en-US"/>
        </w:rPr>
      </w:pPr>
      <w:r w:rsidRPr="0095282E">
        <w:rPr>
          <w:rFonts w:ascii="Arial" w:hAnsi="Arial" w:cs="Arial"/>
          <w:sz w:val="18"/>
          <w:szCs w:val="20"/>
          <w:lang w:eastAsia="en-US"/>
        </w:rPr>
        <w:t xml:space="preserve">If </w:t>
      </w:r>
      <w:r w:rsidR="005B48B4">
        <w:rPr>
          <w:rFonts w:ascii="Arial" w:hAnsi="Arial" w:cs="Arial"/>
          <w:sz w:val="18"/>
          <w:szCs w:val="20"/>
          <w:lang w:eastAsia="en-US"/>
        </w:rPr>
        <w:t xml:space="preserve">ICN recommends </w:t>
      </w:r>
      <w:r w:rsidRPr="0095282E">
        <w:rPr>
          <w:rFonts w:ascii="Arial" w:hAnsi="Arial" w:cs="Arial"/>
          <w:sz w:val="18"/>
          <w:szCs w:val="20"/>
          <w:lang w:eastAsia="en-US"/>
        </w:rPr>
        <w:t>a revised LIDP</w:t>
      </w:r>
      <w:r w:rsidR="003636C3">
        <w:rPr>
          <w:rFonts w:ascii="Arial" w:hAnsi="Arial" w:cs="Arial"/>
          <w:sz w:val="18"/>
          <w:szCs w:val="20"/>
          <w:lang w:eastAsia="en-US"/>
        </w:rPr>
        <w:t xml:space="preserve"> and/or a revised local content requirement</w:t>
      </w:r>
      <w:r w:rsidRPr="0095282E">
        <w:rPr>
          <w:rFonts w:ascii="Arial" w:hAnsi="Arial" w:cs="Arial"/>
          <w:sz w:val="18"/>
          <w:szCs w:val="20"/>
          <w:lang w:eastAsia="en-US"/>
        </w:rPr>
        <w:t xml:space="preserve"> is required</w:t>
      </w:r>
      <w:r w:rsidR="00174990">
        <w:rPr>
          <w:rFonts w:ascii="Arial" w:hAnsi="Arial" w:cs="Arial"/>
          <w:sz w:val="18"/>
          <w:szCs w:val="20"/>
          <w:lang w:eastAsia="en-US"/>
        </w:rPr>
        <w:t>,</w:t>
      </w:r>
      <w:r w:rsidRPr="0095282E">
        <w:rPr>
          <w:rFonts w:ascii="Arial" w:hAnsi="Arial" w:cs="Arial"/>
          <w:sz w:val="18"/>
          <w:szCs w:val="20"/>
          <w:lang w:eastAsia="en-US"/>
        </w:rPr>
        <w:t xml:space="preserve"> then the</w:t>
      </w:r>
      <w:r w:rsidR="0034747B">
        <w:rPr>
          <w:rFonts w:ascii="Arial" w:hAnsi="Arial" w:cs="Arial"/>
          <w:sz w:val="18"/>
          <w:szCs w:val="20"/>
          <w:lang w:eastAsia="en-US"/>
        </w:rPr>
        <w:t xml:space="preserve"> ICN will advise the</w:t>
      </w:r>
      <w:r w:rsidR="00021710">
        <w:rPr>
          <w:rFonts w:ascii="Arial" w:hAnsi="Arial" w:cs="Arial"/>
          <w:sz w:val="18"/>
          <w:szCs w:val="20"/>
          <w:lang w:eastAsia="en-US"/>
        </w:rPr>
        <w:t xml:space="preserve"> contracting agency and DJPR. The</w:t>
      </w:r>
      <w:r w:rsidRPr="0095282E">
        <w:rPr>
          <w:rFonts w:ascii="Arial" w:hAnsi="Arial" w:cs="Arial"/>
          <w:sz w:val="18"/>
          <w:szCs w:val="20"/>
          <w:lang w:eastAsia="en-US"/>
        </w:rPr>
        <w:t xml:space="preserve"> contracting agency will</w:t>
      </w:r>
      <w:r w:rsidR="00021710">
        <w:rPr>
          <w:rFonts w:ascii="Arial" w:hAnsi="Arial" w:cs="Arial"/>
          <w:sz w:val="18"/>
          <w:szCs w:val="20"/>
          <w:lang w:eastAsia="en-US"/>
        </w:rPr>
        <w:t xml:space="preserve"> then</w:t>
      </w:r>
      <w:r w:rsidRPr="0095282E">
        <w:rPr>
          <w:rFonts w:ascii="Arial" w:hAnsi="Arial" w:cs="Arial"/>
          <w:sz w:val="18"/>
          <w:szCs w:val="20"/>
          <w:lang w:eastAsia="en-US"/>
        </w:rPr>
        <w:t xml:space="preserve"> notify the supplier</w:t>
      </w:r>
      <w:r w:rsidR="00411DE6">
        <w:rPr>
          <w:rFonts w:ascii="Arial" w:hAnsi="Arial" w:cs="Arial"/>
          <w:sz w:val="18"/>
          <w:szCs w:val="20"/>
          <w:lang w:eastAsia="en-US"/>
        </w:rPr>
        <w:t xml:space="preserve"> </w:t>
      </w:r>
      <w:r w:rsidR="002F151B">
        <w:rPr>
          <w:rFonts w:ascii="Arial" w:hAnsi="Arial" w:cs="Arial"/>
          <w:sz w:val="18"/>
          <w:szCs w:val="20"/>
          <w:lang w:eastAsia="en-US"/>
        </w:rPr>
        <w:t>and t</w:t>
      </w:r>
      <w:r w:rsidRPr="0095282E">
        <w:rPr>
          <w:rFonts w:ascii="Arial" w:hAnsi="Arial" w:cs="Arial"/>
          <w:sz w:val="18"/>
          <w:szCs w:val="20"/>
          <w:lang w:eastAsia="en-US"/>
        </w:rPr>
        <w:t>he supplier must prepare the revised LIDP in collaboration with the ICN</w:t>
      </w:r>
      <w:r w:rsidR="009A117A">
        <w:rPr>
          <w:rFonts w:ascii="Arial" w:hAnsi="Arial" w:cs="Arial"/>
          <w:sz w:val="18"/>
          <w:szCs w:val="20"/>
          <w:lang w:eastAsia="en-US"/>
        </w:rPr>
        <w:t>, and the contracting agency</w:t>
      </w:r>
      <w:r w:rsidRPr="0095282E">
        <w:rPr>
          <w:rFonts w:ascii="Arial" w:hAnsi="Arial" w:cs="Arial"/>
          <w:sz w:val="18"/>
          <w:szCs w:val="20"/>
          <w:lang w:eastAsia="en-US"/>
        </w:rPr>
        <w:t xml:space="preserve"> and</w:t>
      </w:r>
      <w:r w:rsidR="003332D7">
        <w:rPr>
          <w:rFonts w:ascii="Arial" w:hAnsi="Arial" w:cs="Arial"/>
          <w:sz w:val="18"/>
          <w:szCs w:val="20"/>
          <w:lang w:eastAsia="en-US"/>
        </w:rPr>
        <w:t xml:space="preserve"> have </w:t>
      </w:r>
      <w:r w:rsidR="00411DE6">
        <w:rPr>
          <w:rFonts w:ascii="Arial" w:hAnsi="Arial" w:cs="Arial"/>
          <w:sz w:val="18"/>
          <w:szCs w:val="20"/>
          <w:lang w:eastAsia="en-US"/>
        </w:rPr>
        <w:t>it</w:t>
      </w:r>
      <w:r w:rsidR="00411DE6" w:rsidRPr="0095282E">
        <w:rPr>
          <w:rFonts w:ascii="Arial" w:hAnsi="Arial" w:cs="Arial"/>
          <w:sz w:val="18"/>
          <w:szCs w:val="20"/>
          <w:lang w:eastAsia="en-US"/>
        </w:rPr>
        <w:t xml:space="preserve"> certified</w:t>
      </w:r>
      <w:r w:rsidRPr="0095282E">
        <w:rPr>
          <w:rFonts w:ascii="Arial" w:hAnsi="Arial" w:cs="Arial"/>
          <w:sz w:val="18"/>
          <w:szCs w:val="20"/>
          <w:lang w:eastAsia="en-US"/>
        </w:rPr>
        <w:t xml:space="preserve"> (acknowledge</w:t>
      </w:r>
      <w:r w:rsidR="005A2F49">
        <w:rPr>
          <w:rFonts w:ascii="Arial" w:hAnsi="Arial" w:cs="Arial"/>
          <w:sz w:val="18"/>
          <w:szCs w:val="20"/>
          <w:lang w:eastAsia="en-US"/>
        </w:rPr>
        <w:t>d</w:t>
      </w:r>
      <w:r w:rsidRPr="0095282E">
        <w:rPr>
          <w:rFonts w:ascii="Arial" w:hAnsi="Arial" w:cs="Arial"/>
          <w:sz w:val="18"/>
          <w:szCs w:val="20"/>
          <w:lang w:eastAsia="en-US"/>
        </w:rPr>
        <w:t>) by the ICN</w:t>
      </w:r>
      <w:r w:rsidR="005A2F49">
        <w:rPr>
          <w:rFonts w:ascii="Arial" w:hAnsi="Arial" w:cs="Arial"/>
          <w:sz w:val="18"/>
          <w:szCs w:val="20"/>
          <w:lang w:eastAsia="en-US"/>
        </w:rPr>
        <w:t>.</w:t>
      </w:r>
    </w:p>
    <w:p w14:paraId="5E292AB5" w14:textId="77777777" w:rsidR="009E2ACC" w:rsidRPr="00521288" w:rsidRDefault="009E2ACC" w:rsidP="00A827D1">
      <w:pPr>
        <w:pStyle w:val="ListParagraph"/>
        <w:jc w:val="both"/>
        <w:rPr>
          <w:rFonts w:ascii="Arial" w:hAnsi="Arial" w:cs="Arial"/>
          <w:sz w:val="18"/>
          <w:szCs w:val="20"/>
          <w:lang w:eastAsia="en-US"/>
        </w:rPr>
      </w:pPr>
    </w:p>
    <w:p w14:paraId="50E43745" w14:textId="58D7091A" w:rsidR="009E2ACC" w:rsidRDefault="009E2ACC" w:rsidP="00A827D1">
      <w:pPr>
        <w:pStyle w:val="ListParagraph"/>
        <w:numPr>
          <w:ilvl w:val="0"/>
          <w:numId w:val="15"/>
        </w:numPr>
        <w:jc w:val="both"/>
        <w:rPr>
          <w:rFonts w:ascii="Arial" w:hAnsi="Arial" w:cs="Arial"/>
          <w:sz w:val="18"/>
          <w:szCs w:val="20"/>
          <w:lang w:eastAsia="en-US"/>
        </w:rPr>
      </w:pPr>
      <w:r>
        <w:rPr>
          <w:rFonts w:ascii="Arial" w:hAnsi="Arial" w:cs="Arial"/>
          <w:sz w:val="18"/>
          <w:szCs w:val="20"/>
          <w:lang w:eastAsia="en-US"/>
        </w:rPr>
        <w:t xml:space="preserve">If a revised local content requirement is </w:t>
      </w:r>
      <w:r w:rsidR="00E06123">
        <w:rPr>
          <w:rFonts w:ascii="Arial" w:hAnsi="Arial" w:cs="Arial"/>
          <w:sz w:val="18"/>
          <w:szCs w:val="20"/>
          <w:lang w:eastAsia="en-US"/>
        </w:rPr>
        <w:t>required,</w:t>
      </w:r>
      <w:r>
        <w:rPr>
          <w:rFonts w:ascii="Arial" w:hAnsi="Arial" w:cs="Arial"/>
          <w:sz w:val="18"/>
          <w:szCs w:val="20"/>
          <w:lang w:eastAsia="en-US"/>
        </w:rPr>
        <w:t xml:space="preserve"> then DJPR </w:t>
      </w:r>
      <w:r w:rsidR="007A36F8">
        <w:rPr>
          <w:rFonts w:ascii="Arial" w:hAnsi="Arial" w:cs="Arial"/>
          <w:sz w:val="18"/>
          <w:szCs w:val="20"/>
          <w:lang w:eastAsia="en-US"/>
        </w:rPr>
        <w:t xml:space="preserve">will prepare a briefing for the Minister </w:t>
      </w:r>
      <w:r w:rsidR="00D927C4">
        <w:rPr>
          <w:rFonts w:ascii="Arial" w:hAnsi="Arial" w:cs="Arial"/>
          <w:sz w:val="18"/>
          <w:szCs w:val="20"/>
          <w:lang w:eastAsia="en-US"/>
        </w:rPr>
        <w:t xml:space="preserve">responsible for Local Jobs First to set the </w:t>
      </w:r>
      <w:r w:rsidR="00E9096C">
        <w:rPr>
          <w:rFonts w:ascii="Arial" w:hAnsi="Arial" w:cs="Arial"/>
          <w:sz w:val="18"/>
          <w:szCs w:val="20"/>
          <w:lang w:eastAsia="en-US"/>
        </w:rPr>
        <w:t xml:space="preserve">amended </w:t>
      </w:r>
      <w:r w:rsidR="00545670">
        <w:rPr>
          <w:rFonts w:ascii="Arial" w:hAnsi="Arial" w:cs="Arial"/>
          <w:sz w:val="18"/>
          <w:szCs w:val="20"/>
          <w:lang w:eastAsia="en-US"/>
        </w:rPr>
        <w:t xml:space="preserve">minimum </w:t>
      </w:r>
      <w:r w:rsidR="00E9096C">
        <w:rPr>
          <w:rFonts w:ascii="Arial" w:hAnsi="Arial" w:cs="Arial"/>
          <w:sz w:val="18"/>
          <w:szCs w:val="20"/>
          <w:lang w:eastAsia="en-US"/>
        </w:rPr>
        <w:t>local content requirement(s).</w:t>
      </w:r>
      <w:r w:rsidR="001230ED">
        <w:rPr>
          <w:rFonts w:ascii="Arial" w:hAnsi="Arial" w:cs="Arial"/>
          <w:sz w:val="18"/>
          <w:szCs w:val="20"/>
          <w:lang w:eastAsia="en-US"/>
        </w:rPr>
        <w:t xml:space="preserve"> The revised LIDP will</w:t>
      </w:r>
      <w:r w:rsidR="00B977FB">
        <w:rPr>
          <w:rFonts w:ascii="Arial" w:hAnsi="Arial" w:cs="Arial"/>
          <w:sz w:val="18"/>
          <w:szCs w:val="20"/>
          <w:lang w:eastAsia="en-US"/>
        </w:rPr>
        <w:t xml:space="preserve"> need</w:t>
      </w:r>
      <w:r w:rsidR="005A2F49">
        <w:rPr>
          <w:rFonts w:ascii="Arial" w:hAnsi="Arial" w:cs="Arial"/>
          <w:sz w:val="18"/>
          <w:szCs w:val="20"/>
          <w:lang w:eastAsia="en-US"/>
        </w:rPr>
        <w:t xml:space="preserve"> </w:t>
      </w:r>
      <w:r w:rsidR="001230ED">
        <w:rPr>
          <w:rFonts w:ascii="Arial" w:hAnsi="Arial" w:cs="Arial"/>
          <w:sz w:val="18"/>
          <w:szCs w:val="20"/>
          <w:lang w:eastAsia="en-US"/>
        </w:rPr>
        <w:t>to meet</w:t>
      </w:r>
      <w:r w:rsidR="000F35B0">
        <w:rPr>
          <w:rFonts w:ascii="Arial" w:hAnsi="Arial" w:cs="Arial"/>
          <w:sz w:val="18"/>
          <w:szCs w:val="20"/>
          <w:lang w:eastAsia="en-US"/>
        </w:rPr>
        <w:t xml:space="preserve"> (or exceed)</w:t>
      </w:r>
      <w:r w:rsidR="001230ED">
        <w:rPr>
          <w:rFonts w:ascii="Arial" w:hAnsi="Arial" w:cs="Arial"/>
          <w:sz w:val="18"/>
          <w:szCs w:val="20"/>
          <w:lang w:eastAsia="en-US"/>
        </w:rPr>
        <w:t xml:space="preserve"> the</w:t>
      </w:r>
      <w:r w:rsidR="000F35B0">
        <w:rPr>
          <w:rFonts w:ascii="Arial" w:hAnsi="Arial" w:cs="Arial"/>
          <w:sz w:val="18"/>
          <w:szCs w:val="20"/>
          <w:lang w:eastAsia="en-US"/>
        </w:rPr>
        <w:t xml:space="preserve"> amended minimum local content requirement.</w:t>
      </w:r>
    </w:p>
    <w:p w14:paraId="45A3087C" w14:textId="77777777" w:rsidR="0073565E" w:rsidRPr="00521288" w:rsidRDefault="0073565E" w:rsidP="00A827D1">
      <w:pPr>
        <w:pStyle w:val="ListParagraph"/>
        <w:jc w:val="both"/>
        <w:rPr>
          <w:rFonts w:ascii="Arial" w:hAnsi="Arial" w:cs="Arial"/>
          <w:sz w:val="18"/>
          <w:szCs w:val="20"/>
          <w:lang w:eastAsia="en-US"/>
        </w:rPr>
      </w:pPr>
    </w:p>
    <w:p w14:paraId="6313D946" w14:textId="23BE4A49" w:rsidR="00F86C6C" w:rsidRDefault="003D55F3" w:rsidP="00A827D1">
      <w:pPr>
        <w:pStyle w:val="ListParagraph"/>
        <w:numPr>
          <w:ilvl w:val="0"/>
          <w:numId w:val="15"/>
        </w:numPr>
        <w:jc w:val="both"/>
        <w:rPr>
          <w:rFonts w:ascii="Arial" w:hAnsi="Arial" w:cs="Arial"/>
          <w:sz w:val="18"/>
          <w:szCs w:val="20"/>
          <w:lang w:eastAsia="en-US"/>
        </w:rPr>
      </w:pPr>
      <w:r>
        <w:rPr>
          <w:rFonts w:ascii="Arial" w:hAnsi="Arial" w:cs="Arial"/>
          <w:sz w:val="18"/>
          <w:szCs w:val="20"/>
          <w:lang w:eastAsia="en-US"/>
        </w:rPr>
        <w:t xml:space="preserve">Contact </w:t>
      </w:r>
      <w:r w:rsidR="00F86C6C">
        <w:rPr>
          <w:rFonts w:ascii="Arial" w:hAnsi="Arial" w:cs="Arial"/>
          <w:sz w:val="18"/>
          <w:szCs w:val="20"/>
          <w:lang w:eastAsia="en-US"/>
        </w:rPr>
        <w:t>DJPR</w:t>
      </w:r>
      <w:r>
        <w:rPr>
          <w:rFonts w:ascii="Arial" w:hAnsi="Arial" w:cs="Arial"/>
          <w:sz w:val="18"/>
          <w:szCs w:val="20"/>
          <w:lang w:eastAsia="en-US"/>
        </w:rPr>
        <w:t xml:space="preserve"> for more advice on a project by </w:t>
      </w:r>
      <w:r w:rsidR="00411DE6">
        <w:rPr>
          <w:rFonts w:ascii="Arial" w:hAnsi="Arial" w:cs="Arial"/>
          <w:sz w:val="18"/>
          <w:szCs w:val="20"/>
          <w:lang w:eastAsia="en-US"/>
        </w:rPr>
        <w:t>p</w:t>
      </w:r>
      <w:r>
        <w:rPr>
          <w:rFonts w:ascii="Arial" w:hAnsi="Arial" w:cs="Arial"/>
          <w:sz w:val="18"/>
          <w:szCs w:val="20"/>
          <w:lang w:eastAsia="en-US"/>
        </w:rPr>
        <w:t xml:space="preserve">roject </w:t>
      </w:r>
      <w:r w:rsidR="00411DE6">
        <w:rPr>
          <w:rFonts w:ascii="Arial" w:hAnsi="Arial" w:cs="Arial"/>
          <w:sz w:val="18"/>
          <w:szCs w:val="20"/>
          <w:lang w:eastAsia="en-US"/>
        </w:rPr>
        <w:t>basis.</w:t>
      </w:r>
    </w:p>
    <w:p w14:paraId="41C9FB42" w14:textId="77777777" w:rsidR="00F86C6C" w:rsidRDefault="00F86C6C" w:rsidP="00F86C6C">
      <w:pPr>
        <w:pStyle w:val="ListParagraph"/>
        <w:ind w:left="502"/>
        <w:rPr>
          <w:rFonts w:ascii="Arial" w:hAnsi="Arial" w:cs="Arial"/>
          <w:sz w:val="18"/>
          <w:szCs w:val="20"/>
          <w:lang w:eastAsia="en-US"/>
        </w:rPr>
      </w:pPr>
    </w:p>
    <w:p w14:paraId="56630B27" w14:textId="77777777" w:rsidR="00D86D18" w:rsidRDefault="00D86D18" w:rsidP="00F86C6C">
      <w:pPr>
        <w:rPr>
          <w:b/>
          <w:sz w:val="20"/>
        </w:rPr>
      </w:pPr>
    </w:p>
    <w:p w14:paraId="62CCA15E" w14:textId="77777777" w:rsidR="00D86D18" w:rsidRDefault="00D86D18" w:rsidP="00F86C6C">
      <w:pPr>
        <w:rPr>
          <w:b/>
          <w:sz w:val="20"/>
        </w:rPr>
      </w:pPr>
    </w:p>
    <w:p w14:paraId="386D128A" w14:textId="77777777" w:rsidR="00D86D18" w:rsidRDefault="00D86D18" w:rsidP="00F86C6C">
      <w:pPr>
        <w:rPr>
          <w:b/>
          <w:sz w:val="20"/>
        </w:rPr>
      </w:pPr>
    </w:p>
    <w:p w14:paraId="10F6A90B" w14:textId="5F576FE8" w:rsidR="00F776BC" w:rsidRPr="00F86C6C" w:rsidRDefault="00F776BC" w:rsidP="00F86C6C">
      <w:pPr>
        <w:rPr>
          <w:b/>
          <w:sz w:val="20"/>
        </w:rPr>
      </w:pPr>
      <w:r w:rsidRPr="00F86C6C">
        <w:rPr>
          <w:b/>
          <w:sz w:val="20"/>
        </w:rPr>
        <w:lastRenderedPageBreak/>
        <w:t xml:space="preserve">Step 10 – Project completion </w:t>
      </w:r>
    </w:p>
    <w:p w14:paraId="74F19657" w14:textId="5CEE1C39" w:rsidR="00006132" w:rsidRDefault="00006132" w:rsidP="007F5CBC">
      <w:pPr>
        <w:pStyle w:val="ListParagraph"/>
        <w:numPr>
          <w:ilvl w:val="0"/>
          <w:numId w:val="15"/>
        </w:numPr>
        <w:jc w:val="both"/>
        <w:rPr>
          <w:rFonts w:ascii="Arial" w:hAnsi="Arial" w:cs="Arial"/>
          <w:sz w:val="18"/>
          <w:szCs w:val="20"/>
          <w:lang w:eastAsia="en-US"/>
        </w:rPr>
      </w:pPr>
      <w:bookmarkStart w:id="49" w:name="_Hlk524335274"/>
      <w:r w:rsidRPr="00006132">
        <w:rPr>
          <w:rFonts w:ascii="Arial" w:hAnsi="Arial" w:cs="Arial"/>
          <w:sz w:val="18"/>
          <w:szCs w:val="20"/>
          <w:lang w:eastAsia="en-US"/>
        </w:rPr>
        <w:t>The LJF model clauses include a requirement that the contractor must submit a final LJF monitoring report, including jobs data. You will need to ensure that this is obtained from the contractor at project completion. For construction projects, this is practical completion. For goods projects, it is at the time of full supply (ahead of the defects period). For services projects, it is often at the end of the life of the contract.</w:t>
      </w:r>
    </w:p>
    <w:p w14:paraId="35BD956B" w14:textId="77777777" w:rsidR="00006132" w:rsidRPr="00006132" w:rsidRDefault="00006132" w:rsidP="007F5CBC">
      <w:pPr>
        <w:pStyle w:val="ListParagraph"/>
        <w:ind w:left="360"/>
        <w:jc w:val="both"/>
        <w:rPr>
          <w:rFonts w:ascii="Arial" w:hAnsi="Arial" w:cs="Arial"/>
          <w:sz w:val="18"/>
          <w:szCs w:val="20"/>
          <w:lang w:eastAsia="en-US"/>
        </w:rPr>
      </w:pPr>
    </w:p>
    <w:p w14:paraId="0FB749B1" w14:textId="00EB56C1" w:rsidR="00006132" w:rsidRDefault="00006132" w:rsidP="007F5CBC">
      <w:pPr>
        <w:pStyle w:val="ListParagraph"/>
        <w:numPr>
          <w:ilvl w:val="0"/>
          <w:numId w:val="15"/>
        </w:numPr>
        <w:jc w:val="both"/>
        <w:rPr>
          <w:rFonts w:ascii="Arial" w:hAnsi="Arial" w:cs="Arial"/>
          <w:sz w:val="18"/>
          <w:szCs w:val="20"/>
          <w:lang w:eastAsia="en-US"/>
        </w:rPr>
      </w:pPr>
      <w:r w:rsidRPr="00006132">
        <w:rPr>
          <w:rFonts w:ascii="Arial" w:hAnsi="Arial" w:cs="Arial"/>
          <w:sz w:val="18"/>
          <w:szCs w:val="20"/>
          <w:lang w:eastAsia="en-US"/>
        </w:rPr>
        <w:t xml:space="preserve">The final LJF monitoring report must be submitted to the agency, who will provide to the ICN, which will review the final local content and job outcomes and include this in their LJF reporting. </w:t>
      </w:r>
    </w:p>
    <w:p w14:paraId="5F6BDBA4" w14:textId="77777777" w:rsidR="00006132" w:rsidRPr="00006132" w:rsidRDefault="00006132" w:rsidP="007F5CBC">
      <w:pPr>
        <w:pStyle w:val="ListParagraph"/>
        <w:ind w:left="360"/>
        <w:jc w:val="both"/>
        <w:rPr>
          <w:rFonts w:ascii="Arial" w:hAnsi="Arial" w:cs="Arial"/>
          <w:sz w:val="18"/>
          <w:szCs w:val="20"/>
          <w:lang w:eastAsia="en-US"/>
        </w:rPr>
      </w:pPr>
    </w:p>
    <w:p w14:paraId="6738EF65" w14:textId="77777777" w:rsidR="00006132" w:rsidRPr="00006132" w:rsidRDefault="00006132" w:rsidP="007F5CBC">
      <w:pPr>
        <w:pStyle w:val="ListParagraph"/>
        <w:numPr>
          <w:ilvl w:val="0"/>
          <w:numId w:val="15"/>
        </w:numPr>
        <w:jc w:val="both"/>
        <w:rPr>
          <w:rFonts w:ascii="Arial" w:hAnsi="Arial" w:cs="Arial"/>
          <w:sz w:val="18"/>
          <w:szCs w:val="20"/>
          <w:lang w:eastAsia="en-US"/>
        </w:rPr>
      </w:pPr>
      <w:r w:rsidRPr="00006132">
        <w:rPr>
          <w:rFonts w:ascii="Arial" w:hAnsi="Arial" w:cs="Arial"/>
          <w:sz w:val="18"/>
          <w:szCs w:val="20"/>
          <w:lang w:eastAsia="en-US"/>
        </w:rPr>
        <w:t xml:space="preserve">Detailed steps for completing a project are at section 11. </w:t>
      </w:r>
    </w:p>
    <w:p w14:paraId="2343D5D8" w14:textId="77777777" w:rsidR="007329DA" w:rsidRPr="000B250A" w:rsidRDefault="007329DA" w:rsidP="00585AD2">
      <w:pPr>
        <w:pStyle w:val="Heading1"/>
        <w:spacing w:before="240" w:after="240" w:line="276" w:lineRule="auto"/>
        <w:ind w:left="431" w:hanging="431"/>
      </w:pPr>
      <w:bookmarkStart w:id="50" w:name="_Toc31116360"/>
      <w:r w:rsidRPr="000B250A">
        <w:t>Applying Local Jobs First to Market Led Proposals</w:t>
      </w:r>
      <w:bookmarkEnd w:id="50"/>
    </w:p>
    <w:p w14:paraId="7C6F7916" w14:textId="304C9154" w:rsidR="007329DA" w:rsidRPr="007329DA" w:rsidRDefault="007329DA" w:rsidP="005118B4">
      <w:pPr>
        <w:numPr>
          <w:ilvl w:val="0"/>
          <w:numId w:val="31"/>
        </w:numPr>
        <w:spacing w:before="0"/>
        <w:jc w:val="both"/>
        <w:rPr>
          <w:rFonts w:cs="Arial"/>
        </w:rPr>
      </w:pPr>
      <w:r w:rsidRPr="007329DA">
        <w:rPr>
          <w:rFonts w:cs="Arial"/>
        </w:rPr>
        <w:t>Market led proposals</w:t>
      </w:r>
      <w:r>
        <w:t xml:space="preserve">, sometimes known as unsolicited proposals, are usually proposals made by the private sector to government to build infrastructure, provide goods (such as rolling stock) and/or deliver services. These projects originate within the private sector and involve organisations developing a project or service specification and then approaching government for approval and support. This support is typically financial but may also include regulatory or other forms of </w:t>
      </w:r>
      <w:r w:rsidR="00B9188E">
        <w:t>help</w:t>
      </w:r>
      <w:r w:rsidR="00072CB5">
        <w:t>.</w:t>
      </w:r>
    </w:p>
    <w:p w14:paraId="5B8534FB" w14:textId="1E74A79D" w:rsidR="001134B1" w:rsidRDefault="007329DA" w:rsidP="005118B4">
      <w:pPr>
        <w:numPr>
          <w:ilvl w:val="0"/>
          <w:numId w:val="31"/>
        </w:numPr>
        <w:spacing w:before="0"/>
        <w:jc w:val="both"/>
        <w:rPr>
          <w:rFonts w:cs="Arial"/>
        </w:rPr>
      </w:pPr>
      <w:r>
        <w:rPr>
          <w:rFonts w:cs="Arial"/>
        </w:rPr>
        <w:t xml:space="preserve">LJF applies to </w:t>
      </w:r>
      <w:r w:rsidR="00E53BB8">
        <w:rPr>
          <w:rFonts w:cs="Arial"/>
        </w:rPr>
        <w:t>m</w:t>
      </w:r>
      <w:r>
        <w:rPr>
          <w:rFonts w:cs="Arial"/>
        </w:rPr>
        <w:t xml:space="preserve">arket </w:t>
      </w:r>
      <w:r w:rsidR="00E53BB8">
        <w:rPr>
          <w:rFonts w:cs="Arial"/>
        </w:rPr>
        <w:t>l</w:t>
      </w:r>
      <w:r>
        <w:rPr>
          <w:rFonts w:cs="Arial"/>
        </w:rPr>
        <w:t xml:space="preserve">ed </w:t>
      </w:r>
      <w:r w:rsidR="00E53BB8">
        <w:rPr>
          <w:rFonts w:cs="Arial"/>
        </w:rPr>
        <w:t>p</w:t>
      </w:r>
      <w:r>
        <w:rPr>
          <w:rFonts w:cs="Arial"/>
        </w:rPr>
        <w:t xml:space="preserve">roposals, with the project </w:t>
      </w:r>
      <w:r w:rsidR="00421383">
        <w:rPr>
          <w:rFonts w:cs="Arial"/>
        </w:rPr>
        <w:t>proponents to make clear the</w:t>
      </w:r>
      <w:r w:rsidR="001134B1">
        <w:rPr>
          <w:rFonts w:cs="Arial"/>
        </w:rPr>
        <w:t xml:space="preserve">ir commitments to industry development (including </w:t>
      </w:r>
      <w:r w:rsidR="00421383">
        <w:rPr>
          <w:rFonts w:cs="Arial"/>
        </w:rPr>
        <w:t>local content</w:t>
      </w:r>
      <w:r w:rsidR="001134B1">
        <w:rPr>
          <w:rFonts w:cs="Arial"/>
        </w:rPr>
        <w:t>)</w:t>
      </w:r>
      <w:r w:rsidR="00421383">
        <w:rPr>
          <w:rFonts w:cs="Arial"/>
        </w:rPr>
        <w:t xml:space="preserve"> and job outcomes. </w:t>
      </w:r>
      <w:r w:rsidR="00B025BE">
        <w:rPr>
          <w:rFonts w:cs="Arial"/>
        </w:rPr>
        <w:t xml:space="preserve">Agencies that receive market led proposal that have the potential to meet the Local Jobs First thresholds must contact DJPR to determine the application of the Policy. </w:t>
      </w:r>
    </w:p>
    <w:p w14:paraId="204E61EB" w14:textId="02FC1C6B" w:rsidR="00421383" w:rsidRPr="00FE7CE8" w:rsidRDefault="00421383" w:rsidP="005118B4">
      <w:pPr>
        <w:numPr>
          <w:ilvl w:val="0"/>
          <w:numId w:val="31"/>
        </w:numPr>
        <w:spacing w:before="0"/>
        <w:jc w:val="both"/>
        <w:rPr>
          <w:rFonts w:cs="Arial"/>
        </w:rPr>
      </w:pPr>
      <w:r>
        <w:rPr>
          <w:rFonts w:cs="Arial"/>
        </w:rPr>
        <w:t xml:space="preserve">The steps however differ, with the project proponent responsible for developing </w:t>
      </w:r>
      <w:r w:rsidR="00B849E7">
        <w:rPr>
          <w:rFonts w:cs="Arial"/>
        </w:rPr>
        <w:t>an LIDP</w:t>
      </w:r>
      <w:r>
        <w:rPr>
          <w:rFonts w:cs="Arial"/>
        </w:rPr>
        <w:t xml:space="preserve"> and committing to terms and conditions that </w:t>
      </w:r>
      <w:r w:rsidR="003D1F28">
        <w:rPr>
          <w:rFonts w:cs="Arial"/>
        </w:rPr>
        <w:t>apply under these guidelines</w:t>
      </w:r>
      <w:r w:rsidR="000B697F">
        <w:rPr>
          <w:rFonts w:cs="Arial"/>
        </w:rPr>
        <w:t>.</w:t>
      </w:r>
    </w:p>
    <w:p w14:paraId="7A0F3AF3" w14:textId="24F62219" w:rsidR="003D1F28" w:rsidRDefault="003D1F28" w:rsidP="005118B4">
      <w:pPr>
        <w:numPr>
          <w:ilvl w:val="0"/>
          <w:numId w:val="31"/>
        </w:numPr>
        <w:spacing w:before="0"/>
        <w:contextualSpacing/>
        <w:jc w:val="both"/>
        <w:rPr>
          <w:rFonts w:cs="Arial"/>
        </w:rPr>
      </w:pPr>
      <w:r>
        <w:rPr>
          <w:rFonts w:cs="Arial"/>
        </w:rPr>
        <w:t xml:space="preserve">To be considered compliant with the LJF, </w:t>
      </w:r>
      <w:r w:rsidR="00327A50">
        <w:rPr>
          <w:rFonts w:cs="Arial"/>
        </w:rPr>
        <w:t xml:space="preserve">a </w:t>
      </w:r>
      <w:r w:rsidR="001134B1">
        <w:rPr>
          <w:rFonts w:cs="Arial"/>
        </w:rPr>
        <w:t xml:space="preserve">proponent </w:t>
      </w:r>
      <w:r>
        <w:rPr>
          <w:rFonts w:cs="Arial"/>
        </w:rPr>
        <w:t>must:</w:t>
      </w:r>
    </w:p>
    <w:p w14:paraId="1186D4A7" w14:textId="77777777" w:rsidR="0065424F" w:rsidRDefault="0065424F" w:rsidP="0065424F">
      <w:pPr>
        <w:spacing w:before="0"/>
        <w:ind w:left="502"/>
        <w:contextualSpacing/>
        <w:jc w:val="both"/>
        <w:rPr>
          <w:rFonts w:cs="Arial"/>
        </w:rPr>
      </w:pPr>
    </w:p>
    <w:p w14:paraId="35558087" w14:textId="7C98CDA7" w:rsidR="003D1F28" w:rsidRDefault="00972EB5" w:rsidP="000B3A9C">
      <w:pPr>
        <w:numPr>
          <w:ilvl w:val="0"/>
          <w:numId w:val="5"/>
        </w:numPr>
        <w:spacing w:before="0" w:after="0"/>
        <w:ind w:hanging="357"/>
        <w:jc w:val="both"/>
        <w:rPr>
          <w:rFonts w:cs="Arial"/>
        </w:rPr>
      </w:pPr>
      <w:r>
        <w:rPr>
          <w:rFonts w:cs="Arial"/>
        </w:rPr>
        <w:t xml:space="preserve">complete </w:t>
      </w:r>
      <w:r w:rsidR="003D1F28">
        <w:rPr>
          <w:rFonts w:cs="Arial"/>
        </w:rPr>
        <w:t xml:space="preserve">all sections of the </w:t>
      </w:r>
      <w:r w:rsidR="00327A50">
        <w:rPr>
          <w:rFonts w:cs="Arial"/>
        </w:rPr>
        <w:t>LIDP</w:t>
      </w:r>
    </w:p>
    <w:p w14:paraId="0D166859" w14:textId="77777777" w:rsidR="0065424F" w:rsidRDefault="0065424F" w:rsidP="0065424F">
      <w:pPr>
        <w:spacing w:before="0" w:after="0"/>
        <w:ind w:left="1080"/>
        <w:jc w:val="both"/>
        <w:rPr>
          <w:rFonts w:cs="Arial"/>
        </w:rPr>
      </w:pPr>
    </w:p>
    <w:p w14:paraId="2C308573" w14:textId="6A8AE9BB" w:rsidR="003D1F28" w:rsidRDefault="00972EB5" w:rsidP="000B3A9C">
      <w:pPr>
        <w:numPr>
          <w:ilvl w:val="0"/>
          <w:numId w:val="5"/>
        </w:numPr>
        <w:spacing w:before="0" w:after="120"/>
        <w:ind w:left="1083" w:hanging="357"/>
        <w:jc w:val="both"/>
        <w:rPr>
          <w:rFonts w:cs="Arial"/>
        </w:rPr>
      </w:pPr>
      <w:r>
        <w:rPr>
          <w:rFonts w:cs="Arial"/>
        </w:rPr>
        <w:t xml:space="preserve">sign </w:t>
      </w:r>
      <w:r w:rsidR="003D1F28">
        <w:rPr>
          <w:rFonts w:cs="Arial"/>
        </w:rPr>
        <w:t>the Statutory Declaration and agree all other conditions, including monitoring, reporting, auditing and compliance requirements.</w:t>
      </w:r>
    </w:p>
    <w:p w14:paraId="5C7C4E6A" w14:textId="702C963D" w:rsidR="003D1F28" w:rsidRDefault="003D1F28" w:rsidP="005118B4">
      <w:pPr>
        <w:numPr>
          <w:ilvl w:val="0"/>
          <w:numId w:val="31"/>
        </w:numPr>
        <w:spacing w:before="0"/>
        <w:jc w:val="both"/>
        <w:rPr>
          <w:rFonts w:cs="Arial"/>
        </w:rPr>
      </w:pPr>
      <w:r>
        <w:rPr>
          <w:rFonts w:cs="Arial"/>
        </w:rPr>
        <w:t xml:space="preserve">The proponent is encouraged to engage with the ICN in developing the LIDP on local content matters and local supply chain engagement. </w:t>
      </w:r>
    </w:p>
    <w:p w14:paraId="78B90A18" w14:textId="605F48D0" w:rsidR="000B697F" w:rsidRDefault="000B697F" w:rsidP="000B697F">
      <w:pPr>
        <w:spacing w:before="0"/>
        <w:jc w:val="both"/>
        <w:rPr>
          <w:rFonts w:cs="Arial"/>
        </w:rPr>
      </w:pPr>
      <w:r w:rsidRPr="003E3110">
        <w:rPr>
          <w:rFonts w:asciiTheme="minorHAnsi" w:hAnsiTheme="minorHAnsi" w:cstheme="minorHAnsi"/>
          <w:noProof/>
          <w:szCs w:val="18"/>
        </w:rPr>
        <mc:AlternateContent>
          <mc:Choice Requires="wps">
            <w:drawing>
              <wp:inline distT="0" distB="0" distL="0" distR="0" wp14:anchorId="42792D07" wp14:editId="7DE552F9">
                <wp:extent cx="5731510" cy="956310"/>
                <wp:effectExtent l="0" t="0" r="2159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56310"/>
                        </a:xfrm>
                        <a:prstGeom prst="rect">
                          <a:avLst/>
                        </a:prstGeom>
                        <a:solidFill>
                          <a:srgbClr val="FFFFFF"/>
                        </a:solidFill>
                        <a:ln w="9525">
                          <a:solidFill>
                            <a:srgbClr val="000000"/>
                          </a:solidFill>
                          <a:miter lim="800000"/>
                          <a:headEnd/>
                          <a:tailEnd/>
                        </a:ln>
                      </wps:spPr>
                      <wps:txbx>
                        <w:txbxContent>
                          <w:p w14:paraId="5188F7B7" w14:textId="1F98AB98" w:rsidR="00DE4B66" w:rsidRDefault="00DE4B66" w:rsidP="000B697F">
                            <w:pPr>
                              <w:jc w:val="center"/>
                            </w:pPr>
                            <w:r w:rsidRPr="00060EFA">
                              <w:t xml:space="preserve">Local Jobs First applies to </w:t>
                            </w:r>
                            <w:r>
                              <w:t>m</w:t>
                            </w:r>
                            <w:r w:rsidRPr="00060EFA">
                              <w:t xml:space="preserve">arket </w:t>
                            </w:r>
                            <w:r>
                              <w:t>l</w:t>
                            </w:r>
                            <w:r w:rsidRPr="00060EFA">
                              <w:t xml:space="preserve">ed </w:t>
                            </w:r>
                            <w:r>
                              <w:t>p</w:t>
                            </w:r>
                            <w:r w:rsidRPr="00060EFA">
                              <w:t xml:space="preserve">roposals. </w:t>
                            </w:r>
                          </w:p>
                          <w:p w14:paraId="0E940A64" w14:textId="1DB52811" w:rsidR="00DE4B66" w:rsidRDefault="00DE4B66" w:rsidP="000B697F">
                            <w:pPr>
                              <w:jc w:val="center"/>
                            </w:pPr>
                            <w:r w:rsidRPr="000E73C7">
                              <w:t xml:space="preserve">Project proponents </w:t>
                            </w:r>
                            <w:r>
                              <w:t>must</w:t>
                            </w:r>
                            <w:r w:rsidRPr="000E73C7">
                              <w:t xml:space="preserve"> develop </w:t>
                            </w:r>
                            <w:r w:rsidR="00B849E7">
                              <w:t>an LIDP</w:t>
                            </w:r>
                            <w:r w:rsidRPr="000E73C7">
                              <w:t xml:space="preserve"> </w:t>
                            </w:r>
                            <w:r>
                              <w:t xml:space="preserve">as part of the proposal </w:t>
                            </w:r>
                            <w:r w:rsidRPr="000E73C7">
                              <w:t xml:space="preserve">and make clear </w:t>
                            </w:r>
                            <w:r>
                              <w:t xml:space="preserve">industry development </w:t>
                            </w:r>
                            <w:r w:rsidRPr="000E73C7">
                              <w:t xml:space="preserve">and job </w:t>
                            </w:r>
                            <w:r>
                              <w:t xml:space="preserve">commitments, including local content, and agree to monitoring and reporting requirements. There are different LIDPs to be completed depending on the scale of the project. </w:t>
                            </w:r>
                          </w:p>
                          <w:p w14:paraId="308F0FD1" w14:textId="218E51CC" w:rsidR="00DE4B66" w:rsidRPr="00B025BE" w:rsidRDefault="00DE4B66" w:rsidP="00B025BE">
                            <w:pPr>
                              <w:spacing w:before="0"/>
                              <w:ind w:left="360"/>
                              <w:jc w:val="center"/>
                              <w:rPr>
                                <w:rFonts w:cs="Arial"/>
                              </w:rPr>
                            </w:pPr>
                            <w:r>
                              <w:rPr>
                                <w:rFonts w:cs="Arial"/>
                              </w:rPr>
                              <w:t>Agencies that receive market led proposal that have the potential to meet the Local Jobs First thresholds must contact DJPR to determine the application of the Policy.</w:t>
                            </w:r>
                          </w:p>
                        </w:txbxContent>
                      </wps:txbx>
                      <wps:bodyPr rot="0" vert="horz" wrap="square" lIns="91440" tIns="45720" rIns="91440" bIns="45720" anchor="t" anchorCtr="0">
                        <a:spAutoFit/>
                      </wps:bodyPr>
                    </wps:wsp>
                  </a:graphicData>
                </a:graphic>
              </wp:inline>
            </w:drawing>
          </mc:Choice>
          <mc:Fallback>
            <w:pict>
              <v:shape w14:anchorId="42792D07" id="_x0000_s1033" type="#_x0000_t202" style="width:451.3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">
                <v:textbox style="mso-fit-shape-to-text:t">
                  <w:txbxContent>
                    <w:p w14:paraId="5188F7B7" w14:textId="1F98AB98" w:rsidR="00DE4B66" w:rsidRDefault="00DE4B66" w:rsidP="000B697F">
                      <w:pPr>
                        <w:jc w:val="center"/>
                      </w:pPr>
                      <w:r w:rsidRPr="00060EFA">
                        <w:t xml:space="preserve">Local Jobs First applies to </w:t>
                      </w:r>
                      <w:r>
                        <w:t>m</w:t>
                      </w:r>
                      <w:r w:rsidRPr="00060EFA">
                        <w:t xml:space="preserve">arket </w:t>
                      </w:r>
                      <w:r>
                        <w:t>l</w:t>
                      </w:r>
                      <w:r w:rsidRPr="00060EFA">
                        <w:t xml:space="preserve">ed </w:t>
                      </w:r>
                      <w:r>
                        <w:t>p</w:t>
                      </w:r>
                      <w:r w:rsidRPr="00060EFA">
                        <w:t xml:space="preserve">roposals. </w:t>
                      </w:r>
                    </w:p>
                    <w:p w14:paraId="0E940A64" w14:textId="1DB52811" w:rsidR="00DE4B66" w:rsidRDefault="00DE4B66" w:rsidP="000B697F">
                      <w:pPr>
                        <w:jc w:val="center"/>
                      </w:pPr>
                      <w:r w:rsidRPr="000E73C7">
                        <w:t xml:space="preserve">Project proponents </w:t>
                      </w:r>
                      <w:r>
                        <w:t>must</w:t>
                      </w:r>
                      <w:r w:rsidRPr="000E73C7">
                        <w:t xml:space="preserve"> develop </w:t>
                      </w:r>
                      <w:r w:rsidR="00B849E7">
                        <w:t>an LIDP</w:t>
                      </w:r>
                      <w:r w:rsidRPr="000E73C7">
                        <w:t xml:space="preserve"> </w:t>
                      </w:r>
                      <w:r>
                        <w:t xml:space="preserve">as part of the proposal </w:t>
                      </w:r>
                      <w:r w:rsidRPr="000E73C7">
                        <w:t xml:space="preserve">and make clear </w:t>
                      </w:r>
                      <w:r>
                        <w:t xml:space="preserve">industry development </w:t>
                      </w:r>
                      <w:r w:rsidRPr="000E73C7">
                        <w:t xml:space="preserve">and job </w:t>
                      </w:r>
                      <w:r>
                        <w:t xml:space="preserve">commitments, including local content, and agree to monitoring and reporting requirements. There are different LIDPs to be completed depending on the scale of the project. </w:t>
                      </w:r>
                    </w:p>
                    <w:p w14:paraId="308F0FD1" w14:textId="218E51CC" w:rsidR="00DE4B66" w:rsidRPr="00B025BE" w:rsidRDefault="00DE4B66" w:rsidP="00B025BE">
                      <w:pPr>
                        <w:spacing w:before="0"/>
                        <w:ind w:left="360"/>
                        <w:jc w:val="center"/>
                        <w:rPr>
                          <w:rFonts w:cs="Arial"/>
                        </w:rPr>
                      </w:pPr>
                      <w:r>
                        <w:rPr>
                          <w:rFonts w:cs="Arial"/>
                        </w:rPr>
                        <w:t>Agencies that receive market led proposal that have the potential to meet the Local Jobs First thresholds must contact DJPR to determine the application of the Policy.</w:t>
                      </w:r>
                    </w:p>
                  </w:txbxContent>
                </v:textbox>
                <w10:anchorlock/>
              </v:shape>
            </w:pict>
          </mc:Fallback>
        </mc:AlternateContent>
      </w:r>
    </w:p>
    <w:p w14:paraId="27D916D8" w14:textId="349EB50C" w:rsidR="00B41AE9" w:rsidRPr="000B250A" w:rsidRDefault="006164C5" w:rsidP="00585AD2">
      <w:pPr>
        <w:pStyle w:val="Heading1"/>
        <w:spacing w:before="240" w:after="240" w:line="276" w:lineRule="auto"/>
        <w:ind w:left="431" w:hanging="431"/>
      </w:pPr>
      <w:bookmarkStart w:id="51" w:name="_Toc31116361"/>
      <w:bookmarkStart w:id="52" w:name="_Toc516042415"/>
      <w:bookmarkEnd w:id="49"/>
      <w:r w:rsidRPr="000B250A">
        <w:t xml:space="preserve">Applying Local Jobs First to Grant </w:t>
      </w:r>
      <w:r w:rsidR="004D1C95" w:rsidRPr="000B250A">
        <w:t xml:space="preserve">and Loan </w:t>
      </w:r>
      <w:r w:rsidR="00B41AE9" w:rsidRPr="000B250A">
        <w:t>Recipients</w:t>
      </w:r>
      <w:bookmarkEnd w:id="51"/>
      <w:r w:rsidR="00B41AE9" w:rsidRPr="000B250A">
        <w:t xml:space="preserve"> </w:t>
      </w:r>
      <w:bookmarkEnd w:id="52"/>
    </w:p>
    <w:p w14:paraId="4E4E2A3E" w14:textId="19C4BD6E" w:rsidR="00206FE6" w:rsidRDefault="00B41AE9" w:rsidP="005118B4">
      <w:pPr>
        <w:numPr>
          <w:ilvl w:val="0"/>
          <w:numId w:val="32"/>
        </w:numPr>
        <w:spacing w:before="0"/>
        <w:jc w:val="both"/>
        <w:rPr>
          <w:rFonts w:cs="Arial"/>
        </w:rPr>
      </w:pPr>
      <w:r w:rsidRPr="00206FE6">
        <w:rPr>
          <w:rFonts w:cs="Arial"/>
        </w:rPr>
        <w:t xml:space="preserve">Grant </w:t>
      </w:r>
      <w:r w:rsidR="004D1C95">
        <w:rPr>
          <w:rFonts w:cs="Arial"/>
        </w:rPr>
        <w:t xml:space="preserve">and loan </w:t>
      </w:r>
      <w:r w:rsidRPr="00206FE6">
        <w:rPr>
          <w:rFonts w:cs="Arial"/>
        </w:rPr>
        <w:t xml:space="preserve">recipients are subject to </w:t>
      </w:r>
      <w:r w:rsidR="0068020B">
        <w:rPr>
          <w:rFonts w:cs="Arial"/>
        </w:rPr>
        <w:t>LJF</w:t>
      </w:r>
      <w:r w:rsidR="00206FE6">
        <w:rPr>
          <w:rFonts w:cs="Arial"/>
        </w:rPr>
        <w:t xml:space="preserve">, </w:t>
      </w:r>
      <w:r w:rsidRPr="00206FE6">
        <w:rPr>
          <w:rFonts w:cs="Arial"/>
        </w:rPr>
        <w:t xml:space="preserve">where the value of the grant meets </w:t>
      </w:r>
      <w:bookmarkStart w:id="53" w:name="_Hlk515988802"/>
      <w:r w:rsidRPr="00206FE6">
        <w:rPr>
          <w:rFonts w:cs="Arial"/>
        </w:rPr>
        <w:t xml:space="preserve">the </w:t>
      </w:r>
      <w:r w:rsidR="00206FE6">
        <w:rPr>
          <w:rFonts w:cs="Arial"/>
        </w:rPr>
        <w:t>LJ</w:t>
      </w:r>
      <w:r w:rsidR="0068020B">
        <w:rPr>
          <w:rFonts w:cs="Arial"/>
        </w:rPr>
        <w:t>F</w:t>
      </w:r>
      <w:r w:rsidR="00206FE6">
        <w:rPr>
          <w:rFonts w:cs="Arial"/>
        </w:rPr>
        <w:t xml:space="preserve"> financial </w:t>
      </w:r>
      <w:r w:rsidRPr="00206FE6">
        <w:rPr>
          <w:rFonts w:cs="Arial"/>
        </w:rPr>
        <w:t>thresholds</w:t>
      </w:r>
      <w:r w:rsidR="00206FE6">
        <w:rPr>
          <w:rFonts w:cs="Arial"/>
        </w:rPr>
        <w:t xml:space="preserve"> as outlined under the LJF policy</w:t>
      </w:r>
      <w:r w:rsidRPr="00206FE6">
        <w:rPr>
          <w:rFonts w:cs="Arial"/>
        </w:rPr>
        <w:t xml:space="preserve"> and the recipient is </w:t>
      </w:r>
      <w:r w:rsidR="00206FE6">
        <w:rPr>
          <w:rFonts w:cs="Arial"/>
        </w:rPr>
        <w:t xml:space="preserve">not a State or </w:t>
      </w:r>
      <w:r w:rsidRPr="00206FE6">
        <w:rPr>
          <w:rFonts w:cs="Arial"/>
        </w:rPr>
        <w:t xml:space="preserve">Commonwealth </w:t>
      </w:r>
      <w:r w:rsidR="00206FE6">
        <w:rPr>
          <w:rFonts w:cs="Arial"/>
        </w:rPr>
        <w:t>government agency</w:t>
      </w:r>
      <w:r w:rsidRPr="00206FE6">
        <w:rPr>
          <w:rFonts w:cs="Arial"/>
        </w:rPr>
        <w:t>.</w:t>
      </w:r>
      <w:r w:rsidR="00206FE6">
        <w:rPr>
          <w:rFonts w:cs="Arial"/>
        </w:rPr>
        <w:t xml:space="preserve"> </w:t>
      </w:r>
    </w:p>
    <w:bookmarkEnd w:id="53"/>
    <w:p w14:paraId="44FDEB81" w14:textId="6BCF7620" w:rsidR="00206FE6" w:rsidRPr="0002578D" w:rsidRDefault="00206FE6" w:rsidP="005118B4">
      <w:pPr>
        <w:numPr>
          <w:ilvl w:val="0"/>
          <w:numId w:val="32"/>
        </w:numPr>
        <w:spacing w:before="0"/>
        <w:jc w:val="both"/>
        <w:rPr>
          <w:rFonts w:cs="Arial"/>
        </w:rPr>
      </w:pPr>
      <w:r w:rsidRPr="00CF2939">
        <w:rPr>
          <w:rFonts w:asciiTheme="minorHAnsi" w:hAnsiTheme="minorHAnsi" w:cstheme="minorHAnsi"/>
          <w:szCs w:val="18"/>
        </w:rPr>
        <w:t xml:space="preserve">Grants </w:t>
      </w:r>
      <w:r w:rsidR="004D1C95">
        <w:rPr>
          <w:rFonts w:asciiTheme="minorHAnsi" w:hAnsiTheme="minorHAnsi" w:cstheme="minorHAnsi"/>
          <w:szCs w:val="18"/>
        </w:rPr>
        <w:t xml:space="preserve">and loans </w:t>
      </w:r>
      <w:r w:rsidRPr="00CF2939">
        <w:rPr>
          <w:rFonts w:asciiTheme="minorHAnsi" w:hAnsiTheme="minorHAnsi" w:cstheme="minorHAnsi"/>
          <w:szCs w:val="18"/>
        </w:rPr>
        <w:t xml:space="preserve">involving a co-contribution from another jurisdiction, such as the Commonwealth or other third-parties including the recipient, are subject to </w:t>
      </w:r>
      <w:r>
        <w:rPr>
          <w:rFonts w:asciiTheme="minorHAnsi" w:hAnsiTheme="minorHAnsi" w:cstheme="minorHAnsi"/>
          <w:szCs w:val="18"/>
        </w:rPr>
        <w:t>LJF</w:t>
      </w:r>
      <w:r w:rsidRPr="00CF2939">
        <w:rPr>
          <w:rFonts w:asciiTheme="minorHAnsi" w:hAnsiTheme="minorHAnsi" w:cstheme="minorHAnsi"/>
          <w:szCs w:val="18"/>
        </w:rPr>
        <w:t xml:space="preserve"> based solely </w:t>
      </w:r>
      <w:r w:rsidR="00CD4AD1">
        <w:rPr>
          <w:rFonts w:asciiTheme="minorHAnsi" w:hAnsiTheme="minorHAnsi" w:cstheme="minorHAnsi"/>
          <w:szCs w:val="18"/>
        </w:rPr>
        <w:t>on</w:t>
      </w:r>
      <w:r w:rsidR="00CD4AD1" w:rsidRPr="00CF2939">
        <w:rPr>
          <w:rFonts w:asciiTheme="minorHAnsi" w:hAnsiTheme="minorHAnsi" w:cstheme="minorHAnsi"/>
          <w:szCs w:val="18"/>
        </w:rPr>
        <w:t xml:space="preserve"> </w:t>
      </w:r>
      <w:r w:rsidRPr="00CF2939">
        <w:rPr>
          <w:rFonts w:asciiTheme="minorHAnsi" w:hAnsiTheme="minorHAnsi" w:cstheme="minorHAnsi"/>
          <w:szCs w:val="18"/>
        </w:rPr>
        <w:t xml:space="preserve">the value of the Victorian </w:t>
      </w:r>
      <w:r>
        <w:rPr>
          <w:rFonts w:asciiTheme="minorHAnsi" w:hAnsiTheme="minorHAnsi" w:cstheme="minorHAnsi"/>
          <w:szCs w:val="18"/>
        </w:rPr>
        <w:t>G</w:t>
      </w:r>
      <w:r w:rsidRPr="00CF2939">
        <w:rPr>
          <w:rFonts w:asciiTheme="minorHAnsi" w:hAnsiTheme="minorHAnsi" w:cstheme="minorHAnsi"/>
          <w:szCs w:val="18"/>
        </w:rPr>
        <w:t xml:space="preserve">overnment grant </w:t>
      </w:r>
      <w:r w:rsidR="00D637D7">
        <w:rPr>
          <w:rFonts w:asciiTheme="minorHAnsi" w:hAnsiTheme="minorHAnsi" w:cstheme="minorHAnsi"/>
          <w:szCs w:val="18"/>
        </w:rPr>
        <w:t xml:space="preserve">or loan </w:t>
      </w:r>
      <w:r w:rsidRPr="00CF2939">
        <w:rPr>
          <w:rFonts w:asciiTheme="minorHAnsi" w:hAnsiTheme="minorHAnsi" w:cstheme="minorHAnsi"/>
          <w:szCs w:val="18"/>
        </w:rPr>
        <w:t>meeting the L</w:t>
      </w:r>
      <w:r w:rsidR="009412EC">
        <w:rPr>
          <w:rFonts w:asciiTheme="minorHAnsi" w:hAnsiTheme="minorHAnsi" w:cstheme="minorHAnsi"/>
          <w:szCs w:val="18"/>
        </w:rPr>
        <w:t>JF</w:t>
      </w:r>
      <w:r w:rsidRPr="00CF2939">
        <w:rPr>
          <w:rFonts w:asciiTheme="minorHAnsi" w:hAnsiTheme="minorHAnsi" w:cstheme="minorHAnsi"/>
          <w:szCs w:val="18"/>
        </w:rPr>
        <w:t xml:space="preserve"> monetary thresholds. </w:t>
      </w:r>
    </w:p>
    <w:p w14:paraId="144822C1" w14:textId="28AE4E26" w:rsidR="004A42FC" w:rsidRPr="00206FE6" w:rsidRDefault="00C377CC" w:rsidP="005118B4">
      <w:pPr>
        <w:numPr>
          <w:ilvl w:val="0"/>
          <w:numId w:val="32"/>
        </w:numPr>
        <w:spacing w:before="0"/>
        <w:jc w:val="both"/>
        <w:rPr>
          <w:rFonts w:cs="Arial"/>
        </w:rPr>
      </w:pPr>
      <w:r>
        <w:rPr>
          <w:rFonts w:cs="Arial"/>
        </w:rPr>
        <w:lastRenderedPageBreak/>
        <w:t xml:space="preserve">If an agency </w:t>
      </w:r>
      <w:r w:rsidR="00D22F7A">
        <w:rPr>
          <w:rFonts w:cs="Arial"/>
        </w:rPr>
        <w:t>believes</w:t>
      </w:r>
      <w:r>
        <w:rPr>
          <w:rFonts w:cs="Arial"/>
        </w:rPr>
        <w:t xml:space="preserve"> a specific grant or loan is not targeted towards the Local Jobs First objectives then the agency should contact DJPR to determine the applicability of the Local Jobs First process.</w:t>
      </w:r>
    </w:p>
    <w:p w14:paraId="5C40927F" w14:textId="5F125FA0" w:rsidR="00B41AE9" w:rsidRDefault="00B41AE9" w:rsidP="005118B4">
      <w:pPr>
        <w:numPr>
          <w:ilvl w:val="0"/>
          <w:numId w:val="32"/>
        </w:numPr>
        <w:spacing w:before="0"/>
        <w:jc w:val="both"/>
        <w:rPr>
          <w:rFonts w:cs="Arial"/>
        </w:rPr>
      </w:pPr>
      <w:r w:rsidRPr="00206FE6">
        <w:rPr>
          <w:rFonts w:cs="Arial"/>
        </w:rPr>
        <w:t xml:space="preserve">The application of </w:t>
      </w:r>
      <w:r w:rsidR="009412EC">
        <w:rPr>
          <w:rFonts w:cs="Arial"/>
        </w:rPr>
        <w:t>LJF</w:t>
      </w:r>
      <w:r w:rsidRPr="00206FE6">
        <w:rPr>
          <w:rFonts w:cs="Arial"/>
        </w:rPr>
        <w:t xml:space="preserve"> to grant </w:t>
      </w:r>
      <w:r w:rsidR="00D637D7">
        <w:rPr>
          <w:rFonts w:cs="Arial"/>
        </w:rPr>
        <w:t xml:space="preserve">or loan </w:t>
      </w:r>
      <w:r w:rsidRPr="00206FE6">
        <w:rPr>
          <w:rFonts w:cs="Arial"/>
        </w:rPr>
        <w:t>recipients ensures local</w:t>
      </w:r>
      <w:r w:rsidR="003E610F">
        <w:rPr>
          <w:rFonts w:cs="Arial"/>
        </w:rPr>
        <w:t xml:space="preserve"> </w:t>
      </w:r>
      <w:r w:rsidR="000B697F" w:rsidRPr="00F92F27">
        <w:rPr>
          <w:rFonts w:asciiTheme="minorHAnsi" w:hAnsiTheme="minorHAnsi" w:cstheme="minorHAnsi"/>
          <w:szCs w:val="18"/>
          <w:lang w:val="en-US"/>
        </w:rPr>
        <w:t xml:space="preserve">SMEs </w:t>
      </w:r>
      <w:r w:rsidR="000B697F" w:rsidRPr="00206FE6">
        <w:rPr>
          <w:rFonts w:cs="Arial"/>
        </w:rPr>
        <w:t>and</w:t>
      </w:r>
      <w:r w:rsidR="00206FE6">
        <w:rPr>
          <w:rFonts w:cs="Arial"/>
        </w:rPr>
        <w:t xml:space="preserve"> workers benefit from the </w:t>
      </w:r>
      <w:r w:rsidRPr="00206FE6">
        <w:rPr>
          <w:rFonts w:cs="Arial"/>
        </w:rPr>
        <w:t xml:space="preserve">opportunities </w:t>
      </w:r>
      <w:r w:rsidR="00206FE6">
        <w:rPr>
          <w:rFonts w:cs="Arial"/>
        </w:rPr>
        <w:t xml:space="preserve">once the grant project </w:t>
      </w:r>
      <w:r w:rsidR="00F74950">
        <w:rPr>
          <w:rFonts w:cs="Arial"/>
        </w:rPr>
        <w:t>begins</w:t>
      </w:r>
      <w:r w:rsidRPr="00206FE6">
        <w:rPr>
          <w:rFonts w:cs="Arial"/>
        </w:rPr>
        <w:t xml:space="preserve">. </w:t>
      </w:r>
    </w:p>
    <w:p w14:paraId="3440FBC9" w14:textId="52AD3CEE" w:rsidR="00B41AE9" w:rsidRDefault="00B41AE9" w:rsidP="005118B4">
      <w:pPr>
        <w:numPr>
          <w:ilvl w:val="0"/>
          <w:numId w:val="32"/>
        </w:numPr>
        <w:spacing w:before="0"/>
        <w:jc w:val="both"/>
        <w:rPr>
          <w:rFonts w:asciiTheme="minorHAnsi" w:hAnsiTheme="minorHAnsi" w:cstheme="minorHAnsi"/>
          <w:szCs w:val="18"/>
        </w:rPr>
      </w:pPr>
      <w:r w:rsidRPr="00CF2939">
        <w:rPr>
          <w:rFonts w:asciiTheme="minorHAnsi" w:hAnsiTheme="minorHAnsi" w:cstheme="minorHAnsi"/>
          <w:szCs w:val="18"/>
        </w:rPr>
        <w:t xml:space="preserve">The </w:t>
      </w:r>
      <w:r w:rsidRPr="00206FE6">
        <w:rPr>
          <w:rFonts w:cs="Arial"/>
        </w:rPr>
        <w:t>steps</w:t>
      </w:r>
      <w:r w:rsidRPr="00CF2939">
        <w:rPr>
          <w:rFonts w:asciiTheme="minorHAnsi" w:hAnsiTheme="minorHAnsi" w:cstheme="minorHAnsi"/>
          <w:szCs w:val="18"/>
        </w:rPr>
        <w:t xml:space="preserve"> for an agency to </w:t>
      </w:r>
      <w:r w:rsidR="00206FE6">
        <w:rPr>
          <w:rFonts w:asciiTheme="minorHAnsi" w:hAnsiTheme="minorHAnsi" w:cstheme="minorHAnsi"/>
          <w:szCs w:val="18"/>
        </w:rPr>
        <w:t>comply</w:t>
      </w:r>
      <w:r w:rsidRPr="00CF2939">
        <w:rPr>
          <w:rFonts w:asciiTheme="minorHAnsi" w:hAnsiTheme="minorHAnsi" w:cstheme="minorHAnsi"/>
          <w:szCs w:val="18"/>
        </w:rPr>
        <w:t xml:space="preserve"> with </w:t>
      </w:r>
      <w:r w:rsidR="009412EC">
        <w:rPr>
          <w:rFonts w:asciiTheme="minorHAnsi" w:hAnsiTheme="minorHAnsi" w:cstheme="minorHAnsi"/>
          <w:szCs w:val="18"/>
        </w:rPr>
        <w:t>LJF</w:t>
      </w:r>
      <w:r w:rsidR="00CF2939" w:rsidRPr="00CF2939">
        <w:rPr>
          <w:rFonts w:asciiTheme="minorHAnsi" w:hAnsiTheme="minorHAnsi" w:cstheme="minorHAnsi"/>
          <w:szCs w:val="18"/>
        </w:rPr>
        <w:t xml:space="preserve"> </w:t>
      </w:r>
      <w:r w:rsidRPr="00CF2939">
        <w:rPr>
          <w:rFonts w:asciiTheme="minorHAnsi" w:hAnsiTheme="minorHAnsi" w:cstheme="minorHAnsi"/>
          <w:szCs w:val="18"/>
        </w:rPr>
        <w:t xml:space="preserve">for grant </w:t>
      </w:r>
      <w:r w:rsidR="00D637D7">
        <w:rPr>
          <w:rFonts w:asciiTheme="minorHAnsi" w:hAnsiTheme="minorHAnsi" w:cstheme="minorHAnsi"/>
          <w:szCs w:val="18"/>
        </w:rPr>
        <w:t xml:space="preserve">or loan </w:t>
      </w:r>
      <w:r w:rsidRPr="00CF2939">
        <w:rPr>
          <w:rFonts w:asciiTheme="minorHAnsi" w:hAnsiTheme="minorHAnsi" w:cstheme="minorHAnsi"/>
          <w:szCs w:val="18"/>
        </w:rPr>
        <w:t>contracts are outlined below.</w:t>
      </w:r>
    </w:p>
    <w:p w14:paraId="5B075A7D" w14:textId="03BA2814" w:rsidR="00D637D7" w:rsidRPr="0065424F" w:rsidRDefault="001D053E" w:rsidP="0065424F">
      <w:pPr>
        <w:pStyle w:val="ListParagraph"/>
        <w:numPr>
          <w:ilvl w:val="0"/>
          <w:numId w:val="32"/>
        </w:numPr>
        <w:rPr>
          <w:rFonts w:asciiTheme="minorHAnsi" w:hAnsiTheme="minorHAnsi" w:cstheme="minorHAnsi"/>
          <w:sz w:val="18"/>
          <w:szCs w:val="18"/>
          <w:lang w:eastAsia="en-US"/>
        </w:rPr>
      </w:pPr>
      <w:r w:rsidRPr="001D053E">
        <w:rPr>
          <w:rFonts w:asciiTheme="minorHAnsi" w:hAnsiTheme="minorHAnsi" w:cstheme="minorHAnsi"/>
          <w:sz w:val="18"/>
          <w:szCs w:val="18"/>
          <w:lang w:eastAsia="en-US"/>
        </w:rPr>
        <w:t xml:space="preserve">In the </w:t>
      </w:r>
      <w:r w:rsidR="005A2F49" w:rsidRPr="001D053E">
        <w:rPr>
          <w:rFonts w:asciiTheme="minorHAnsi" w:hAnsiTheme="minorHAnsi" w:cstheme="minorHAnsi"/>
          <w:sz w:val="18"/>
          <w:szCs w:val="18"/>
          <w:lang w:eastAsia="en-US"/>
        </w:rPr>
        <w:t xml:space="preserve">steps </w:t>
      </w:r>
      <w:r w:rsidRPr="001D053E">
        <w:rPr>
          <w:rFonts w:asciiTheme="minorHAnsi" w:hAnsiTheme="minorHAnsi" w:cstheme="minorHAnsi"/>
          <w:sz w:val="18"/>
          <w:szCs w:val="18"/>
          <w:lang w:eastAsia="en-US"/>
        </w:rPr>
        <w:t xml:space="preserve">below, “grants” refers to both grants and loans provided by the State government. </w:t>
      </w:r>
    </w:p>
    <w:p w14:paraId="3C082C34" w14:textId="3BE51175" w:rsidR="00E40971" w:rsidRPr="00A73F91" w:rsidRDefault="00E40971" w:rsidP="00A73F91">
      <w:pPr>
        <w:rPr>
          <w:b/>
          <w:sz w:val="20"/>
        </w:rPr>
      </w:pPr>
      <w:bookmarkStart w:id="54" w:name="_Toc516042416"/>
      <w:r w:rsidRPr="00A73F91">
        <w:rPr>
          <w:b/>
          <w:sz w:val="20"/>
        </w:rPr>
        <w:t xml:space="preserve">Step 1 – Specify Local Jobs First requirements in grant </w:t>
      </w:r>
      <w:r w:rsidR="00E03C7A">
        <w:rPr>
          <w:b/>
          <w:sz w:val="20"/>
        </w:rPr>
        <w:t xml:space="preserve">and loan </w:t>
      </w:r>
      <w:r w:rsidR="00DB6D46">
        <w:rPr>
          <w:b/>
          <w:sz w:val="20"/>
        </w:rPr>
        <w:t>documents</w:t>
      </w:r>
    </w:p>
    <w:p w14:paraId="2094AD18" w14:textId="7F4E1D03" w:rsidR="00E40971" w:rsidRPr="0024377E" w:rsidRDefault="00E40971" w:rsidP="005118B4">
      <w:pPr>
        <w:numPr>
          <w:ilvl w:val="0"/>
          <w:numId w:val="32"/>
        </w:numPr>
        <w:spacing w:before="0"/>
        <w:jc w:val="both"/>
        <w:rPr>
          <w:rFonts w:cs="Arial"/>
        </w:rPr>
      </w:pPr>
      <w:r w:rsidRPr="001856B3">
        <w:rPr>
          <w:rFonts w:asciiTheme="minorHAnsi" w:hAnsiTheme="minorHAnsi" w:cstheme="minorHAnsi"/>
          <w:szCs w:val="18"/>
        </w:rPr>
        <w:t xml:space="preserve">The agency must </w:t>
      </w:r>
      <w:r>
        <w:rPr>
          <w:rFonts w:asciiTheme="minorHAnsi" w:hAnsiTheme="minorHAnsi" w:cstheme="minorHAnsi"/>
          <w:szCs w:val="18"/>
        </w:rPr>
        <w:t>include LJF requirements in grant</w:t>
      </w:r>
      <w:r w:rsidR="00E03C7A">
        <w:rPr>
          <w:rFonts w:asciiTheme="minorHAnsi" w:hAnsiTheme="minorHAnsi" w:cstheme="minorHAnsi"/>
          <w:szCs w:val="18"/>
        </w:rPr>
        <w:t xml:space="preserve"> and loan</w:t>
      </w:r>
      <w:r>
        <w:rPr>
          <w:rFonts w:asciiTheme="minorHAnsi" w:hAnsiTheme="minorHAnsi" w:cstheme="minorHAnsi"/>
          <w:szCs w:val="18"/>
        </w:rPr>
        <w:t xml:space="preserve"> </w:t>
      </w:r>
      <w:r w:rsidR="00DB6D46">
        <w:rPr>
          <w:rFonts w:asciiTheme="minorHAnsi" w:hAnsiTheme="minorHAnsi" w:cstheme="minorHAnsi"/>
          <w:szCs w:val="18"/>
        </w:rPr>
        <w:t>documents</w:t>
      </w:r>
      <w:r>
        <w:rPr>
          <w:rFonts w:asciiTheme="minorHAnsi" w:hAnsiTheme="minorHAnsi" w:cstheme="minorHAnsi"/>
          <w:szCs w:val="18"/>
        </w:rPr>
        <w:t>, including grant guidelines and proposed contracts.</w:t>
      </w:r>
    </w:p>
    <w:p w14:paraId="02C14245" w14:textId="09AD1C43" w:rsidR="00E40971" w:rsidRDefault="002B1A6E" w:rsidP="005118B4">
      <w:pPr>
        <w:numPr>
          <w:ilvl w:val="0"/>
          <w:numId w:val="32"/>
        </w:numPr>
        <w:spacing w:before="0"/>
        <w:jc w:val="both"/>
        <w:rPr>
          <w:rFonts w:cs="Arial"/>
        </w:rPr>
      </w:pPr>
      <w:r>
        <w:rPr>
          <w:rFonts w:cs="Arial"/>
        </w:rPr>
        <w:t>Agencies are required to advise g</w:t>
      </w:r>
      <w:r w:rsidR="00E40971">
        <w:rPr>
          <w:rFonts w:cs="Arial"/>
        </w:rPr>
        <w:t xml:space="preserve">rant </w:t>
      </w:r>
      <w:r w:rsidR="00BC012E">
        <w:rPr>
          <w:rFonts w:cs="Arial"/>
        </w:rPr>
        <w:t>recipients</w:t>
      </w:r>
      <w:r w:rsidR="00E40971">
        <w:rPr>
          <w:rFonts w:cs="Arial"/>
        </w:rPr>
        <w:t xml:space="preserve"> that they </w:t>
      </w:r>
      <w:r w:rsidR="00E40971" w:rsidRPr="0024377E">
        <w:rPr>
          <w:rFonts w:cs="Arial"/>
        </w:rPr>
        <w:t xml:space="preserve">must </w:t>
      </w:r>
      <w:r w:rsidR="00474502">
        <w:rPr>
          <w:rFonts w:cs="Arial"/>
        </w:rPr>
        <w:t xml:space="preserve">obtain </w:t>
      </w:r>
      <w:r w:rsidR="00977F50">
        <w:rPr>
          <w:rFonts w:cs="Arial"/>
        </w:rPr>
        <w:t>an</w:t>
      </w:r>
      <w:r w:rsidR="00E40971">
        <w:rPr>
          <w:rFonts w:cs="Arial"/>
        </w:rPr>
        <w:t xml:space="preserve"> </w:t>
      </w:r>
      <w:r w:rsidR="000B697F">
        <w:rPr>
          <w:rFonts w:cs="Arial"/>
        </w:rPr>
        <w:t xml:space="preserve">Interaction </w:t>
      </w:r>
      <w:r w:rsidR="00E40971">
        <w:rPr>
          <w:rFonts w:cs="Arial"/>
        </w:rPr>
        <w:t xml:space="preserve">Reference </w:t>
      </w:r>
      <w:r w:rsidR="000B697F">
        <w:rPr>
          <w:rFonts w:cs="Arial"/>
        </w:rPr>
        <w:t>Number</w:t>
      </w:r>
      <w:r w:rsidR="00E40971">
        <w:rPr>
          <w:rFonts w:cs="Arial"/>
        </w:rPr>
        <w:t xml:space="preserve"> (IRN) from the Victorian LJF Management Centre and inform the recipient of the expectation that the local </w:t>
      </w:r>
      <w:r w:rsidR="000E73C7">
        <w:rPr>
          <w:rFonts w:cs="Arial"/>
        </w:rPr>
        <w:t>industry engaged</w:t>
      </w:r>
      <w:r w:rsidR="00E40971">
        <w:rPr>
          <w:rFonts w:cs="Arial"/>
        </w:rPr>
        <w:t xml:space="preserve"> on the project </w:t>
      </w:r>
      <w:r>
        <w:rPr>
          <w:rFonts w:cs="Arial"/>
        </w:rPr>
        <w:t xml:space="preserve">be </w:t>
      </w:r>
      <w:r w:rsidR="00E40971">
        <w:rPr>
          <w:rFonts w:cs="Arial"/>
        </w:rPr>
        <w:t xml:space="preserve">consistent with the </w:t>
      </w:r>
      <w:r w:rsidR="00474502">
        <w:rPr>
          <w:rFonts w:cs="Arial"/>
        </w:rPr>
        <w:t>LJF</w:t>
      </w:r>
      <w:r w:rsidR="00E40971">
        <w:rPr>
          <w:rFonts w:cs="Arial"/>
        </w:rPr>
        <w:t xml:space="preserve"> policy.</w:t>
      </w:r>
    </w:p>
    <w:p w14:paraId="4B180EA8" w14:textId="55823566" w:rsidR="00E40971" w:rsidRDefault="00E40971" w:rsidP="005118B4">
      <w:pPr>
        <w:numPr>
          <w:ilvl w:val="0"/>
          <w:numId w:val="32"/>
        </w:numPr>
        <w:spacing w:before="0"/>
        <w:jc w:val="both"/>
        <w:rPr>
          <w:rFonts w:asciiTheme="minorHAnsi" w:hAnsiTheme="minorHAnsi" w:cstheme="minorHAnsi"/>
          <w:szCs w:val="18"/>
        </w:rPr>
      </w:pPr>
      <w:r w:rsidRPr="0024377E">
        <w:rPr>
          <w:rFonts w:cs="Arial"/>
        </w:rPr>
        <w:t>Model clauses have</w:t>
      </w:r>
      <w:r w:rsidRPr="001856B3">
        <w:rPr>
          <w:rFonts w:asciiTheme="minorHAnsi" w:hAnsiTheme="minorHAnsi" w:cstheme="minorHAnsi"/>
          <w:szCs w:val="18"/>
        </w:rPr>
        <w:t xml:space="preserve"> been developed </w:t>
      </w:r>
      <w:r>
        <w:rPr>
          <w:rFonts w:asciiTheme="minorHAnsi" w:hAnsiTheme="minorHAnsi" w:cstheme="minorHAnsi"/>
          <w:szCs w:val="18"/>
        </w:rPr>
        <w:t xml:space="preserve">to be incorporated into grant </w:t>
      </w:r>
      <w:r w:rsidR="00DB6D46">
        <w:rPr>
          <w:rFonts w:asciiTheme="minorHAnsi" w:hAnsiTheme="minorHAnsi" w:cstheme="minorHAnsi"/>
          <w:szCs w:val="18"/>
        </w:rPr>
        <w:t>documents</w:t>
      </w:r>
      <w:r>
        <w:rPr>
          <w:rFonts w:asciiTheme="minorHAnsi" w:hAnsiTheme="minorHAnsi" w:cstheme="minorHAnsi"/>
          <w:szCs w:val="18"/>
        </w:rPr>
        <w:t xml:space="preserve"> to be applied by the agency. Any variation to these clauses must be agreed by the agency’s LJF </w:t>
      </w:r>
      <w:r w:rsidR="003F4395" w:rsidRPr="003F4395">
        <w:rPr>
          <w:rFonts w:asciiTheme="minorHAnsi" w:hAnsiTheme="minorHAnsi" w:cstheme="minorHAnsi"/>
          <w:szCs w:val="18"/>
        </w:rPr>
        <w:t>Administrator</w:t>
      </w:r>
      <w:r>
        <w:rPr>
          <w:rFonts w:asciiTheme="minorHAnsi" w:hAnsiTheme="minorHAnsi" w:cstheme="minorHAnsi"/>
          <w:szCs w:val="18"/>
        </w:rPr>
        <w:t xml:space="preserve">. </w:t>
      </w:r>
      <w:r w:rsidRPr="00FE7CE8">
        <w:rPr>
          <w:rFonts w:asciiTheme="minorHAnsi" w:hAnsiTheme="minorHAnsi" w:cstheme="minorHAnsi"/>
          <w:szCs w:val="18"/>
        </w:rPr>
        <w:t xml:space="preserve">(Refer website  </w:t>
      </w:r>
      <w:hyperlink r:id="rId25" w:history="1">
        <w:r w:rsidRPr="00FE7CE8">
          <w:rPr>
            <w:rStyle w:val="Hyperlink"/>
            <w:rFonts w:asciiTheme="minorHAnsi" w:hAnsiTheme="minorHAnsi" w:cstheme="minorHAnsi"/>
            <w:szCs w:val="18"/>
          </w:rPr>
          <w:t>www.localjobsfirst.vic.gov.au</w:t>
        </w:r>
      </w:hyperlink>
      <w:r w:rsidRPr="00FE7CE8">
        <w:rPr>
          <w:rFonts w:asciiTheme="minorHAnsi" w:hAnsiTheme="minorHAnsi" w:cstheme="minorHAnsi"/>
          <w:szCs w:val="18"/>
        </w:rPr>
        <w:t>)</w:t>
      </w:r>
      <w:r w:rsidR="000B250A">
        <w:rPr>
          <w:rFonts w:asciiTheme="minorHAnsi" w:hAnsiTheme="minorHAnsi" w:cstheme="minorHAnsi"/>
          <w:szCs w:val="18"/>
        </w:rPr>
        <w:t>.</w:t>
      </w:r>
      <w:r w:rsidRPr="00FE7CE8">
        <w:rPr>
          <w:rFonts w:asciiTheme="minorHAnsi" w:hAnsiTheme="minorHAnsi" w:cstheme="minorHAnsi"/>
          <w:szCs w:val="18"/>
        </w:rPr>
        <w:t xml:space="preserve"> </w:t>
      </w:r>
    </w:p>
    <w:p w14:paraId="74F728B5" w14:textId="77777777" w:rsidR="00B41AE9" w:rsidRPr="00A73F91" w:rsidRDefault="00B41AE9" w:rsidP="00A73F91">
      <w:pPr>
        <w:rPr>
          <w:b/>
          <w:sz w:val="20"/>
        </w:rPr>
      </w:pPr>
      <w:r w:rsidRPr="00A73F91">
        <w:rPr>
          <w:b/>
          <w:sz w:val="20"/>
        </w:rPr>
        <w:t xml:space="preserve">Step </w:t>
      </w:r>
      <w:r w:rsidR="00E40971" w:rsidRPr="00A73F91">
        <w:rPr>
          <w:b/>
          <w:sz w:val="20"/>
        </w:rPr>
        <w:t>2</w:t>
      </w:r>
      <w:r w:rsidRPr="00A73F91">
        <w:rPr>
          <w:b/>
          <w:sz w:val="20"/>
        </w:rPr>
        <w:t xml:space="preserve"> – </w:t>
      </w:r>
      <w:r w:rsidR="00E40971" w:rsidRPr="00A73F91">
        <w:rPr>
          <w:b/>
          <w:sz w:val="20"/>
        </w:rPr>
        <w:t xml:space="preserve">LJF </w:t>
      </w:r>
      <w:r w:rsidRPr="00A73F91">
        <w:rPr>
          <w:b/>
          <w:sz w:val="20"/>
        </w:rPr>
        <w:t>Grant</w:t>
      </w:r>
      <w:bookmarkEnd w:id="54"/>
      <w:r w:rsidR="00E40971" w:rsidRPr="00A73F91">
        <w:rPr>
          <w:b/>
          <w:sz w:val="20"/>
        </w:rPr>
        <w:t xml:space="preserve"> Registration</w:t>
      </w:r>
      <w:r w:rsidR="00B04D7D" w:rsidRPr="00A73F91">
        <w:rPr>
          <w:b/>
          <w:sz w:val="20"/>
        </w:rPr>
        <w:t xml:space="preserve"> and IRN</w:t>
      </w:r>
    </w:p>
    <w:p w14:paraId="48E1AB41" w14:textId="23BCFC83" w:rsidR="00E40971" w:rsidRPr="00B04D7D" w:rsidRDefault="00B04D7D" w:rsidP="005118B4">
      <w:pPr>
        <w:numPr>
          <w:ilvl w:val="0"/>
          <w:numId w:val="32"/>
        </w:numPr>
        <w:spacing w:before="0"/>
        <w:jc w:val="both"/>
        <w:rPr>
          <w:rFonts w:cs="Arial"/>
        </w:rPr>
      </w:pPr>
      <w:r w:rsidRPr="00B04D7D">
        <w:rPr>
          <w:rFonts w:asciiTheme="minorHAnsi" w:hAnsiTheme="minorHAnsi" w:cstheme="minorHAnsi"/>
          <w:szCs w:val="18"/>
        </w:rPr>
        <w:t xml:space="preserve">The </w:t>
      </w:r>
      <w:r w:rsidR="00C6732C">
        <w:rPr>
          <w:rFonts w:asciiTheme="minorHAnsi" w:hAnsiTheme="minorHAnsi" w:cstheme="minorHAnsi"/>
          <w:szCs w:val="18"/>
        </w:rPr>
        <w:t xml:space="preserve">grant </w:t>
      </w:r>
      <w:r w:rsidR="004B3D2E">
        <w:rPr>
          <w:rFonts w:asciiTheme="minorHAnsi" w:hAnsiTheme="minorHAnsi" w:cstheme="minorHAnsi"/>
          <w:szCs w:val="18"/>
        </w:rPr>
        <w:t xml:space="preserve">recipient </w:t>
      </w:r>
      <w:r w:rsidR="004B3D2E" w:rsidRPr="00B04D7D">
        <w:rPr>
          <w:rFonts w:asciiTheme="minorHAnsi" w:hAnsiTheme="minorHAnsi" w:cstheme="minorHAnsi"/>
          <w:szCs w:val="18"/>
        </w:rPr>
        <w:t>must</w:t>
      </w:r>
      <w:r w:rsidRPr="00B04D7D">
        <w:rPr>
          <w:rFonts w:asciiTheme="minorHAnsi" w:hAnsiTheme="minorHAnsi" w:cstheme="minorHAnsi"/>
          <w:szCs w:val="18"/>
        </w:rPr>
        <w:t xml:space="preserve"> r</w:t>
      </w:r>
      <w:r w:rsidR="00B41AE9" w:rsidRPr="00B04D7D">
        <w:rPr>
          <w:rFonts w:asciiTheme="minorHAnsi" w:hAnsiTheme="minorHAnsi" w:cstheme="minorHAnsi"/>
          <w:szCs w:val="18"/>
        </w:rPr>
        <w:t xml:space="preserve">egister </w:t>
      </w:r>
      <w:r w:rsidR="00B41AE9" w:rsidRPr="00B04D7D">
        <w:rPr>
          <w:rFonts w:cs="Arial"/>
        </w:rPr>
        <w:t xml:space="preserve">the </w:t>
      </w:r>
      <w:r w:rsidR="00E40971" w:rsidRPr="00B04D7D">
        <w:rPr>
          <w:rFonts w:cs="Arial"/>
        </w:rPr>
        <w:t xml:space="preserve">proposed </w:t>
      </w:r>
      <w:r w:rsidR="00B41AE9" w:rsidRPr="00B04D7D">
        <w:rPr>
          <w:rFonts w:cs="Arial"/>
        </w:rPr>
        <w:t xml:space="preserve">grant </w:t>
      </w:r>
      <w:r w:rsidR="00E40971" w:rsidRPr="00B04D7D">
        <w:rPr>
          <w:rFonts w:cs="Arial"/>
        </w:rPr>
        <w:t>with</w:t>
      </w:r>
      <w:r w:rsidR="00206FE6" w:rsidRPr="00B04D7D">
        <w:rPr>
          <w:rFonts w:cs="Arial"/>
        </w:rPr>
        <w:t xml:space="preserve"> </w:t>
      </w:r>
      <w:r w:rsidR="00E40971" w:rsidRPr="00B04D7D">
        <w:rPr>
          <w:rFonts w:cs="Arial"/>
        </w:rPr>
        <w:t xml:space="preserve">the </w:t>
      </w:r>
      <w:r w:rsidR="00206FE6" w:rsidRPr="00B04D7D">
        <w:rPr>
          <w:rFonts w:cs="Arial"/>
        </w:rPr>
        <w:t>Victorian LJF</w:t>
      </w:r>
      <w:r w:rsidR="00B41AE9" w:rsidRPr="00B04D7D">
        <w:rPr>
          <w:rFonts w:cs="Arial"/>
        </w:rPr>
        <w:t xml:space="preserve"> Management Centre </w:t>
      </w:r>
      <w:r w:rsidR="00B41AE9" w:rsidRPr="00EA5EA8">
        <w:rPr>
          <w:rStyle w:val="Hyperlink"/>
          <w:rFonts w:asciiTheme="minorHAnsi" w:hAnsiTheme="minorHAnsi" w:cstheme="minorHAnsi"/>
          <w:szCs w:val="18"/>
        </w:rPr>
        <w:t>icnvic.org.au/</w:t>
      </w:r>
      <w:proofErr w:type="spellStart"/>
      <w:r w:rsidR="00206FE6" w:rsidRPr="00EA5EA8">
        <w:rPr>
          <w:rStyle w:val="Hyperlink"/>
          <w:rFonts w:asciiTheme="minorHAnsi" w:hAnsiTheme="minorHAnsi" w:cstheme="minorHAnsi"/>
          <w:szCs w:val="18"/>
        </w:rPr>
        <w:t>ljf</w:t>
      </w:r>
      <w:proofErr w:type="spellEnd"/>
      <w:r w:rsidRPr="00EA5EA8">
        <w:rPr>
          <w:rStyle w:val="Hyperlink"/>
          <w:rFonts w:asciiTheme="minorHAnsi" w:hAnsiTheme="minorHAnsi" w:cstheme="minorHAnsi"/>
          <w:szCs w:val="18"/>
        </w:rPr>
        <w:t>.</w:t>
      </w:r>
      <w:r w:rsidRPr="00B04D7D">
        <w:rPr>
          <w:rFonts w:cs="Arial"/>
        </w:rPr>
        <w:t xml:space="preserve"> </w:t>
      </w:r>
      <w:r w:rsidR="00E40971" w:rsidRPr="00B04D7D">
        <w:rPr>
          <w:rFonts w:cs="Arial"/>
        </w:rPr>
        <w:t xml:space="preserve">The registration should occur as soon as the </w:t>
      </w:r>
      <w:r w:rsidR="00C11EFB">
        <w:rPr>
          <w:rFonts w:cs="Arial"/>
        </w:rPr>
        <w:t xml:space="preserve">grant recipient and </w:t>
      </w:r>
      <w:r w:rsidR="00E40971" w:rsidRPr="00B04D7D">
        <w:rPr>
          <w:rFonts w:cs="Arial"/>
        </w:rPr>
        <w:t xml:space="preserve">agency reasonably </w:t>
      </w:r>
      <w:r w:rsidR="00C11EFB" w:rsidRPr="00B04D7D">
        <w:rPr>
          <w:rFonts w:cs="Arial"/>
        </w:rPr>
        <w:t>expect</w:t>
      </w:r>
      <w:r w:rsidR="00E40971" w:rsidRPr="00B04D7D">
        <w:rPr>
          <w:rFonts w:cs="Arial"/>
        </w:rPr>
        <w:t xml:space="preserve"> the grant arrangement to proceed.</w:t>
      </w:r>
    </w:p>
    <w:p w14:paraId="1473AE10" w14:textId="4ED5FFDA" w:rsidR="00B41AE9" w:rsidRDefault="00B04D7D" w:rsidP="005118B4">
      <w:pPr>
        <w:numPr>
          <w:ilvl w:val="0"/>
          <w:numId w:val="32"/>
        </w:numPr>
        <w:spacing w:before="0"/>
        <w:jc w:val="both"/>
        <w:rPr>
          <w:rFonts w:cs="Arial"/>
        </w:rPr>
      </w:pPr>
      <w:r w:rsidRPr="00B04D7D">
        <w:rPr>
          <w:rFonts w:cs="Arial"/>
        </w:rPr>
        <w:t xml:space="preserve">The </w:t>
      </w:r>
      <w:r w:rsidR="00736752">
        <w:rPr>
          <w:rFonts w:cs="Arial"/>
        </w:rPr>
        <w:t>g</w:t>
      </w:r>
      <w:r w:rsidRPr="00B04D7D">
        <w:rPr>
          <w:rFonts w:cs="Arial"/>
        </w:rPr>
        <w:t xml:space="preserve">rant </w:t>
      </w:r>
      <w:r w:rsidR="00736752">
        <w:rPr>
          <w:rFonts w:cs="Arial"/>
        </w:rPr>
        <w:t>r</w:t>
      </w:r>
      <w:r w:rsidRPr="00B04D7D">
        <w:rPr>
          <w:rFonts w:cs="Arial"/>
        </w:rPr>
        <w:t xml:space="preserve">ecipient must </w:t>
      </w:r>
      <w:r w:rsidR="002B09CD">
        <w:rPr>
          <w:rFonts w:cs="Arial"/>
        </w:rPr>
        <w:t xml:space="preserve">get </w:t>
      </w:r>
      <w:r w:rsidRPr="00B04D7D">
        <w:rPr>
          <w:rFonts w:cs="Arial"/>
        </w:rPr>
        <w:t xml:space="preserve">an </w:t>
      </w:r>
      <w:r w:rsidR="00B41AE9" w:rsidRPr="00B04D7D">
        <w:rPr>
          <w:rFonts w:cs="Arial"/>
        </w:rPr>
        <w:t>IRN</w:t>
      </w:r>
      <w:r w:rsidRPr="00B04D7D">
        <w:rPr>
          <w:rFonts w:cs="Arial"/>
        </w:rPr>
        <w:t xml:space="preserve"> from the ICN. The IRN</w:t>
      </w:r>
      <w:r w:rsidR="00B41AE9" w:rsidRPr="00B04D7D">
        <w:rPr>
          <w:rFonts w:cs="Arial"/>
        </w:rPr>
        <w:t xml:space="preserve"> form requires the details and scope of the proposed procurement activity to be </w:t>
      </w:r>
      <w:r w:rsidR="00927311">
        <w:rPr>
          <w:rFonts w:cs="Arial"/>
        </w:rPr>
        <w:t>given</w:t>
      </w:r>
      <w:r w:rsidR="00B41AE9" w:rsidRPr="00B04D7D">
        <w:rPr>
          <w:rFonts w:cs="Arial"/>
        </w:rPr>
        <w:t>.</w:t>
      </w:r>
      <w:r w:rsidRPr="00B04D7D">
        <w:rPr>
          <w:rFonts w:cs="Arial"/>
        </w:rPr>
        <w:t xml:space="preserve"> </w:t>
      </w:r>
      <w:r w:rsidR="00B41AE9" w:rsidRPr="00B04D7D">
        <w:rPr>
          <w:rFonts w:cs="Arial"/>
        </w:rPr>
        <w:t xml:space="preserve">The agency should provide relevant information to </w:t>
      </w:r>
      <w:r w:rsidR="00B9188E">
        <w:rPr>
          <w:rFonts w:cs="Arial"/>
        </w:rPr>
        <w:t>help</w:t>
      </w:r>
      <w:r w:rsidR="00B41AE9" w:rsidRPr="00B04D7D">
        <w:rPr>
          <w:rFonts w:cs="Arial"/>
        </w:rPr>
        <w:t xml:space="preserve"> the grant recipient to complete the IRN </w:t>
      </w:r>
      <w:r w:rsidR="005B52B3">
        <w:rPr>
          <w:rFonts w:cs="Arial"/>
        </w:rPr>
        <w:t>f</w:t>
      </w:r>
      <w:r w:rsidR="00B41AE9" w:rsidRPr="00B04D7D">
        <w:rPr>
          <w:rFonts w:cs="Arial"/>
        </w:rPr>
        <w:t xml:space="preserve">orm. </w:t>
      </w:r>
    </w:p>
    <w:p w14:paraId="34E9604C" w14:textId="1DA8165D" w:rsidR="00B41AE9" w:rsidRPr="00E40971" w:rsidRDefault="00B41AE9" w:rsidP="005118B4">
      <w:pPr>
        <w:numPr>
          <w:ilvl w:val="0"/>
          <w:numId w:val="32"/>
        </w:numPr>
        <w:spacing w:before="0"/>
        <w:jc w:val="both"/>
        <w:rPr>
          <w:rFonts w:cs="Arial"/>
        </w:rPr>
      </w:pPr>
      <w:r w:rsidRPr="00E40971">
        <w:rPr>
          <w:rFonts w:cs="Arial"/>
        </w:rPr>
        <w:t xml:space="preserve">The grant recipient must consult with </w:t>
      </w:r>
      <w:r w:rsidR="00B04D7D">
        <w:rPr>
          <w:rFonts w:cs="Arial"/>
        </w:rPr>
        <w:t xml:space="preserve">the </w:t>
      </w:r>
      <w:r w:rsidRPr="00E40971">
        <w:rPr>
          <w:rFonts w:cs="Arial"/>
        </w:rPr>
        <w:t xml:space="preserve">ICN on the nature of the procurement activity and identify any opportunities for local </w:t>
      </w:r>
      <w:r w:rsidR="003E610F" w:rsidRPr="00F92F27">
        <w:rPr>
          <w:rFonts w:asciiTheme="minorHAnsi" w:hAnsiTheme="minorHAnsi" w:cstheme="minorHAnsi"/>
          <w:szCs w:val="18"/>
          <w:lang w:val="en-US"/>
        </w:rPr>
        <w:t xml:space="preserve">SMEs </w:t>
      </w:r>
      <w:r w:rsidRPr="00E40971">
        <w:rPr>
          <w:rFonts w:cs="Arial"/>
        </w:rPr>
        <w:t xml:space="preserve">or contestable items. </w:t>
      </w:r>
    </w:p>
    <w:p w14:paraId="03335529" w14:textId="546EBC62" w:rsidR="00B41AE9" w:rsidRDefault="001134B1" w:rsidP="005118B4">
      <w:pPr>
        <w:numPr>
          <w:ilvl w:val="0"/>
          <w:numId w:val="32"/>
        </w:numPr>
        <w:spacing w:before="0"/>
        <w:jc w:val="both"/>
        <w:rPr>
          <w:rFonts w:asciiTheme="minorHAnsi" w:hAnsiTheme="minorHAnsi" w:cstheme="minorHAnsi"/>
          <w:szCs w:val="18"/>
        </w:rPr>
      </w:pPr>
      <w:r>
        <w:rPr>
          <w:rFonts w:asciiTheme="minorHAnsi" w:hAnsiTheme="minorHAnsi" w:cstheme="minorHAnsi"/>
          <w:szCs w:val="18"/>
        </w:rPr>
        <w:t xml:space="preserve">The </w:t>
      </w:r>
      <w:r w:rsidR="00B41AE9" w:rsidRPr="00CF2939">
        <w:rPr>
          <w:rFonts w:asciiTheme="minorHAnsi" w:hAnsiTheme="minorHAnsi" w:cstheme="minorHAnsi"/>
          <w:szCs w:val="18"/>
        </w:rPr>
        <w:t xml:space="preserve">grant </w:t>
      </w:r>
      <w:r w:rsidR="00B41AE9" w:rsidRPr="00B04D7D">
        <w:rPr>
          <w:rFonts w:cs="Arial"/>
        </w:rPr>
        <w:t>recipient</w:t>
      </w:r>
      <w:r w:rsidR="00B41AE9" w:rsidRPr="00CF2939">
        <w:rPr>
          <w:rFonts w:asciiTheme="minorHAnsi" w:hAnsiTheme="minorHAnsi" w:cstheme="minorHAnsi"/>
          <w:szCs w:val="18"/>
        </w:rPr>
        <w:t xml:space="preserve"> </w:t>
      </w:r>
      <w:r>
        <w:rPr>
          <w:rFonts w:asciiTheme="minorHAnsi" w:hAnsiTheme="minorHAnsi" w:cstheme="minorHAnsi"/>
          <w:szCs w:val="18"/>
        </w:rPr>
        <w:t xml:space="preserve">is responsible for ensuring that </w:t>
      </w:r>
      <w:r w:rsidR="00B41AE9" w:rsidRPr="00CF2939">
        <w:rPr>
          <w:rFonts w:asciiTheme="minorHAnsi" w:hAnsiTheme="minorHAnsi" w:cstheme="minorHAnsi"/>
          <w:szCs w:val="18"/>
        </w:rPr>
        <w:t>the project adhere</w:t>
      </w:r>
      <w:r w:rsidR="006F14B8">
        <w:rPr>
          <w:rFonts w:asciiTheme="minorHAnsi" w:hAnsiTheme="minorHAnsi" w:cstheme="minorHAnsi"/>
          <w:szCs w:val="18"/>
        </w:rPr>
        <w:t>s</w:t>
      </w:r>
      <w:r w:rsidR="00B41AE9" w:rsidRPr="00CF2939">
        <w:rPr>
          <w:rFonts w:asciiTheme="minorHAnsi" w:hAnsiTheme="minorHAnsi" w:cstheme="minorHAnsi"/>
          <w:szCs w:val="18"/>
        </w:rPr>
        <w:t xml:space="preserve"> to the </w:t>
      </w:r>
      <w:r w:rsidR="009845B9">
        <w:rPr>
          <w:rFonts w:asciiTheme="minorHAnsi" w:hAnsiTheme="minorHAnsi" w:cstheme="minorHAnsi"/>
          <w:szCs w:val="18"/>
        </w:rPr>
        <w:t>LJF</w:t>
      </w:r>
      <w:r w:rsidR="00B41AE9" w:rsidRPr="00CF2939">
        <w:rPr>
          <w:rFonts w:asciiTheme="minorHAnsi" w:hAnsiTheme="minorHAnsi" w:cstheme="minorHAnsi"/>
          <w:szCs w:val="18"/>
        </w:rPr>
        <w:t xml:space="preserve"> </w:t>
      </w:r>
      <w:r w:rsidR="00E21F27">
        <w:rPr>
          <w:rFonts w:asciiTheme="minorHAnsi" w:hAnsiTheme="minorHAnsi" w:cstheme="minorHAnsi"/>
          <w:szCs w:val="18"/>
        </w:rPr>
        <w:t>p</w:t>
      </w:r>
      <w:r w:rsidR="000E73C7">
        <w:rPr>
          <w:rFonts w:asciiTheme="minorHAnsi" w:hAnsiTheme="minorHAnsi" w:cstheme="minorHAnsi"/>
          <w:szCs w:val="18"/>
        </w:rPr>
        <w:t>olicy and</w:t>
      </w:r>
      <w:r w:rsidR="00B41AE9" w:rsidRPr="00CF2939">
        <w:rPr>
          <w:rFonts w:asciiTheme="minorHAnsi" w:hAnsiTheme="minorHAnsi" w:cstheme="minorHAnsi"/>
          <w:szCs w:val="18"/>
        </w:rPr>
        <w:t xml:space="preserve"> involv</w:t>
      </w:r>
      <w:r>
        <w:rPr>
          <w:rFonts w:asciiTheme="minorHAnsi" w:hAnsiTheme="minorHAnsi" w:cstheme="minorHAnsi"/>
          <w:szCs w:val="18"/>
        </w:rPr>
        <w:t>ing the</w:t>
      </w:r>
      <w:r w:rsidR="00B41AE9" w:rsidRPr="00CF2939">
        <w:rPr>
          <w:rFonts w:asciiTheme="minorHAnsi" w:hAnsiTheme="minorHAnsi" w:cstheme="minorHAnsi"/>
          <w:szCs w:val="18"/>
        </w:rPr>
        <w:t xml:space="preserve"> ICN in the project to ensure local industry has opportunities to connect into the supply chain</w:t>
      </w:r>
      <w:r w:rsidR="00B04D7D">
        <w:rPr>
          <w:rFonts w:asciiTheme="minorHAnsi" w:hAnsiTheme="minorHAnsi" w:cstheme="minorHAnsi"/>
          <w:szCs w:val="18"/>
        </w:rPr>
        <w:t xml:space="preserve"> and that local workers are </w:t>
      </w:r>
      <w:r w:rsidR="00927311">
        <w:rPr>
          <w:rFonts w:asciiTheme="minorHAnsi" w:hAnsiTheme="minorHAnsi" w:cstheme="minorHAnsi"/>
          <w:szCs w:val="18"/>
        </w:rPr>
        <w:t>given</w:t>
      </w:r>
      <w:r w:rsidR="00B04D7D">
        <w:rPr>
          <w:rFonts w:asciiTheme="minorHAnsi" w:hAnsiTheme="minorHAnsi" w:cstheme="minorHAnsi"/>
          <w:szCs w:val="18"/>
        </w:rPr>
        <w:t xml:space="preserve"> opportunities, including apprentices, trainees and cadets</w:t>
      </w:r>
      <w:r w:rsidR="00B41AE9" w:rsidRPr="00CF2939">
        <w:rPr>
          <w:rFonts w:asciiTheme="minorHAnsi" w:hAnsiTheme="minorHAnsi" w:cstheme="minorHAnsi"/>
          <w:szCs w:val="18"/>
        </w:rPr>
        <w:t xml:space="preserve">. </w:t>
      </w:r>
    </w:p>
    <w:p w14:paraId="6356B612" w14:textId="77777777" w:rsidR="00B41AE9" w:rsidRPr="00CF2939" w:rsidRDefault="00B04D7D" w:rsidP="005118B4">
      <w:pPr>
        <w:numPr>
          <w:ilvl w:val="0"/>
          <w:numId w:val="32"/>
        </w:numPr>
        <w:spacing w:before="0"/>
        <w:jc w:val="both"/>
        <w:rPr>
          <w:rFonts w:asciiTheme="minorHAnsi" w:hAnsiTheme="minorHAnsi" w:cstheme="minorHAnsi"/>
          <w:szCs w:val="18"/>
        </w:rPr>
      </w:pPr>
      <w:r>
        <w:rPr>
          <w:rFonts w:asciiTheme="minorHAnsi" w:hAnsiTheme="minorHAnsi" w:cstheme="minorHAnsi"/>
          <w:szCs w:val="18"/>
        </w:rPr>
        <w:t xml:space="preserve">The </w:t>
      </w:r>
      <w:r w:rsidR="00B41AE9" w:rsidRPr="00CF2939">
        <w:rPr>
          <w:rFonts w:asciiTheme="minorHAnsi" w:hAnsiTheme="minorHAnsi" w:cstheme="minorHAnsi"/>
          <w:szCs w:val="18"/>
        </w:rPr>
        <w:t xml:space="preserve">ICN will </w:t>
      </w:r>
      <w:r w:rsidR="00B41AE9" w:rsidRPr="00B04D7D">
        <w:rPr>
          <w:rFonts w:cs="Arial"/>
        </w:rPr>
        <w:t>issue</w:t>
      </w:r>
      <w:r w:rsidR="00B41AE9" w:rsidRPr="00CF2939">
        <w:rPr>
          <w:rFonts w:asciiTheme="minorHAnsi" w:hAnsiTheme="minorHAnsi" w:cstheme="minorHAnsi"/>
          <w:szCs w:val="18"/>
        </w:rPr>
        <w:t xml:space="preserve"> the grant recipient with an IRN and reference letter.   </w:t>
      </w:r>
    </w:p>
    <w:p w14:paraId="1093C8E1" w14:textId="77777777" w:rsidR="00B41AE9" w:rsidRPr="00A73F91" w:rsidRDefault="00B41AE9" w:rsidP="00A73F91">
      <w:pPr>
        <w:rPr>
          <w:b/>
          <w:sz w:val="20"/>
        </w:rPr>
      </w:pPr>
      <w:bookmarkStart w:id="55" w:name="_Toc516042417"/>
      <w:r w:rsidRPr="00A73F91">
        <w:rPr>
          <w:b/>
          <w:sz w:val="20"/>
        </w:rPr>
        <w:t xml:space="preserve">Step </w:t>
      </w:r>
      <w:r w:rsidR="00B04D7D" w:rsidRPr="00A73F91">
        <w:rPr>
          <w:b/>
          <w:sz w:val="20"/>
        </w:rPr>
        <w:t>3</w:t>
      </w:r>
      <w:r w:rsidRPr="00A73F91">
        <w:rPr>
          <w:b/>
          <w:sz w:val="20"/>
        </w:rPr>
        <w:t xml:space="preserve"> - IRN issued by ICN </w:t>
      </w:r>
      <w:r w:rsidR="00D44E05" w:rsidRPr="00A73F91">
        <w:rPr>
          <w:b/>
          <w:sz w:val="20"/>
        </w:rPr>
        <w:t>to g</w:t>
      </w:r>
      <w:r w:rsidRPr="00A73F91">
        <w:rPr>
          <w:b/>
          <w:sz w:val="20"/>
        </w:rPr>
        <w:t>rant recipient</w:t>
      </w:r>
      <w:bookmarkEnd w:id="55"/>
    </w:p>
    <w:p w14:paraId="108E1F48" w14:textId="77777777" w:rsidR="00B04D7D" w:rsidRDefault="00B41AE9" w:rsidP="005118B4">
      <w:pPr>
        <w:numPr>
          <w:ilvl w:val="0"/>
          <w:numId w:val="32"/>
        </w:numPr>
        <w:spacing w:before="0"/>
        <w:jc w:val="both"/>
        <w:rPr>
          <w:rFonts w:asciiTheme="minorHAnsi" w:hAnsiTheme="minorHAnsi" w:cstheme="minorHAnsi"/>
          <w:szCs w:val="18"/>
        </w:rPr>
      </w:pPr>
      <w:r w:rsidRPr="00B04D7D">
        <w:rPr>
          <w:rFonts w:asciiTheme="minorHAnsi" w:hAnsiTheme="minorHAnsi" w:cstheme="minorHAnsi"/>
          <w:szCs w:val="18"/>
        </w:rPr>
        <w:t xml:space="preserve">The grant recipient </w:t>
      </w:r>
      <w:r w:rsidR="00B04D7D">
        <w:rPr>
          <w:rFonts w:asciiTheme="minorHAnsi" w:hAnsiTheme="minorHAnsi" w:cstheme="minorHAnsi"/>
          <w:szCs w:val="18"/>
        </w:rPr>
        <w:t>must</w:t>
      </w:r>
      <w:r w:rsidRPr="00B04D7D">
        <w:rPr>
          <w:rFonts w:asciiTheme="minorHAnsi" w:hAnsiTheme="minorHAnsi" w:cstheme="minorHAnsi"/>
          <w:szCs w:val="18"/>
        </w:rPr>
        <w:t xml:space="preserve"> provide th</w:t>
      </w:r>
      <w:r w:rsidR="00B04D7D">
        <w:rPr>
          <w:rFonts w:asciiTheme="minorHAnsi" w:hAnsiTheme="minorHAnsi" w:cstheme="minorHAnsi"/>
          <w:szCs w:val="18"/>
        </w:rPr>
        <w:t>e</w:t>
      </w:r>
      <w:r w:rsidRPr="00B04D7D">
        <w:rPr>
          <w:rFonts w:asciiTheme="minorHAnsi" w:hAnsiTheme="minorHAnsi" w:cstheme="minorHAnsi"/>
          <w:szCs w:val="18"/>
        </w:rPr>
        <w:t xml:space="preserve"> IRN to the agency</w:t>
      </w:r>
      <w:r w:rsidR="00B04D7D">
        <w:rPr>
          <w:rFonts w:asciiTheme="minorHAnsi" w:hAnsiTheme="minorHAnsi" w:cstheme="minorHAnsi"/>
          <w:szCs w:val="18"/>
        </w:rPr>
        <w:t xml:space="preserve"> within 20 business days of the grant agreement being executed.</w:t>
      </w:r>
    </w:p>
    <w:p w14:paraId="08540665" w14:textId="49652BC6" w:rsidR="00A7385E" w:rsidRPr="001D7C85" w:rsidRDefault="00B41AE9" w:rsidP="001D7C85">
      <w:pPr>
        <w:numPr>
          <w:ilvl w:val="0"/>
          <w:numId w:val="32"/>
        </w:numPr>
        <w:spacing w:before="0"/>
        <w:jc w:val="both"/>
        <w:rPr>
          <w:rFonts w:asciiTheme="minorHAnsi" w:hAnsiTheme="minorHAnsi" w:cstheme="minorHAnsi"/>
          <w:szCs w:val="18"/>
        </w:rPr>
      </w:pPr>
      <w:r w:rsidRPr="00012198">
        <w:rPr>
          <w:rFonts w:asciiTheme="minorHAnsi" w:hAnsiTheme="minorHAnsi" w:cstheme="minorHAnsi"/>
          <w:szCs w:val="18"/>
        </w:rPr>
        <w:t xml:space="preserve">The agency must include the IRN and any agreements reached regarding </w:t>
      </w:r>
      <w:r w:rsidR="00B04D7D" w:rsidRPr="00012198">
        <w:rPr>
          <w:rFonts w:asciiTheme="minorHAnsi" w:hAnsiTheme="minorHAnsi" w:cstheme="minorHAnsi"/>
          <w:szCs w:val="18"/>
        </w:rPr>
        <w:t xml:space="preserve">LJF </w:t>
      </w:r>
      <w:r w:rsidRPr="00012198">
        <w:rPr>
          <w:rFonts w:asciiTheme="minorHAnsi" w:hAnsiTheme="minorHAnsi" w:cstheme="minorHAnsi"/>
          <w:szCs w:val="18"/>
        </w:rPr>
        <w:t>within the contract or grant agreement.</w:t>
      </w:r>
      <w:r w:rsidR="000B501E" w:rsidRPr="00012198">
        <w:rPr>
          <w:rFonts w:asciiTheme="minorHAnsi" w:hAnsiTheme="minorHAnsi" w:cstheme="minorHAnsi"/>
          <w:szCs w:val="18"/>
        </w:rPr>
        <w:t xml:space="preserve"> </w:t>
      </w:r>
    </w:p>
    <w:p w14:paraId="7CE2D673" w14:textId="77777777" w:rsidR="00B41AE9" w:rsidRPr="00A73F91" w:rsidRDefault="00B41AE9" w:rsidP="00A73F91">
      <w:pPr>
        <w:rPr>
          <w:b/>
          <w:sz w:val="20"/>
        </w:rPr>
      </w:pPr>
      <w:bookmarkStart w:id="56" w:name="_Toc516042418"/>
      <w:r w:rsidRPr="00A73F91">
        <w:rPr>
          <w:b/>
          <w:sz w:val="20"/>
        </w:rPr>
        <w:t xml:space="preserve">Step </w:t>
      </w:r>
      <w:r w:rsidR="00B04D7D" w:rsidRPr="00A73F91">
        <w:rPr>
          <w:b/>
          <w:sz w:val="20"/>
        </w:rPr>
        <w:t>4</w:t>
      </w:r>
      <w:r w:rsidRPr="00A73F91">
        <w:rPr>
          <w:b/>
          <w:sz w:val="20"/>
        </w:rPr>
        <w:t xml:space="preserve"> - Annual reporting </w:t>
      </w:r>
      <w:bookmarkEnd w:id="56"/>
    </w:p>
    <w:p w14:paraId="254A0452" w14:textId="5D4E5DE6" w:rsidR="00B41AE9" w:rsidRDefault="00B41AE9" w:rsidP="005118B4">
      <w:pPr>
        <w:numPr>
          <w:ilvl w:val="0"/>
          <w:numId w:val="32"/>
        </w:numPr>
        <w:spacing w:before="0"/>
        <w:jc w:val="both"/>
        <w:rPr>
          <w:rFonts w:cs="Arial"/>
        </w:rPr>
      </w:pPr>
      <w:r w:rsidRPr="00CF2939">
        <w:rPr>
          <w:rFonts w:cs="Arial"/>
        </w:rPr>
        <w:t xml:space="preserve">The agency must retain a record of the IRN and any associated local content </w:t>
      </w:r>
      <w:r w:rsidR="00B04D7D">
        <w:rPr>
          <w:rFonts w:cs="Arial"/>
        </w:rPr>
        <w:t xml:space="preserve">and job </w:t>
      </w:r>
      <w:r w:rsidRPr="00CF2939">
        <w:rPr>
          <w:rFonts w:cs="Arial"/>
        </w:rPr>
        <w:t xml:space="preserve">outcomes for inclusion in annual reporting on compliance with </w:t>
      </w:r>
      <w:r w:rsidR="00E21F27">
        <w:rPr>
          <w:rFonts w:cs="Arial"/>
        </w:rPr>
        <w:t>LJF.</w:t>
      </w:r>
    </w:p>
    <w:p w14:paraId="23949216" w14:textId="1B047E00" w:rsidR="00B41AE9" w:rsidRDefault="00B41AE9" w:rsidP="005118B4">
      <w:pPr>
        <w:numPr>
          <w:ilvl w:val="0"/>
          <w:numId w:val="32"/>
        </w:numPr>
        <w:spacing w:before="0"/>
        <w:jc w:val="both"/>
        <w:rPr>
          <w:rFonts w:cs="Arial"/>
        </w:rPr>
      </w:pPr>
      <w:r w:rsidRPr="00CF2939">
        <w:rPr>
          <w:rFonts w:cs="Arial"/>
        </w:rPr>
        <w:t xml:space="preserve">Any local content outcomes achieved through consultation with </w:t>
      </w:r>
      <w:r w:rsidR="00485810">
        <w:rPr>
          <w:rFonts w:cs="Arial"/>
        </w:rPr>
        <w:t xml:space="preserve">the </w:t>
      </w:r>
      <w:r w:rsidRPr="00CF2939">
        <w:rPr>
          <w:rFonts w:cs="Arial"/>
        </w:rPr>
        <w:t xml:space="preserve">ICN </w:t>
      </w:r>
      <w:r w:rsidR="00B04D7D">
        <w:rPr>
          <w:rFonts w:cs="Arial"/>
        </w:rPr>
        <w:t>must</w:t>
      </w:r>
      <w:r w:rsidRPr="00CF2939">
        <w:rPr>
          <w:rFonts w:cs="Arial"/>
        </w:rPr>
        <w:t xml:space="preserve"> be noted and reported to the </w:t>
      </w:r>
      <w:r w:rsidR="00B04D7D">
        <w:rPr>
          <w:rFonts w:cs="Arial"/>
        </w:rPr>
        <w:t>a</w:t>
      </w:r>
      <w:r w:rsidRPr="00CF2939">
        <w:rPr>
          <w:rFonts w:cs="Arial"/>
        </w:rPr>
        <w:t xml:space="preserve">gency </w:t>
      </w:r>
      <w:r w:rsidR="00B04D7D">
        <w:rPr>
          <w:rFonts w:cs="Arial"/>
        </w:rPr>
        <w:t xml:space="preserve">and </w:t>
      </w:r>
      <w:r w:rsidR="00527253">
        <w:rPr>
          <w:rFonts w:cs="Arial"/>
        </w:rPr>
        <w:t>DJPR</w:t>
      </w:r>
      <w:r w:rsidR="00B04D7D">
        <w:rPr>
          <w:rFonts w:cs="Arial"/>
        </w:rPr>
        <w:t xml:space="preserve"> </w:t>
      </w:r>
      <w:r w:rsidRPr="00CF2939">
        <w:rPr>
          <w:rFonts w:cs="Arial"/>
        </w:rPr>
        <w:t xml:space="preserve">by </w:t>
      </w:r>
      <w:r w:rsidR="00B04D7D">
        <w:rPr>
          <w:rFonts w:cs="Arial"/>
        </w:rPr>
        <w:t xml:space="preserve">the </w:t>
      </w:r>
      <w:r w:rsidRPr="00CF2939">
        <w:rPr>
          <w:rFonts w:cs="Arial"/>
        </w:rPr>
        <w:t xml:space="preserve">ICN. </w:t>
      </w:r>
    </w:p>
    <w:p w14:paraId="7E28F15A" w14:textId="087F5D59" w:rsidR="00F42B78" w:rsidRPr="00F42B78" w:rsidRDefault="000B697F" w:rsidP="00F42B78">
      <w:pPr>
        <w:spacing w:before="0"/>
        <w:jc w:val="both"/>
        <w:rPr>
          <w:rFonts w:cs="Arial"/>
        </w:rPr>
      </w:pPr>
      <w:r w:rsidRPr="003E3110">
        <w:rPr>
          <w:rFonts w:asciiTheme="minorHAnsi" w:hAnsiTheme="minorHAnsi" w:cstheme="minorHAnsi"/>
          <w:noProof/>
          <w:szCs w:val="18"/>
        </w:rPr>
        <w:lastRenderedPageBreak/>
        <mc:AlternateContent>
          <mc:Choice Requires="wps">
            <w:drawing>
              <wp:inline distT="0" distB="0" distL="0" distR="0" wp14:anchorId="6288029F" wp14:editId="18D7E6B8">
                <wp:extent cx="5731510" cy="1736090"/>
                <wp:effectExtent l="0" t="0" r="21590" b="165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36090"/>
                        </a:xfrm>
                        <a:prstGeom prst="rect">
                          <a:avLst/>
                        </a:prstGeom>
                        <a:solidFill>
                          <a:srgbClr val="FFFFFF"/>
                        </a:solidFill>
                        <a:ln w="9525">
                          <a:solidFill>
                            <a:srgbClr val="000000"/>
                          </a:solidFill>
                          <a:miter lim="800000"/>
                          <a:headEnd/>
                          <a:tailEnd/>
                        </a:ln>
                      </wps:spPr>
                      <wps:txbx>
                        <w:txbxContent>
                          <w:p w14:paraId="05E6F4FF" w14:textId="77777777" w:rsidR="00DE4B66" w:rsidRDefault="00DE4B66" w:rsidP="000B697F">
                            <w:pPr>
                              <w:jc w:val="center"/>
                            </w:pPr>
                            <w:r w:rsidRPr="000E73C7">
                              <w:t xml:space="preserve">Grant recipients are subject to Local Jobs First where the value of the grant meets the Local Jobs First financial thresholds and the recipient is not a state or commonwealth government agency. </w:t>
                            </w:r>
                          </w:p>
                          <w:p w14:paraId="08517E88" w14:textId="77777777" w:rsidR="00DE4B66" w:rsidRPr="000E73C7" w:rsidRDefault="00DE4B66" w:rsidP="000B697F">
                            <w:pPr>
                              <w:jc w:val="center"/>
                            </w:pPr>
                            <w:r w:rsidRPr="000E73C7">
                              <w:t xml:space="preserve">Agencies must include Local Jobs First requirements in grant documentation including in guidelines and contracts. </w:t>
                            </w:r>
                          </w:p>
                          <w:p w14:paraId="396FDB1C" w14:textId="77777777" w:rsidR="00DE4B66" w:rsidRDefault="00DE4B66" w:rsidP="000B697F">
                            <w:pPr>
                              <w:jc w:val="center"/>
                            </w:pPr>
                            <w:r w:rsidRPr="000E73C7">
                              <w:t xml:space="preserve">Grant recipients must </w:t>
                            </w:r>
                            <w:r>
                              <w:t>get</w:t>
                            </w:r>
                            <w:r w:rsidRPr="000E73C7">
                              <w:t xml:space="preserve"> an Interaction Reference Number (IRN) from the Victorian Local Jobs First Management Centre.  </w:t>
                            </w:r>
                          </w:p>
                          <w:p w14:paraId="13358163" w14:textId="77777777" w:rsidR="00DE4B66" w:rsidRPr="009E0C04" w:rsidRDefault="00DE4B66" w:rsidP="000B697F">
                            <w:pPr>
                              <w:jc w:val="center"/>
                            </w:pPr>
                            <w:r w:rsidRPr="000E73C7">
                              <w:t xml:space="preserve">The grant recipient must provide the IRN to the agency within 20 business days of the grant agreement being executed. </w:t>
                            </w:r>
                          </w:p>
                        </w:txbxContent>
                      </wps:txbx>
                      <wps:bodyPr rot="0" vert="horz" wrap="square" lIns="91440" tIns="45720" rIns="91440" bIns="45720" anchor="t" anchorCtr="0">
                        <a:spAutoFit/>
                      </wps:bodyPr>
                    </wps:wsp>
                  </a:graphicData>
                </a:graphic>
              </wp:inline>
            </w:drawing>
          </mc:Choice>
          <mc:Fallback>
            <w:pict>
              <v:shape w14:anchorId="6288029F" id="_x0000_s1034" type="#_x0000_t202" style="width:451.3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">
                <v:textbox style="mso-fit-shape-to-text:t">
                  <w:txbxContent>
                    <w:p w14:paraId="05E6F4FF" w14:textId="77777777" w:rsidR="00DE4B66" w:rsidRDefault="00DE4B66" w:rsidP="000B697F">
                      <w:pPr>
                        <w:jc w:val="center"/>
                      </w:pPr>
                      <w:r w:rsidRPr="000E73C7">
                        <w:t xml:space="preserve">Grant recipients are subject to Local Jobs First where the value of the grant meets the Local Jobs First financial thresholds and the recipient is not a state or commonwealth government agency. </w:t>
                      </w:r>
                    </w:p>
                    <w:p w14:paraId="08517E88" w14:textId="77777777" w:rsidR="00DE4B66" w:rsidRPr="000E73C7" w:rsidRDefault="00DE4B66" w:rsidP="000B697F">
                      <w:pPr>
                        <w:jc w:val="center"/>
                      </w:pPr>
                      <w:r w:rsidRPr="000E73C7">
                        <w:t xml:space="preserve">Agencies must include Local Jobs First requirements in grant documentation including in guidelines and contracts. </w:t>
                      </w:r>
                    </w:p>
                    <w:p w14:paraId="396FDB1C" w14:textId="77777777" w:rsidR="00DE4B66" w:rsidRDefault="00DE4B66" w:rsidP="000B697F">
                      <w:pPr>
                        <w:jc w:val="center"/>
                      </w:pPr>
                      <w:r w:rsidRPr="000E73C7">
                        <w:t xml:space="preserve">Grant recipients must </w:t>
                      </w:r>
                      <w:r>
                        <w:t>get</w:t>
                      </w:r>
                      <w:r w:rsidRPr="000E73C7">
                        <w:t xml:space="preserve"> an Interaction Reference Number (IRN) from the Victorian Local Jobs First Management Centre.  </w:t>
                      </w:r>
                    </w:p>
                    <w:p w14:paraId="13358163" w14:textId="77777777" w:rsidR="00DE4B66" w:rsidRPr="009E0C04" w:rsidRDefault="00DE4B66" w:rsidP="000B697F">
                      <w:pPr>
                        <w:jc w:val="center"/>
                      </w:pPr>
                      <w:r w:rsidRPr="000E73C7">
                        <w:t xml:space="preserve">The grant recipient must provide the IRN to the agency within 20 business days of the grant agreement being executed. </w:t>
                      </w:r>
                    </w:p>
                  </w:txbxContent>
                </v:textbox>
                <w10:anchorlock/>
              </v:shape>
            </w:pict>
          </mc:Fallback>
        </mc:AlternateContent>
      </w:r>
      <w:bookmarkStart w:id="57" w:name="_Toc31116362"/>
      <w:bookmarkStart w:id="58" w:name="_Hlk524335929"/>
    </w:p>
    <w:p w14:paraId="7231B308" w14:textId="192CDFB3" w:rsidR="00D3134A" w:rsidRPr="009A28E6" w:rsidRDefault="0065424F" w:rsidP="00B97128">
      <w:pPr>
        <w:pStyle w:val="Heading1"/>
      </w:pPr>
      <w:r>
        <w:t xml:space="preserve"> </w:t>
      </w:r>
      <w:r w:rsidR="009A28E6">
        <w:t>A</w:t>
      </w:r>
      <w:r w:rsidR="00D3134A" w:rsidRPr="009A28E6">
        <w:t>pplying Local Jobs First to panels</w:t>
      </w:r>
      <w:bookmarkEnd w:id="57"/>
      <w:r w:rsidR="00D3134A" w:rsidRPr="009A28E6">
        <w:t xml:space="preserve"> </w:t>
      </w:r>
    </w:p>
    <w:p w14:paraId="0155E75B" w14:textId="55816F61" w:rsidR="00F82B67" w:rsidRPr="001D4767" w:rsidRDefault="00D3134A" w:rsidP="001D4767">
      <w:pPr>
        <w:numPr>
          <w:ilvl w:val="0"/>
          <w:numId w:val="22"/>
        </w:numPr>
        <w:spacing w:before="0"/>
        <w:jc w:val="both"/>
        <w:rPr>
          <w:rFonts w:asciiTheme="minorHAnsi" w:hAnsiTheme="minorHAnsi" w:cstheme="minorHAnsi"/>
          <w:szCs w:val="18"/>
        </w:rPr>
      </w:pPr>
      <w:r w:rsidRPr="001D4767">
        <w:rPr>
          <w:rFonts w:asciiTheme="minorHAnsi" w:hAnsiTheme="minorHAnsi" w:cstheme="minorHAnsi"/>
          <w:szCs w:val="18"/>
        </w:rPr>
        <w:t xml:space="preserve">Panel contracts entail an </w:t>
      </w:r>
      <w:r w:rsidR="00F82B67" w:rsidRPr="001D4767">
        <w:rPr>
          <w:rFonts w:asciiTheme="minorHAnsi" w:hAnsiTheme="minorHAnsi" w:cstheme="minorHAnsi"/>
          <w:szCs w:val="18"/>
        </w:rPr>
        <w:t>a</w:t>
      </w:r>
      <w:r w:rsidRPr="001D4767">
        <w:rPr>
          <w:rFonts w:asciiTheme="minorHAnsi" w:hAnsiTheme="minorHAnsi" w:cstheme="minorHAnsi"/>
          <w:szCs w:val="18"/>
        </w:rPr>
        <w:t xml:space="preserve">gency appointing a panel of suppliers, from which individual suppliers are then selected to provide particular goods or services over the life of a project. </w:t>
      </w:r>
    </w:p>
    <w:p w14:paraId="2C59FC15" w14:textId="17995676" w:rsidR="00C377CC" w:rsidRPr="001D4767" w:rsidRDefault="00F82B67" w:rsidP="001D4767">
      <w:pPr>
        <w:numPr>
          <w:ilvl w:val="0"/>
          <w:numId w:val="22"/>
        </w:numPr>
        <w:spacing w:before="0"/>
        <w:jc w:val="both"/>
        <w:rPr>
          <w:rFonts w:asciiTheme="minorHAnsi" w:hAnsiTheme="minorHAnsi" w:cstheme="minorHAnsi"/>
          <w:szCs w:val="18"/>
        </w:rPr>
      </w:pPr>
      <w:r w:rsidRPr="001D4767">
        <w:rPr>
          <w:rFonts w:asciiTheme="minorHAnsi" w:hAnsiTheme="minorHAnsi" w:cstheme="minorHAnsi"/>
          <w:szCs w:val="18"/>
        </w:rPr>
        <w:t>LJF</w:t>
      </w:r>
      <w:r w:rsidR="006B1CF3" w:rsidRPr="001D4767">
        <w:rPr>
          <w:rFonts w:asciiTheme="minorHAnsi" w:hAnsiTheme="minorHAnsi" w:cstheme="minorHAnsi"/>
          <w:szCs w:val="18"/>
        </w:rPr>
        <w:t xml:space="preserve"> applies at the point of purchase from a panel established under the </w:t>
      </w:r>
      <w:r w:rsidR="001D4767">
        <w:rPr>
          <w:rFonts w:asciiTheme="minorHAnsi" w:hAnsiTheme="minorHAnsi" w:cstheme="minorHAnsi"/>
          <w:szCs w:val="18"/>
        </w:rPr>
        <w:t>P</w:t>
      </w:r>
      <w:r w:rsidR="006B1CF3" w:rsidRPr="001D4767">
        <w:rPr>
          <w:rFonts w:asciiTheme="minorHAnsi" w:hAnsiTheme="minorHAnsi" w:cstheme="minorHAnsi"/>
          <w:szCs w:val="18"/>
        </w:rPr>
        <w:t xml:space="preserve">olicy. Whether you’re procuring goods, services or construction activities through a panel of suppliers, it is subject to </w:t>
      </w:r>
      <w:r w:rsidR="00D55492" w:rsidRPr="001D4767">
        <w:rPr>
          <w:rFonts w:asciiTheme="minorHAnsi" w:hAnsiTheme="minorHAnsi" w:cstheme="minorHAnsi"/>
          <w:szCs w:val="18"/>
        </w:rPr>
        <w:t>LJF</w:t>
      </w:r>
      <w:r w:rsidR="007C35AF" w:rsidRPr="001D4767">
        <w:rPr>
          <w:rFonts w:asciiTheme="minorHAnsi" w:hAnsiTheme="minorHAnsi" w:cstheme="minorHAnsi"/>
          <w:szCs w:val="18"/>
        </w:rPr>
        <w:t xml:space="preserve"> when</w:t>
      </w:r>
      <w:r w:rsidR="00C377CC" w:rsidRPr="001D4767">
        <w:rPr>
          <w:rFonts w:asciiTheme="minorHAnsi" w:hAnsiTheme="minorHAnsi" w:cstheme="minorHAnsi"/>
          <w:szCs w:val="18"/>
        </w:rPr>
        <w:t>:</w:t>
      </w:r>
    </w:p>
    <w:p w14:paraId="2C7B212D" w14:textId="77777777" w:rsidR="00C377CC" w:rsidRPr="001D4767" w:rsidRDefault="006B1CF3" w:rsidP="001D4767">
      <w:pPr>
        <w:numPr>
          <w:ilvl w:val="0"/>
          <w:numId w:val="5"/>
        </w:numPr>
        <w:spacing w:before="0" w:after="0"/>
        <w:ind w:hanging="357"/>
        <w:jc w:val="both"/>
        <w:rPr>
          <w:rFonts w:cs="Arial"/>
        </w:rPr>
      </w:pPr>
      <w:r w:rsidRPr="001D4767">
        <w:rPr>
          <w:rFonts w:cs="Arial"/>
        </w:rPr>
        <w:t>the total value of a project</w:t>
      </w:r>
      <w:r w:rsidR="00C377CC" w:rsidRPr="001D4767">
        <w:rPr>
          <w:rFonts w:cs="Arial"/>
        </w:rPr>
        <w:t xml:space="preserve"> meets the LJF thresholds </w:t>
      </w:r>
    </w:p>
    <w:p w14:paraId="2CE1EF62" w14:textId="578F4CF4" w:rsidR="006B1CF3" w:rsidRDefault="00C377CC" w:rsidP="001D4767">
      <w:pPr>
        <w:numPr>
          <w:ilvl w:val="0"/>
          <w:numId w:val="5"/>
        </w:numPr>
        <w:spacing w:before="0" w:after="0"/>
        <w:ind w:hanging="357"/>
        <w:jc w:val="both"/>
        <w:rPr>
          <w:rFonts w:cs="Arial"/>
        </w:rPr>
      </w:pPr>
      <w:r w:rsidRPr="001D4767">
        <w:rPr>
          <w:rFonts w:cs="Arial"/>
        </w:rPr>
        <w:t>the contract if it is part of a broader LJF project</w:t>
      </w:r>
    </w:p>
    <w:p w14:paraId="2F8819AA" w14:textId="77777777" w:rsidR="001D4767" w:rsidRPr="001D4767" w:rsidRDefault="001D4767" w:rsidP="001D4767">
      <w:pPr>
        <w:spacing w:before="0" w:after="0"/>
        <w:ind w:left="1080"/>
        <w:jc w:val="both"/>
        <w:rPr>
          <w:rFonts w:cs="Arial"/>
        </w:rPr>
      </w:pPr>
    </w:p>
    <w:p w14:paraId="3F952B2B" w14:textId="39B1227A" w:rsidR="00227C4E" w:rsidRPr="001D4767" w:rsidRDefault="00227C4E" w:rsidP="001D4767">
      <w:pPr>
        <w:numPr>
          <w:ilvl w:val="0"/>
          <w:numId w:val="22"/>
        </w:numPr>
        <w:spacing w:before="0"/>
        <w:jc w:val="both"/>
        <w:rPr>
          <w:rFonts w:asciiTheme="minorHAnsi" w:hAnsiTheme="minorHAnsi" w:cstheme="minorHAnsi"/>
          <w:szCs w:val="18"/>
        </w:rPr>
      </w:pPr>
      <w:r w:rsidRPr="001D4767">
        <w:rPr>
          <w:rFonts w:asciiTheme="minorHAnsi" w:hAnsiTheme="minorHAnsi" w:cstheme="minorHAnsi"/>
          <w:szCs w:val="18"/>
        </w:rPr>
        <w:t xml:space="preserve">The </w:t>
      </w:r>
      <w:r w:rsidR="00747161" w:rsidRPr="001D4767">
        <w:rPr>
          <w:rFonts w:asciiTheme="minorHAnsi" w:hAnsiTheme="minorHAnsi" w:cstheme="minorHAnsi"/>
          <w:szCs w:val="18"/>
        </w:rPr>
        <w:t>delivery</w:t>
      </w:r>
      <w:r w:rsidR="007B279C" w:rsidRPr="001D4767">
        <w:rPr>
          <w:rFonts w:asciiTheme="minorHAnsi" w:hAnsiTheme="minorHAnsi" w:cstheme="minorHAnsi"/>
          <w:szCs w:val="18"/>
        </w:rPr>
        <w:t xml:space="preserve"> agency</w:t>
      </w:r>
      <w:r w:rsidRPr="001D4767">
        <w:rPr>
          <w:rFonts w:asciiTheme="minorHAnsi" w:hAnsiTheme="minorHAnsi" w:cstheme="minorHAnsi"/>
          <w:szCs w:val="18"/>
        </w:rPr>
        <w:t xml:space="preserve"> must develop a purchase order template and contract terms and conditions that reflect this requirement.</w:t>
      </w:r>
    </w:p>
    <w:p w14:paraId="2DBB40CF" w14:textId="0ED41CE5" w:rsidR="00227C4E" w:rsidRPr="001D4767" w:rsidRDefault="00227C4E" w:rsidP="001D4767">
      <w:pPr>
        <w:numPr>
          <w:ilvl w:val="0"/>
          <w:numId w:val="22"/>
        </w:numPr>
        <w:spacing w:before="0"/>
        <w:jc w:val="both"/>
        <w:rPr>
          <w:rFonts w:asciiTheme="minorHAnsi" w:hAnsiTheme="minorHAnsi" w:cstheme="minorHAnsi"/>
          <w:szCs w:val="18"/>
        </w:rPr>
      </w:pPr>
      <w:r w:rsidRPr="001D4767">
        <w:rPr>
          <w:rFonts w:asciiTheme="minorHAnsi" w:hAnsiTheme="minorHAnsi" w:cstheme="minorHAnsi"/>
          <w:szCs w:val="18"/>
        </w:rPr>
        <w:t xml:space="preserve">Model clauses are </w:t>
      </w:r>
      <w:r w:rsidR="00D90BAA" w:rsidRPr="001D4767">
        <w:rPr>
          <w:rFonts w:asciiTheme="minorHAnsi" w:hAnsiTheme="minorHAnsi" w:cstheme="minorHAnsi"/>
          <w:szCs w:val="18"/>
        </w:rPr>
        <w:t>available</w:t>
      </w:r>
      <w:r w:rsidRPr="001D4767">
        <w:rPr>
          <w:rFonts w:asciiTheme="minorHAnsi" w:hAnsiTheme="minorHAnsi" w:cstheme="minorHAnsi"/>
          <w:szCs w:val="18"/>
        </w:rPr>
        <w:t xml:space="preserve"> and can be found at </w:t>
      </w:r>
      <w:r w:rsidR="00D90BAA" w:rsidRPr="001D4767">
        <w:rPr>
          <w:rFonts w:asciiTheme="minorHAnsi" w:hAnsiTheme="minorHAnsi" w:cstheme="minorHAnsi"/>
          <w:szCs w:val="18"/>
        </w:rPr>
        <w:t>www.localjobsfirst.vic.gov.au</w:t>
      </w:r>
      <w:r w:rsidR="00F51973">
        <w:rPr>
          <w:rFonts w:asciiTheme="minorHAnsi" w:hAnsiTheme="minorHAnsi" w:cstheme="minorHAnsi"/>
          <w:szCs w:val="18"/>
        </w:rPr>
        <w:t>.</w:t>
      </w:r>
    </w:p>
    <w:p w14:paraId="1D651762" w14:textId="00FAEF84" w:rsidR="00482BEC" w:rsidRPr="00D047E0" w:rsidRDefault="00482BEC" w:rsidP="00D047E0">
      <w:pPr>
        <w:numPr>
          <w:ilvl w:val="0"/>
          <w:numId w:val="22"/>
        </w:numPr>
        <w:spacing w:before="0"/>
        <w:jc w:val="both"/>
        <w:rPr>
          <w:rFonts w:asciiTheme="minorHAnsi" w:hAnsiTheme="minorHAnsi" w:cstheme="minorHAnsi"/>
          <w:szCs w:val="18"/>
        </w:rPr>
      </w:pPr>
      <w:r w:rsidRPr="00D047E0">
        <w:rPr>
          <w:rFonts w:asciiTheme="minorHAnsi" w:hAnsiTheme="minorHAnsi" w:cstheme="minorHAnsi"/>
          <w:szCs w:val="18"/>
        </w:rPr>
        <w:t>E</w:t>
      </w:r>
      <w:r w:rsidR="0059035D" w:rsidRPr="00D047E0">
        <w:rPr>
          <w:rFonts w:asciiTheme="minorHAnsi" w:hAnsiTheme="minorHAnsi" w:cstheme="minorHAnsi"/>
          <w:szCs w:val="18"/>
        </w:rPr>
        <w:t>xamples</w:t>
      </w:r>
      <w:r w:rsidR="00D047E0">
        <w:rPr>
          <w:rFonts w:asciiTheme="minorHAnsi" w:hAnsiTheme="minorHAnsi" w:cstheme="minorHAnsi"/>
          <w:szCs w:val="18"/>
        </w:rPr>
        <w:t xml:space="preserve"> where Local Jobs First would apply include</w:t>
      </w:r>
      <w:r w:rsidR="0059035D" w:rsidRPr="00D047E0">
        <w:rPr>
          <w:rFonts w:asciiTheme="minorHAnsi" w:hAnsiTheme="minorHAnsi" w:cstheme="minorHAnsi"/>
          <w:szCs w:val="18"/>
        </w:rPr>
        <w:t>:</w:t>
      </w:r>
    </w:p>
    <w:p w14:paraId="32567959" w14:textId="35C33B8C" w:rsidR="00DA6AD2" w:rsidRDefault="000B6C00" w:rsidP="00DA6AD2">
      <w:pPr>
        <w:numPr>
          <w:ilvl w:val="0"/>
          <w:numId w:val="5"/>
        </w:numPr>
        <w:spacing w:before="0" w:after="0"/>
        <w:ind w:hanging="357"/>
        <w:jc w:val="both"/>
        <w:rPr>
          <w:rFonts w:cs="Arial"/>
        </w:rPr>
      </w:pPr>
      <w:r>
        <w:rPr>
          <w:rFonts w:cs="Arial"/>
        </w:rPr>
        <w:t>a</w:t>
      </w:r>
      <w:r w:rsidR="00482BEC" w:rsidRPr="00DA6AD2">
        <w:rPr>
          <w:rFonts w:cs="Arial"/>
        </w:rPr>
        <w:t xml:space="preserve"> one-off purchase by a department or agency procuring audit services from a supplier on the Professional Advisory Service (PAS) State Purchase Contract (SPC) that meets a threshold is required to complete a Local Industry Development Plan (LIDP); or</w:t>
      </w:r>
    </w:p>
    <w:p w14:paraId="1DD0443A" w14:textId="77777777" w:rsidR="00D047E0" w:rsidRPr="00DA6AD2" w:rsidRDefault="00D047E0" w:rsidP="00D047E0">
      <w:pPr>
        <w:spacing w:before="0" w:after="0"/>
        <w:ind w:left="1080"/>
        <w:jc w:val="both"/>
        <w:rPr>
          <w:rFonts w:cs="Arial"/>
        </w:rPr>
      </w:pPr>
    </w:p>
    <w:p w14:paraId="788F2914" w14:textId="751CDA01" w:rsidR="00F82B67" w:rsidRDefault="000B6C00" w:rsidP="00DA6AD2">
      <w:pPr>
        <w:numPr>
          <w:ilvl w:val="0"/>
          <w:numId w:val="5"/>
        </w:numPr>
        <w:spacing w:before="0" w:after="0"/>
        <w:ind w:hanging="357"/>
        <w:jc w:val="both"/>
        <w:rPr>
          <w:rFonts w:cs="Arial"/>
        </w:rPr>
      </w:pPr>
      <w:r>
        <w:rPr>
          <w:rFonts w:cs="Arial"/>
        </w:rPr>
        <w:t>t</w:t>
      </w:r>
      <w:r w:rsidR="00482BEC" w:rsidRPr="00DA6AD2">
        <w:rPr>
          <w:rFonts w:cs="Arial"/>
        </w:rPr>
        <w:t xml:space="preserve">he procurement is part of a larger project where the total project value exceeds a threshold. Then each time a purchase by the delivery agency is made off a panel in relation to that project an LIDP must be completed. </w:t>
      </w:r>
      <w:r w:rsidR="008B1F2F" w:rsidRPr="00DA6AD2">
        <w:rPr>
          <w:rFonts w:cs="Arial"/>
        </w:rPr>
        <w:t>E.g.</w:t>
      </w:r>
      <w:r w:rsidR="00482BEC" w:rsidRPr="00DA6AD2">
        <w:rPr>
          <w:rFonts w:cs="Arial"/>
        </w:rPr>
        <w:t xml:space="preserve"> every instance of legal advice sought on the specific project from the Legal Services SPC, irrespective of the value of the individual purchase order, an LIDP must be completed.   </w:t>
      </w:r>
    </w:p>
    <w:p w14:paraId="48919979" w14:textId="77777777" w:rsidR="00DA6AD2" w:rsidRPr="00DA6AD2" w:rsidRDefault="00DA6AD2" w:rsidP="00DA6AD2">
      <w:pPr>
        <w:spacing w:before="0" w:after="0"/>
        <w:ind w:left="1080"/>
        <w:jc w:val="both"/>
        <w:rPr>
          <w:rFonts w:cs="Arial"/>
        </w:rPr>
      </w:pPr>
    </w:p>
    <w:p w14:paraId="69DEA4BD" w14:textId="4670E956" w:rsidR="00F13FBC" w:rsidRPr="00B97128" w:rsidRDefault="00D3134A" w:rsidP="00D3134A">
      <w:pPr>
        <w:numPr>
          <w:ilvl w:val="0"/>
          <w:numId w:val="22"/>
        </w:numPr>
        <w:spacing w:before="0"/>
        <w:jc w:val="both"/>
        <w:rPr>
          <w:rFonts w:asciiTheme="minorHAnsi" w:hAnsiTheme="minorHAnsi" w:cstheme="minorHAnsi"/>
          <w:szCs w:val="18"/>
        </w:rPr>
      </w:pPr>
      <w:r w:rsidRPr="001D4767">
        <w:rPr>
          <w:rFonts w:asciiTheme="minorHAnsi" w:hAnsiTheme="minorHAnsi" w:cstheme="minorHAnsi"/>
          <w:szCs w:val="18"/>
        </w:rPr>
        <w:t xml:space="preserve">A Statement of Intent is no longer a requirement as part of applying Local Jobs First to panels. </w:t>
      </w:r>
    </w:p>
    <w:p w14:paraId="4292B834" w14:textId="6936E41C" w:rsidR="00F13FBC" w:rsidRPr="009D41CE" w:rsidRDefault="009D41CE" w:rsidP="00521288">
      <w:pPr>
        <w:pStyle w:val="Heading1"/>
        <w:spacing w:before="240" w:after="240" w:line="276" w:lineRule="auto"/>
        <w:ind w:left="431" w:hanging="431"/>
      </w:pPr>
      <w:bookmarkStart w:id="59" w:name="_Toc31116363"/>
      <w:r>
        <w:t xml:space="preserve"> </w:t>
      </w:r>
      <w:r w:rsidR="00521288" w:rsidRPr="009D41CE">
        <w:t xml:space="preserve">Applying Local Jobs First to other </w:t>
      </w:r>
      <w:r w:rsidR="00F13FBC" w:rsidRPr="009D41CE">
        <w:t>procurement</w:t>
      </w:r>
      <w:r w:rsidR="00521288" w:rsidRPr="009D41CE">
        <w:t xml:space="preserve"> approaches</w:t>
      </w:r>
      <w:bookmarkEnd w:id="59"/>
    </w:p>
    <w:p w14:paraId="11B168E0" w14:textId="1D98D659" w:rsidR="00F13FBC" w:rsidRPr="00521288" w:rsidRDefault="00F13FBC" w:rsidP="00B81656">
      <w:pPr>
        <w:numPr>
          <w:ilvl w:val="0"/>
          <w:numId w:val="27"/>
        </w:numPr>
        <w:spacing w:before="0"/>
        <w:jc w:val="both"/>
        <w:rPr>
          <w:rFonts w:cs="Arial"/>
        </w:rPr>
      </w:pPr>
      <w:r w:rsidRPr="00521288">
        <w:rPr>
          <w:rFonts w:cs="Arial"/>
        </w:rPr>
        <w:t xml:space="preserve">If your procurement is by direct negotiation, sole supplier or via a supplier register </w:t>
      </w:r>
      <w:r w:rsidR="00521288">
        <w:rPr>
          <w:rFonts w:cs="Arial"/>
        </w:rPr>
        <w:t xml:space="preserve">or any other procurement approach </w:t>
      </w:r>
      <w:r w:rsidRPr="00521288">
        <w:rPr>
          <w:rFonts w:cs="Arial"/>
        </w:rPr>
        <w:t>and its value exceeds Local Jobs First thresholds it is likely that Local Jobs First applies.</w:t>
      </w:r>
    </w:p>
    <w:p w14:paraId="14611AB2" w14:textId="59D62642" w:rsidR="00F13FBC" w:rsidRDefault="00F13FBC" w:rsidP="00B81656">
      <w:pPr>
        <w:numPr>
          <w:ilvl w:val="0"/>
          <w:numId w:val="27"/>
        </w:numPr>
        <w:spacing w:before="0"/>
        <w:jc w:val="both"/>
        <w:rPr>
          <w:rFonts w:cs="Arial"/>
        </w:rPr>
      </w:pPr>
      <w:r w:rsidRPr="00521288">
        <w:rPr>
          <w:rFonts w:cs="Arial"/>
        </w:rPr>
        <w:t>You should contact DJPR to discuss your project as soon as practical</w:t>
      </w:r>
      <w:r w:rsidR="000E6A21" w:rsidRPr="00521288">
        <w:rPr>
          <w:rFonts w:cs="Arial"/>
        </w:rPr>
        <w:t>.</w:t>
      </w:r>
    </w:p>
    <w:p w14:paraId="07868CDE" w14:textId="4FD6E0C9" w:rsidR="00D047E0" w:rsidRDefault="00D047E0" w:rsidP="00D047E0">
      <w:pPr>
        <w:spacing w:before="0"/>
        <w:jc w:val="both"/>
        <w:rPr>
          <w:rFonts w:cs="Arial"/>
        </w:rPr>
      </w:pPr>
    </w:p>
    <w:p w14:paraId="017A6B72" w14:textId="77777777" w:rsidR="00D047E0" w:rsidRPr="00E21447" w:rsidRDefault="00D047E0" w:rsidP="00D047E0">
      <w:pPr>
        <w:spacing w:before="0"/>
        <w:jc w:val="both"/>
        <w:rPr>
          <w:rFonts w:cs="Arial"/>
        </w:rPr>
      </w:pPr>
    </w:p>
    <w:p w14:paraId="67C79ED5" w14:textId="79D9ECBF" w:rsidR="00351206" w:rsidRDefault="009D41CE" w:rsidP="000B3A9C">
      <w:pPr>
        <w:pStyle w:val="Heading1"/>
        <w:spacing w:before="240" w:after="240" w:line="276" w:lineRule="auto"/>
        <w:ind w:left="431" w:hanging="431"/>
      </w:pPr>
      <w:bookmarkStart w:id="60" w:name="_Toc31116364"/>
      <w:r>
        <w:lastRenderedPageBreak/>
        <w:t xml:space="preserve"> </w:t>
      </w:r>
      <w:r w:rsidR="00FC7B44">
        <w:t xml:space="preserve">Local Jobs First </w:t>
      </w:r>
      <w:r w:rsidR="00171EC2">
        <w:t>Monitoring</w:t>
      </w:r>
      <w:r w:rsidR="00D44E05">
        <w:t xml:space="preserve"> </w:t>
      </w:r>
      <w:r w:rsidR="00FC7B44">
        <w:t>Requirements</w:t>
      </w:r>
      <w:bookmarkEnd w:id="60"/>
      <w:r w:rsidR="00D44E05">
        <w:t xml:space="preserve"> </w:t>
      </w:r>
    </w:p>
    <w:p w14:paraId="557981BF" w14:textId="42177B1F" w:rsidR="00005AF1" w:rsidRPr="00005AF1" w:rsidRDefault="00005AF1" w:rsidP="00B81656">
      <w:pPr>
        <w:numPr>
          <w:ilvl w:val="0"/>
          <w:numId w:val="28"/>
        </w:numPr>
        <w:spacing w:before="0"/>
        <w:jc w:val="both"/>
        <w:rPr>
          <w:rFonts w:cs="Arial"/>
        </w:rPr>
      </w:pPr>
      <w:r w:rsidRPr="00005AF1">
        <w:rPr>
          <w:rFonts w:cs="Arial"/>
        </w:rPr>
        <w:t xml:space="preserve">Reporting is required at the beginning and completion of a project. Agencies may require the successful bidder to provide regular updates on its implementation of </w:t>
      </w:r>
      <w:r w:rsidR="00A618BB">
        <w:rPr>
          <w:rFonts w:cs="Arial"/>
        </w:rPr>
        <w:t>LJF</w:t>
      </w:r>
      <w:r w:rsidRPr="00005AF1">
        <w:rPr>
          <w:rFonts w:cs="Arial"/>
        </w:rPr>
        <w:t xml:space="preserve"> as part of their </w:t>
      </w:r>
      <w:r w:rsidR="00B2237B">
        <w:rPr>
          <w:rFonts w:cs="Arial"/>
        </w:rPr>
        <w:t>S</w:t>
      </w:r>
      <w:r w:rsidRPr="00005AF1">
        <w:rPr>
          <w:rFonts w:cs="Arial"/>
        </w:rPr>
        <w:t xml:space="preserve">tandard </w:t>
      </w:r>
      <w:r w:rsidR="00B2237B">
        <w:rPr>
          <w:rFonts w:cs="Arial"/>
        </w:rPr>
        <w:t>P</w:t>
      </w:r>
      <w:r w:rsidRPr="00005AF1">
        <w:rPr>
          <w:rFonts w:cs="Arial"/>
        </w:rPr>
        <w:t xml:space="preserve">roject management practices and milestone achievements within the contract. </w:t>
      </w:r>
    </w:p>
    <w:p w14:paraId="1BC48A79" w14:textId="5A51CA89" w:rsidR="00005AF1" w:rsidRDefault="00005AF1" w:rsidP="00B81656">
      <w:pPr>
        <w:numPr>
          <w:ilvl w:val="0"/>
          <w:numId w:val="28"/>
        </w:numPr>
        <w:spacing w:before="0"/>
        <w:jc w:val="both"/>
        <w:rPr>
          <w:rFonts w:cs="Arial"/>
        </w:rPr>
      </w:pPr>
      <w:r w:rsidRPr="00005AF1">
        <w:rPr>
          <w:rFonts w:cs="Arial"/>
        </w:rPr>
        <w:t xml:space="preserve">The </w:t>
      </w:r>
      <w:r w:rsidR="00A618BB">
        <w:rPr>
          <w:rFonts w:cs="Arial"/>
        </w:rPr>
        <w:t>a</w:t>
      </w:r>
      <w:r w:rsidRPr="00005AF1">
        <w:rPr>
          <w:rFonts w:cs="Arial"/>
        </w:rPr>
        <w:t xml:space="preserve">gency must annually report on the </w:t>
      </w:r>
      <w:r w:rsidR="00A618BB">
        <w:rPr>
          <w:rFonts w:cs="Arial"/>
        </w:rPr>
        <w:t xml:space="preserve">LJF </w:t>
      </w:r>
      <w:r w:rsidRPr="00005AF1">
        <w:rPr>
          <w:rFonts w:cs="Arial"/>
        </w:rPr>
        <w:t xml:space="preserve">outcomes for the </w:t>
      </w:r>
      <w:r w:rsidR="00A618BB">
        <w:rPr>
          <w:rFonts w:cs="Arial"/>
        </w:rPr>
        <w:t>a</w:t>
      </w:r>
      <w:r w:rsidRPr="00005AF1">
        <w:rPr>
          <w:rFonts w:cs="Arial"/>
        </w:rPr>
        <w:t xml:space="preserve">gency as a </w:t>
      </w:r>
      <w:r w:rsidR="00EC285C" w:rsidRPr="00005AF1">
        <w:rPr>
          <w:rFonts w:cs="Arial"/>
        </w:rPr>
        <w:t>whole and</w:t>
      </w:r>
      <w:r w:rsidRPr="00005AF1">
        <w:rPr>
          <w:rFonts w:cs="Arial"/>
        </w:rPr>
        <w:t xml:space="preserve"> submit this to the responsible Minister through DJPR. </w:t>
      </w:r>
      <w:r w:rsidR="00937FAE">
        <w:rPr>
          <w:rFonts w:cs="Arial"/>
        </w:rPr>
        <w:t>Agency</w:t>
      </w:r>
      <w:r w:rsidRPr="00005AF1">
        <w:rPr>
          <w:rFonts w:cs="Arial"/>
        </w:rPr>
        <w:t xml:space="preserve"> Local Jobs First Administrator</w:t>
      </w:r>
      <w:r w:rsidR="00937FAE">
        <w:rPr>
          <w:rFonts w:cs="Arial"/>
        </w:rPr>
        <w:t>s</w:t>
      </w:r>
      <w:r w:rsidRPr="00005AF1">
        <w:rPr>
          <w:rFonts w:cs="Arial"/>
        </w:rPr>
        <w:t xml:space="preserve"> can view all monitoring tables on the VMC, to help in the annual reporting on compliance with Local Jobs First.</w:t>
      </w:r>
    </w:p>
    <w:p w14:paraId="5F2E1B89" w14:textId="1B6288F7" w:rsidR="000B501E" w:rsidRDefault="000B501E" w:rsidP="00B81656">
      <w:pPr>
        <w:numPr>
          <w:ilvl w:val="0"/>
          <w:numId w:val="28"/>
        </w:numPr>
        <w:spacing w:before="0"/>
        <w:jc w:val="both"/>
        <w:rPr>
          <w:rFonts w:cs="Arial"/>
        </w:rPr>
      </w:pPr>
      <w:r w:rsidRPr="00B04D7D">
        <w:rPr>
          <w:rFonts w:cs="Arial"/>
        </w:rPr>
        <w:t xml:space="preserve">Agencies are responsible for ongoing monitoring of the implementation of </w:t>
      </w:r>
      <w:r>
        <w:rPr>
          <w:rFonts w:cs="Arial"/>
        </w:rPr>
        <w:t>the L</w:t>
      </w:r>
      <w:r w:rsidR="00A618BB">
        <w:rPr>
          <w:rFonts w:cs="Arial"/>
        </w:rPr>
        <w:t>JF</w:t>
      </w:r>
      <w:r>
        <w:rPr>
          <w:rFonts w:cs="Arial"/>
        </w:rPr>
        <w:t xml:space="preserve"> </w:t>
      </w:r>
      <w:r w:rsidR="00A618BB">
        <w:rPr>
          <w:rFonts w:cs="Arial"/>
        </w:rPr>
        <w:t>p</w:t>
      </w:r>
      <w:r>
        <w:rPr>
          <w:rFonts w:cs="Arial"/>
        </w:rPr>
        <w:t xml:space="preserve">olicy, </w:t>
      </w:r>
      <w:r w:rsidR="00B11C24">
        <w:rPr>
          <w:rFonts w:cs="Arial"/>
        </w:rPr>
        <w:t>LIDP</w:t>
      </w:r>
      <w:r>
        <w:rPr>
          <w:rFonts w:cs="Arial"/>
        </w:rPr>
        <w:t xml:space="preserve"> commitments and associated compliance </w:t>
      </w:r>
      <w:r w:rsidRPr="00B04D7D">
        <w:rPr>
          <w:rFonts w:cs="Arial"/>
        </w:rPr>
        <w:t xml:space="preserve">by </w:t>
      </w:r>
      <w:r>
        <w:rPr>
          <w:rFonts w:cs="Arial"/>
        </w:rPr>
        <w:t xml:space="preserve">contractors, </w:t>
      </w:r>
      <w:r w:rsidRPr="00B04D7D">
        <w:rPr>
          <w:rFonts w:cs="Arial"/>
        </w:rPr>
        <w:t xml:space="preserve">suppliers </w:t>
      </w:r>
      <w:r>
        <w:rPr>
          <w:rFonts w:cs="Arial"/>
        </w:rPr>
        <w:t>or grant recipients, including r</w:t>
      </w:r>
      <w:r w:rsidRPr="00B04D7D">
        <w:rPr>
          <w:rFonts w:cs="Arial"/>
        </w:rPr>
        <w:t>eporting on new</w:t>
      </w:r>
      <w:r>
        <w:rPr>
          <w:rFonts w:cs="Arial"/>
        </w:rPr>
        <w:t xml:space="preserve">, in </w:t>
      </w:r>
      <w:r w:rsidR="005008D7">
        <w:rPr>
          <w:rFonts w:cs="Arial"/>
        </w:rPr>
        <w:t>progress and</w:t>
      </w:r>
      <w:r w:rsidRPr="00B04D7D">
        <w:rPr>
          <w:rFonts w:cs="Arial"/>
        </w:rPr>
        <w:t xml:space="preserve"> completed projects.</w:t>
      </w:r>
    </w:p>
    <w:p w14:paraId="16356781" w14:textId="284826AF" w:rsidR="00487C6E" w:rsidRDefault="00487C6E" w:rsidP="00B81656">
      <w:pPr>
        <w:numPr>
          <w:ilvl w:val="0"/>
          <w:numId w:val="28"/>
        </w:numPr>
        <w:spacing w:before="0"/>
        <w:jc w:val="both"/>
        <w:rPr>
          <w:rFonts w:cs="Arial"/>
        </w:rPr>
      </w:pPr>
      <w:r>
        <w:rPr>
          <w:rFonts w:cs="Arial"/>
        </w:rPr>
        <w:t xml:space="preserve">Agencies </w:t>
      </w:r>
      <w:r w:rsidR="004E56D0">
        <w:rPr>
          <w:rFonts w:cs="Arial"/>
        </w:rPr>
        <w:t>m</w:t>
      </w:r>
      <w:r>
        <w:rPr>
          <w:rFonts w:cs="Arial"/>
        </w:rPr>
        <w:t xml:space="preserve">ust </w:t>
      </w:r>
      <w:r w:rsidR="004E56D0">
        <w:rPr>
          <w:rFonts w:cs="Arial"/>
        </w:rPr>
        <w:t>include</w:t>
      </w:r>
      <w:r>
        <w:rPr>
          <w:rFonts w:cs="Arial"/>
        </w:rPr>
        <w:t xml:space="preserve"> </w:t>
      </w:r>
      <w:r w:rsidR="004E56D0">
        <w:rPr>
          <w:rFonts w:cs="Arial"/>
        </w:rPr>
        <w:t xml:space="preserve">reporting requirements in their request for quote. </w:t>
      </w:r>
    </w:p>
    <w:p w14:paraId="06E35062" w14:textId="1D6A7F6F" w:rsidR="000B501E" w:rsidRDefault="004D7CC9" w:rsidP="00B81656">
      <w:pPr>
        <w:numPr>
          <w:ilvl w:val="0"/>
          <w:numId w:val="28"/>
        </w:numPr>
        <w:spacing w:before="0"/>
        <w:jc w:val="both"/>
        <w:rPr>
          <w:rFonts w:cs="Arial"/>
        </w:rPr>
      </w:pPr>
      <w:r>
        <w:rPr>
          <w:rFonts w:cs="Arial"/>
        </w:rPr>
        <w:t>DJPR</w:t>
      </w:r>
      <w:r w:rsidR="000C3DA9">
        <w:rPr>
          <w:rFonts w:cs="Arial"/>
        </w:rPr>
        <w:t xml:space="preserve"> can</w:t>
      </w:r>
      <w:r w:rsidR="000B501E">
        <w:rPr>
          <w:rFonts w:cs="Arial"/>
        </w:rPr>
        <w:t xml:space="preserve"> </w:t>
      </w:r>
      <w:r w:rsidR="00B9188E">
        <w:rPr>
          <w:rFonts w:cs="Arial"/>
        </w:rPr>
        <w:t>help</w:t>
      </w:r>
      <w:r w:rsidR="000B501E">
        <w:rPr>
          <w:rFonts w:cs="Arial"/>
        </w:rPr>
        <w:t xml:space="preserve"> with agency reporting and is responsible for whole-of-government monitoring and reporting, drawing o</w:t>
      </w:r>
      <w:r w:rsidR="006E206F">
        <w:rPr>
          <w:rFonts w:cs="Arial"/>
        </w:rPr>
        <w:t>n</w:t>
      </w:r>
      <w:r w:rsidR="00047DFB">
        <w:rPr>
          <w:rFonts w:cs="Arial"/>
        </w:rPr>
        <w:t xml:space="preserve"> </w:t>
      </w:r>
      <w:r w:rsidR="000B501E">
        <w:rPr>
          <w:rFonts w:cs="Arial"/>
        </w:rPr>
        <w:t xml:space="preserve">agency, contractor and ICN data. </w:t>
      </w:r>
    </w:p>
    <w:p w14:paraId="5AEBC8F8" w14:textId="382370CB" w:rsidR="00171EC2" w:rsidRDefault="00171EC2" w:rsidP="00B81656">
      <w:pPr>
        <w:numPr>
          <w:ilvl w:val="0"/>
          <w:numId w:val="28"/>
        </w:numPr>
        <w:spacing w:before="0"/>
        <w:jc w:val="both"/>
        <w:rPr>
          <w:rFonts w:cs="Arial"/>
        </w:rPr>
      </w:pPr>
      <w:r>
        <w:rPr>
          <w:rFonts w:cs="Arial"/>
        </w:rPr>
        <w:t>The Victorian Local Jobs First Commissioner may review agenc</w:t>
      </w:r>
      <w:r w:rsidR="00972EB5">
        <w:rPr>
          <w:rFonts w:cs="Arial"/>
        </w:rPr>
        <w:t>ies</w:t>
      </w:r>
      <w:r>
        <w:rPr>
          <w:rFonts w:cs="Arial"/>
        </w:rPr>
        <w:t xml:space="preserve"> monitoring processes. </w:t>
      </w:r>
      <w:r w:rsidR="009E0C04">
        <w:rPr>
          <w:rFonts w:cs="Arial"/>
        </w:rPr>
        <w:t>Under Section 23 of the</w:t>
      </w:r>
      <w:r w:rsidR="001A5180">
        <w:rPr>
          <w:rFonts w:cs="Arial"/>
        </w:rPr>
        <w:t xml:space="preserve"> Act</w:t>
      </w:r>
      <w:r w:rsidR="009E0C04">
        <w:rPr>
          <w:rFonts w:cs="Arial"/>
        </w:rPr>
        <w:t>, t</w:t>
      </w:r>
      <w:r>
        <w:rPr>
          <w:rFonts w:cs="Arial"/>
        </w:rPr>
        <w:t xml:space="preserve">he Commissioner may also request an agency to conduct a </w:t>
      </w:r>
      <w:r w:rsidR="00CC30E3">
        <w:rPr>
          <w:rFonts w:cs="Arial"/>
        </w:rPr>
        <w:t>compliance audit</w:t>
      </w:r>
      <w:r w:rsidR="009E0C04">
        <w:rPr>
          <w:rFonts w:cs="Arial"/>
        </w:rPr>
        <w:t xml:space="preserve"> by a person or agency with the </w:t>
      </w:r>
      <w:r w:rsidR="00CC30E3">
        <w:rPr>
          <w:rFonts w:cs="Arial"/>
        </w:rPr>
        <w:t>LJF policy</w:t>
      </w:r>
      <w:r w:rsidR="009E0C04">
        <w:rPr>
          <w:rFonts w:cs="Arial"/>
        </w:rPr>
        <w:t xml:space="preserve">, or compliance by a person with </w:t>
      </w:r>
      <w:r w:rsidR="00B849E7">
        <w:rPr>
          <w:rFonts w:cs="Arial"/>
        </w:rPr>
        <w:t>an LIDP</w:t>
      </w:r>
      <w:r w:rsidR="009E0C04">
        <w:rPr>
          <w:rFonts w:cs="Arial"/>
        </w:rPr>
        <w:t xml:space="preserve">. The Commissioner may impose terms of reference or other requirements </w:t>
      </w:r>
      <w:r w:rsidR="00CE3795">
        <w:rPr>
          <w:rFonts w:cs="Arial"/>
        </w:rPr>
        <w:t>about</w:t>
      </w:r>
      <w:r w:rsidR="009E0C04">
        <w:rPr>
          <w:rFonts w:cs="Arial"/>
        </w:rPr>
        <w:t xml:space="preserve"> an audit conducted by an agency. </w:t>
      </w:r>
      <w:r>
        <w:rPr>
          <w:rFonts w:cs="Arial"/>
        </w:rPr>
        <w:t xml:space="preserve"> </w:t>
      </w:r>
    </w:p>
    <w:p w14:paraId="7731CAC9" w14:textId="63C92F27" w:rsidR="00E55611" w:rsidRPr="005118B4" w:rsidRDefault="00F51973" w:rsidP="00F51973">
      <w:pPr>
        <w:pStyle w:val="Heading1"/>
        <w:numPr>
          <w:ilvl w:val="0"/>
          <w:numId w:val="0"/>
        </w:numPr>
        <w:spacing w:before="240" w:after="240" w:line="276" w:lineRule="auto"/>
        <w:rPr>
          <w:sz w:val="24"/>
          <w:szCs w:val="24"/>
        </w:rPr>
      </w:pPr>
      <w:bookmarkStart w:id="61" w:name="_Toc31116365"/>
      <w:r w:rsidRPr="005118B4">
        <w:rPr>
          <w:sz w:val="24"/>
          <w:szCs w:val="24"/>
        </w:rPr>
        <w:t xml:space="preserve">12.1 </w:t>
      </w:r>
      <w:r w:rsidR="00E55611" w:rsidRPr="005118B4">
        <w:rPr>
          <w:sz w:val="24"/>
          <w:szCs w:val="24"/>
        </w:rPr>
        <w:t>Regular information reporting</w:t>
      </w:r>
      <w:bookmarkEnd w:id="61"/>
    </w:p>
    <w:p w14:paraId="4C3D88A4" w14:textId="451EAAE7" w:rsidR="00E55611" w:rsidRPr="00B81656" w:rsidRDefault="00E55611" w:rsidP="00B81656">
      <w:pPr>
        <w:numPr>
          <w:ilvl w:val="0"/>
          <w:numId w:val="28"/>
        </w:numPr>
        <w:spacing w:before="0"/>
        <w:jc w:val="both"/>
        <w:rPr>
          <w:rFonts w:cs="Arial"/>
        </w:rPr>
      </w:pPr>
      <w:r w:rsidRPr="00B81656">
        <w:rPr>
          <w:rFonts w:cs="Arial"/>
        </w:rPr>
        <w:t>The</w:t>
      </w:r>
      <w:r w:rsidR="00624CF7">
        <w:rPr>
          <w:rFonts w:cs="Arial"/>
        </w:rPr>
        <w:t xml:space="preserve"> Act</w:t>
      </w:r>
      <w:r w:rsidRPr="00B81656">
        <w:rPr>
          <w:rFonts w:cs="Arial"/>
        </w:rPr>
        <w:t xml:space="preserve"> requires agencies to provide information to the Minister for </w:t>
      </w:r>
      <w:r w:rsidR="00CC30E3" w:rsidRPr="00B81656">
        <w:rPr>
          <w:rFonts w:cs="Arial"/>
        </w:rPr>
        <w:t>Jobs, Innovation and Trade:</w:t>
      </w:r>
      <w:r w:rsidRPr="00B81656">
        <w:rPr>
          <w:rFonts w:cs="Arial"/>
        </w:rPr>
        <w:t xml:space="preserve"> </w:t>
      </w:r>
    </w:p>
    <w:p w14:paraId="6FAFCCB9" w14:textId="77777777" w:rsidR="00E55611" w:rsidRPr="005A4F90" w:rsidRDefault="00E55611" w:rsidP="005A4F90">
      <w:pPr>
        <w:numPr>
          <w:ilvl w:val="0"/>
          <w:numId w:val="5"/>
        </w:numPr>
        <w:spacing w:before="0" w:after="0"/>
        <w:ind w:hanging="357"/>
        <w:jc w:val="both"/>
        <w:rPr>
          <w:rFonts w:cs="Arial"/>
        </w:rPr>
      </w:pPr>
      <w:r w:rsidRPr="005A4F90">
        <w:rPr>
          <w:rFonts w:cs="Arial"/>
        </w:rPr>
        <w:t xml:space="preserve">demonstrating their compliance with LJF </w:t>
      </w:r>
    </w:p>
    <w:p w14:paraId="464DCA8B" w14:textId="77777777" w:rsidR="00E55611" w:rsidRPr="005A4F90" w:rsidRDefault="00E55611" w:rsidP="005A4F90">
      <w:pPr>
        <w:numPr>
          <w:ilvl w:val="0"/>
          <w:numId w:val="5"/>
        </w:numPr>
        <w:spacing w:before="0" w:after="0"/>
        <w:ind w:hanging="357"/>
        <w:jc w:val="both"/>
        <w:rPr>
          <w:rFonts w:cs="Arial"/>
        </w:rPr>
      </w:pPr>
      <w:r w:rsidRPr="005A4F90">
        <w:rPr>
          <w:rFonts w:cs="Arial"/>
        </w:rPr>
        <w:t xml:space="preserve">detailing the procurements, projects and grants that either began or were completed during the financial year </w:t>
      </w:r>
    </w:p>
    <w:p w14:paraId="316021B8" w14:textId="524AE48B" w:rsidR="00E55611" w:rsidRPr="005A4F90" w:rsidRDefault="00E55611" w:rsidP="005A4F90">
      <w:pPr>
        <w:numPr>
          <w:ilvl w:val="0"/>
          <w:numId w:val="5"/>
        </w:numPr>
        <w:spacing w:before="0" w:after="0"/>
        <w:ind w:hanging="357"/>
        <w:jc w:val="both"/>
        <w:rPr>
          <w:rFonts w:cs="Arial"/>
        </w:rPr>
      </w:pPr>
      <w:r w:rsidRPr="005A4F90">
        <w:rPr>
          <w:rFonts w:cs="Arial"/>
        </w:rPr>
        <w:t xml:space="preserve">detailing the projects that satisfy the LJF thresholds, that did not require LIDP </w:t>
      </w:r>
    </w:p>
    <w:p w14:paraId="4FFA66E9" w14:textId="301895A5" w:rsidR="00E55611" w:rsidRPr="005A4F90" w:rsidRDefault="00E55611" w:rsidP="005A4F90">
      <w:pPr>
        <w:numPr>
          <w:ilvl w:val="0"/>
          <w:numId w:val="5"/>
        </w:numPr>
        <w:spacing w:before="0" w:after="0"/>
        <w:ind w:hanging="357"/>
        <w:jc w:val="both"/>
        <w:rPr>
          <w:rFonts w:cs="Arial"/>
        </w:rPr>
      </w:pPr>
      <w:r w:rsidRPr="005A4F90">
        <w:rPr>
          <w:rFonts w:cs="Arial"/>
        </w:rPr>
        <w:t xml:space="preserve">providing the rationale for not requiring </w:t>
      </w:r>
      <w:r w:rsidR="00B849E7">
        <w:rPr>
          <w:rFonts w:cs="Arial"/>
        </w:rPr>
        <w:t>an LIDP</w:t>
      </w:r>
      <w:r w:rsidRPr="005A4F90">
        <w:rPr>
          <w:rFonts w:cs="Arial"/>
        </w:rPr>
        <w:t xml:space="preserve">, where one was recommended by </w:t>
      </w:r>
      <w:r w:rsidR="00485810">
        <w:rPr>
          <w:rFonts w:cs="Arial"/>
        </w:rPr>
        <w:t xml:space="preserve">the </w:t>
      </w:r>
      <w:r w:rsidRPr="005A4F90">
        <w:rPr>
          <w:rFonts w:cs="Arial"/>
        </w:rPr>
        <w:t>ICN</w:t>
      </w:r>
    </w:p>
    <w:p w14:paraId="544AD508" w14:textId="77777777" w:rsidR="00E55611" w:rsidRPr="005A4F90" w:rsidRDefault="00E55611" w:rsidP="005A4F90">
      <w:pPr>
        <w:numPr>
          <w:ilvl w:val="0"/>
          <w:numId w:val="5"/>
        </w:numPr>
        <w:spacing w:before="0" w:after="0"/>
        <w:ind w:hanging="357"/>
        <w:jc w:val="both"/>
        <w:rPr>
          <w:rFonts w:cs="Arial"/>
        </w:rPr>
      </w:pPr>
      <w:r w:rsidRPr="005A4F90">
        <w:rPr>
          <w:rFonts w:cs="Arial"/>
        </w:rPr>
        <w:t xml:space="preserve">outlining the LJF outcomes achieved over the financial year. </w:t>
      </w:r>
    </w:p>
    <w:p w14:paraId="55DB6C52" w14:textId="77777777" w:rsidR="00E55611" w:rsidRPr="002224C9" w:rsidRDefault="00E55611" w:rsidP="00E55611">
      <w:pPr>
        <w:pStyle w:val="ListParagraph"/>
        <w:ind w:left="1440"/>
        <w:jc w:val="both"/>
        <w:rPr>
          <w:rFonts w:asciiTheme="minorHAnsi" w:hAnsiTheme="minorHAnsi" w:cstheme="minorHAnsi"/>
          <w:sz w:val="18"/>
          <w:szCs w:val="18"/>
        </w:rPr>
      </w:pPr>
    </w:p>
    <w:p w14:paraId="5DD76C84" w14:textId="7107F40B" w:rsidR="00E55611" w:rsidRPr="00B81656" w:rsidRDefault="00E55611" w:rsidP="00B81656">
      <w:pPr>
        <w:numPr>
          <w:ilvl w:val="0"/>
          <w:numId w:val="28"/>
        </w:numPr>
        <w:spacing w:before="0"/>
        <w:jc w:val="both"/>
        <w:rPr>
          <w:rFonts w:cs="Arial"/>
        </w:rPr>
      </w:pPr>
      <w:r w:rsidRPr="00B81656">
        <w:rPr>
          <w:rFonts w:cs="Arial"/>
        </w:rPr>
        <w:t>This information is included in a consolidated Local Jobs First Annual Report that is tabled in Parliament by the Minister</w:t>
      </w:r>
      <w:r w:rsidR="00CC30E3" w:rsidRPr="00B81656">
        <w:rPr>
          <w:rFonts w:cs="Arial"/>
        </w:rPr>
        <w:t xml:space="preserve"> for Jobs, Innovation and Trade</w:t>
      </w:r>
      <w:r w:rsidRPr="00B81656">
        <w:rPr>
          <w:rFonts w:cs="Arial"/>
        </w:rPr>
        <w:t xml:space="preserve"> by 30 November each year.</w:t>
      </w:r>
    </w:p>
    <w:p w14:paraId="2C6ADEEB" w14:textId="785FC935" w:rsidR="00E55611" w:rsidRPr="00B81656" w:rsidRDefault="00E55611" w:rsidP="00B81656">
      <w:pPr>
        <w:numPr>
          <w:ilvl w:val="0"/>
          <w:numId w:val="28"/>
        </w:numPr>
        <w:spacing w:before="0"/>
        <w:jc w:val="both"/>
        <w:rPr>
          <w:rFonts w:cs="Arial"/>
        </w:rPr>
      </w:pPr>
      <w:r w:rsidRPr="00B81656">
        <w:rPr>
          <w:rFonts w:cs="Arial"/>
        </w:rPr>
        <w:t xml:space="preserve">Agencies must ensure contractors keep and maintain strong supporting evidence to demonstrate compliance with LIDP commitments. This includes proof and detail as to how local content percentages and job outcomes were calculated and providing relevant supply chain information to the agency and DJPR as requested. </w:t>
      </w:r>
    </w:p>
    <w:p w14:paraId="1AF6A47B" w14:textId="62D2FBCB" w:rsidR="00E55611" w:rsidRPr="00B81656" w:rsidRDefault="00F200A7" w:rsidP="00B81656">
      <w:pPr>
        <w:numPr>
          <w:ilvl w:val="0"/>
          <w:numId w:val="28"/>
        </w:numPr>
        <w:spacing w:before="0"/>
        <w:jc w:val="both"/>
        <w:rPr>
          <w:rFonts w:cs="Arial"/>
        </w:rPr>
      </w:pPr>
      <w:r w:rsidRPr="00B81656">
        <w:rPr>
          <w:rFonts w:cs="Arial"/>
        </w:rPr>
        <w:t>DJPR</w:t>
      </w:r>
      <w:r w:rsidR="00527253" w:rsidRPr="00B81656">
        <w:rPr>
          <w:rFonts w:cs="Arial"/>
        </w:rPr>
        <w:t xml:space="preserve"> </w:t>
      </w:r>
      <w:r w:rsidR="00E55611" w:rsidRPr="00B81656">
        <w:rPr>
          <w:rFonts w:cs="Arial"/>
        </w:rPr>
        <w:t xml:space="preserve">and the Local Jobs First Commissioner can request this information during and on completion of the project. </w:t>
      </w:r>
    </w:p>
    <w:p w14:paraId="0310C4A0" w14:textId="592A47F3" w:rsidR="00E55611" w:rsidRDefault="00E55611" w:rsidP="00B81656">
      <w:pPr>
        <w:numPr>
          <w:ilvl w:val="0"/>
          <w:numId w:val="28"/>
        </w:numPr>
        <w:spacing w:before="0"/>
        <w:jc w:val="both"/>
        <w:rPr>
          <w:rFonts w:cs="Arial"/>
        </w:rPr>
      </w:pPr>
      <w:r>
        <w:rPr>
          <w:rFonts w:cs="Arial"/>
        </w:rPr>
        <w:t>The Local Jobs First Commissioner has a role to play in reviewing reporting to improve the application of LJF by agencies and industry and undertake compliance activities as required.</w:t>
      </w:r>
    </w:p>
    <w:p w14:paraId="3553DB9C" w14:textId="3D712C40" w:rsidR="00E55611" w:rsidRPr="005118B4" w:rsidRDefault="003F59AA" w:rsidP="003F59AA">
      <w:pPr>
        <w:pStyle w:val="Heading1"/>
        <w:numPr>
          <w:ilvl w:val="0"/>
          <w:numId w:val="0"/>
        </w:numPr>
        <w:spacing w:before="240" w:after="240" w:line="276" w:lineRule="auto"/>
        <w:rPr>
          <w:sz w:val="24"/>
          <w:szCs w:val="24"/>
        </w:rPr>
      </w:pPr>
      <w:bookmarkStart w:id="62" w:name="_Toc31116366"/>
      <w:r w:rsidRPr="005118B4">
        <w:rPr>
          <w:sz w:val="24"/>
          <w:szCs w:val="24"/>
        </w:rPr>
        <w:t xml:space="preserve">12.2 </w:t>
      </w:r>
      <w:r w:rsidR="00E55611" w:rsidRPr="005118B4">
        <w:rPr>
          <w:sz w:val="24"/>
          <w:szCs w:val="24"/>
        </w:rPr>
        <w:t>Half yearly reporting</w:t>
      </w:r>
      <w:bookmarkEnd w:id="62"/>
    </w:p>
    <w:p w14:paraId="6D1CACF7" w14:textId="77777777" w:rsidR="00E55611" w:rsidRPr="005A5648" w:rsidRDefault="00E55611" w:rsidP="005A5648">
      <w:pPr>
        <w:numPr>
          <w:ilvl w:val="0"/>
          <w:numId w:val="28"/>
        </w:numPr>
        <w:spacing w:before="0"/>
        <w:jc w:val="both"/>
        <w:rPr>
          <w:rFonts w:cs="Arial"/>
        </w:rPr>
      </w:pPr>
      <w:r w:rsidRPr="005A5648">
        <w:rPr>
          <w:rFonts w:cs="Arial"/>
        </w:rPr>
        <w:t>LJF has mandatory reporting requirements for all projects worth $20 million or more:</w:t>
      </w:r>
    </w:p>
    <w:p w14:paraId="0024608B" w14:textId="39E2B983" w:rsidR="00E55611" w:rsidRPr="005A5648" w:rsidRDefault="00E55611" w:rsidP="005A5648">
      <w:pPr>
        <w:numPr>
          <w:ilvl w:val="0"/>
          <w:numId w:val="28"/>
        </w:numPr>
        <w:spacing w:before="0"/>
        <w:jc w:val="both"/>
        <w:rPr>
          <w:rFonts w:cs="Arial"/>
        </w:rPr>
      </w:pPr>
      <w:r w:rsidRPr="005A5648">
        <w:rPr>
          <w:rFonts w:cs="Arial"/>
        </w:rPr>
        <w:t>For the duration of the project, contractors are required to report every six months to the agency</w:t>
      </w:r>
      <w:r w:rsidR="00C55604" w:rsidRPr="005A5648">
        <w:rPr>
          <w:rFonts w:cs="Arial"/>
        </w:rPr>
        <w:t xml:space="preserve"> using the template provided by </w:t>
      </w:r>
      <w:r w:rsidR="001B13DB">
        <w:rPr>
          <w:rFonts w:cs="Arial"/>
        </w:rPr>
        <w:t>DJPR</w:t>
      </w:r>
      <w:r w:rsidR="00C55604" w:rsidRPr="005A5648">
        <w:rPr>
          <w:rFonts w:cs="Arial"/>
        </w:rPr>
        <w:t>.</w:t>
      </w:r>
      <w:r w:rsidRPr="005A5648">
        <w:rPr>
          <w:rFonts w:cs="Arial"/>
        </w:rPr>
        <w:t xml:space="preserve"> </w:t>
      </w:r>
    </w:p>
    <w:p w14:paraId="0E985BB0" w14:textId="43665BB9" w:rsidR="00E55611" w:rsidRPr="005A5648" w:rsidRDefault="00E55611" w:rsidP="005A5648">
      <w:pPr>
        <w:numPr>
          <w:ilvl w:val="0"/>
          <w:numId w:val="28"/>
        </w:numPr>
        <w:spacing w:before="0"/>
        <w:jc w:val="both"/>
        <w:rPr>
          <w:rFonts w:cs="Arial"/>
        </w:rPr>
      </w:pPr>
      <w:r w:rsidRPr="005A5648">
        <w:rPr>
          <w:rFonts w:cs="Arial"/>
        </w:rPr>
        <w:t xml:space="preserve">Once submitted, the reports are required to be forwarded on to </w:t>
      </w:r>
      <w:r w:rsidR="00E53845">
        <w:rPr>
          <w:rFonts w:cs="Arial"/>
        </w:rPr>
        <w:t xml:space="preserve">DJPR </w:t>
      </w:r>
      <w:r w:rsidRPr="005A5648">
        <w:rPr>
          <w:rFonts w:cs="Arial"/>
        </w:rPr>
        <w:t xml:space="preserve">for monitoring and compliance purposes. </w:t>
      </w:r>
    </w:p>
    <w:p w14:paraId="06022258" w14:textId="15CF00B7" w:rsidR="00E55611" w:rsidRPr="005A5648" w:rsidRDefault="00E55611" w:rsidP="005A5648">
      <w:pPr>
        <w:numPr>
          <w:ilvl w:val="0"/>
          <w:numId w:val="28"/>
        </w:numPr>
        <w:spacing w:before="0"/>
        <w:jc w:val="both"/>
        <w:rPr>
          <w:rFonts w:cs="Arial"/>
        </w:rPr>
      </w:pPr>
      <w:r w:rsidRPr="005A5648">
        <w:rPr>
          <w:rFonts w:cs="Arial"/>
        </w:rPr>
        <w:t xml:space="preserve">The six-monthly report is due to </w:t>
      </w:r>
      <w:r w:rsidR="002A597C">
        <w:rPr>
          <w:rFonts w:cs="Arial"/>
        </w:rPr>
        <w:t xml:space="preserve">DJPR </w:t>
      </w:r>
      <w:r w:rsidRPr="005A5648">
        <w:rPr>
          <w:rFonts w:cs="Arial"/>
        </w:rPr>
        <w:t xml:space="preserve">within 5 working days from the end of half year period, namely 30 September and 30 March. This is separate to the data for the annual report required close to the end of each financial year. </w:t>
      </w:r>
    </w:p>
    <w:p w14:paraId="1AEC3CAE" w14:textId="46171C27" w:rsidR="00E55611" w:rsidRPr="005A5648" w:rsidRDefault="00CC30E3" w:rsidP="005A5648">
      <w:pPr>
        <w:numPr>
          <w:ilvl w:val="0"/>
          <w:numId w:val="28"/>
        </w:numPr>
        <w:spacing w:before="0"/>
        <w:jc w:val="both"/>
        <w:rPr>
          <w:rFonts w:cs="Arial"/>
        </w:rPr>
      </w:pPr>
      <w:r w:rsidRPr="005A5648">
        <w:rPr>
          <w:rFonts w:cs="Arial"/>
        </w:rPr>
        <w:lastRenderedPageBreak/>
        <w:t>LJF</w:t>
      </w:r>
      <w:r w:rsidR="00E55611" w:rsidRPr="005A5648">
        <w:rPr>
          <w:rFonts w:cs="Arial"/>
        </w:rPr>
        <w:t xml:space="preserve"> has minimum data requirements which every project must collect and report on, this section outlines all data requirements.</w:t>
      </w:r>
    </w:p>
    <w:p w14:paraId="73E09969" w14:textId="077E3C02" w:rsidR="00E55611" w:rsidRPr="005A5648" w:rsidRDefault="00E55611" w:rsidP="005A5648">
      <w:pPr>
        <w:numPr>
          <w:ilvl w:val="0"/>
          <w:numId w:val="28"/>
        </w:numPr>
        <w:spacing w:before="0"/>
        <w:jc w:val="both"/>
        <w:rPr>
          <w:rFonts w:cs="Arial"/>
        </w:rPr>
      </w:pPr>
      <w:r w:rsidRPr="005A5648">
        <w:rPr>
          <w:rFonts w:cs="Arial"/>
        </w:rPr>
        <w:t>Once the project is awarded to a contractor</w:t>
      </w:r>
      <w:r w:rsidR="004F6BE4">
        <w:rPr>
          <w:rFonts w:cs="Arial"/>
        </w:rPr>
        <w:t xml:space="preserve">, DJPR </w:t>
      </w:r>
      <w:r w:rsidRPr="005A5648">
        <w:rPr>
          <w:rFonts w:cs="Arial"/>
        </w:rPr>
        <w:t>requires a copy of the LIDP.</w:t>
      </w:r>
    </w:p>
    <w:p w14:paraId="0A6A3806" w14:textId="415B7DC8" w:rsidR="00E55611" w:rsidRPr="00E31C02" w:rsidRDefault="00E55611" w:rsidP="005A5648">
      <w:pPr>
        <w:numPr>
          <w:ilvl w:val="0"/>
          <w:numId w:val="28"/>
        </w:numPr>
        <w:spacing w:before="0"/>
        <w:jc w:val="both"/>
        <w:rPr>
          <w:szCs w:val="18"/>
        </w:rPr>
      </w:pPr>
      <w:r w:rsidRPr="005A5648">
        <w:rPr>
          <w:rFonts w:cs="Arial"/>
        </w:rPr>
        <w:t xml:space="preserve">Once a project has </w:t>
      </w:r>
      <w:r w:rsidR="00CC30E3" w:rsidRPr="005A5648">
        <w:rPr>
          <w:rFonts w:cs="Arial"/>
        </w:rPr>
        <w:t>begun</w:t>
      </w:r>
      <w:r w:rsidR="007C35AF" w:rsidRPr="005A5648">
        <w:rPr>
          <w:rFonts w:cs="Arial"/>
        </w:rPr>
        <w:t>,</w:t>
      </w:r>
      <w:r w:rsidRPr="005A5648">
        <w:rPr>
          <w:rFonts w:cs="Arial"/>
        </w:rPr>
        <w:t xml:space="preserve"> the number of labour hours performed by apprentices, trainees and cadets are tracked against the contracted 10 per cent labour hours. The labour hour data must be collected for each individual apprentice, trainee and cadet throughout the duration of the project and reported six-</w:t>
      </w:r>
      <w:r>
        <w:rPr>
          <w:szCs w:val="18"/>
        </w:rPr>
        <w:t>monthly</w:t>
      </w:r>
      <w:r w:rsidRPr="00E31C02">
        <w:rPr>
          <w:szCs w:val="18"/>
        </w:rPr>
        <w:t xml:space="preserve">, at a minimum, to the </w:t>
      </w:r>
      <w:r w:rsidR="004B3D2E">
        <w:rPr>
          <w:szCs w:val="18"/>
        </w:rPr>
        <w:t>d</w:t>
      </w:r>
      <w:r w:rsidR="00747161">
        <w:rPr>
          <w:szCs w:val="18"/>
        </w:rPr>
        <w:t>elivery</w:t>
      </w:r>
      <w:r w:rsidR="007B279C">
        <w:rPr>
          <w:szCs w:val="18"/>
        </w:rPr>
        <w:t xml:space="preserve"> agency</w:t>
      </w:r>
      <w:r w:rsidRPr="00E31C02">
        <w:rPr>
          <w:szCs w:val="18"/>
        </w:rPr>
        <w:t>.</w:t>
      </w:r>
    </w:p>
    <w:p w14:paraId="51A5C0DA" w14:textId="36556295" w:rsidR="00E55611" w:rsidRPr="005118B4" w:rsidRDefault="003F59AA" w:rsidP="003F59AA">
      <w:pPr>
        <w:pStyle w:val="Heading1"/>
        <w:numPr>
          <w:ilvl w:val="0"/>
          <w:numId w:val="0"/>
        </w:numPr>
        <w:spacing w:before="240" w:after="240" w:line="276" w:lineRule="auto"/>
        <w:rPr>
          <w:sz w:val="24"/>
          <w:szCs w:val="24"/>
        </w:rPr>
      </w:pPr>
      <w:bookmarkStart w:id="63" w:name="_Toc31116367"/>
      <w:r w:rsidRPr="005118B4">
        <w:rPr>
          <w:sz w:val="24"/>
          <w:szCs w:val="24"/>
        </w:rPr>
        <w:t xml:space="preserve">12.3 </w:t>
      </w:r>
      <w:r w:rsidR="00E55611" w:rsidRPr="005118B4">
        <w:rPr>
          <w:sz w:val="24"/>
          <w:szCs w:val="24"/>
        </w:rPr>
        <w:t>Annual reporting</w:t>
      </w:r>
      <w:bookmarkEnd w:id="63"/>
      <w:r w:rsidR="00E55611" w:rsidRPr="005118B4">
        <w:rPr>
          <w:sz w:val="24"/>
          <w:szCs w:val="24"/>
        </w:rPr>
        <w:t xml:space="preserve"> </w:t>
      </w:r>
    </w:p>
    <w:p w14:paraId="5EE44AA7" w14:textId="217B014C" w:rsidR="00E55611" w:rsidRPr="001D0660" w:rsidRDefault="00E55611" w:rsidP="001D0660">
      <w:pPr>
        <w:numPr>
          <w:ilvl w:val="0"/>
          <w:numId w:val="28"/>
        </w:numPr>
        <w:spacing w:before="0"/>
        <w:jc w:val="both"/>
        <w:rPr>
          <w:rFonts w:cs="Arial"/>
        </w:rPr>
      </w:pPr>
      <w:r w:rsidRPr="001D0660">
        <w:rPr>
          <w:rFonts w:cs="Arial"/>
        </w:rPr>
        <w:t>The agency’s Local Jobs First Administrator must report annually on the LJF outcomes for the agency as a whole and submit this to the Minister</w:t>
      </w:r>
      <w:r w:rsidR="00CC30E3" w:rsidRPr="001D0660">
        <w:rPr>
          <w:rFonts w:cs="Arial"/>
        </w:rPr>
        <w:t xml:space="preserve"> for Jobs, Innovation and Trade</w:t>
      </w:r>
      <w:r w:rsidRPr="001D0660">
        <w:rPr>
          <w:rFonts w:cs="Arial"/>
        </w:rPr>
        <w:t xml:space="preserve"> </w:t>
      </w:r>
      <w:r w:rsidR="007C35AF" w:rsidRPr="001D0660">
        <w:rPr>
          <w:rFonts w:cs="Arial"/>
        </w:rPr>
        <w:t>to</w:t>
      </w:r>
      <w:r w:rsidR="005E64FB">
        <w:rPr>
          <w:rFonts w:cs="Arial"/>
        </w:rPr>
        <w:t xml:space="preserve"> DJPR.</w:t>
      </w:r>
    </w:p>
    <w:p w14:paraId="5B5E6BBD" w14:textId="2D331EB5" w:rsidR="00E55611" w:rsidRPr="001D0660" w:rsidRDefault="00E55611" w:rsidP="001D0660">
      <w:pPr>
        <w:numPr>
          <w:ilvl w:val="0"/>
          <w:numId w:val="28"/>
        </w:numPr>
        <w:spacing w:before="0"/>
        <w:jc w:val="both"/>
        <w:rPr>
          <w:rFonts w:cs="Arial"/>
        </w:rPr>
      </w:pPr>
      <w:r w:rsidRPr="001D0660">
        <w:rPr>
          <w:rFonts w:cs="Arial"/>
        </w:rPr>
        <w:t xml:space="preserve">The report from each agency must include information on projects </w:t>
      </w:r>
      <w:r w:rsidR="00CC30E3" w:rsidRPr="001D0660">
        <w:rPr>
          <w:rFonts w:cs="Arial"/>
        </w:rPr>
        <w:t xml:space="preserve">commenced </w:t>
      </w:r>
      <w:r w:rsidRPr="001D0660">
        <w:rPr>
          <w:rFonts w:cs="Arial"/>
        </w:rPr>
        <w:t xml:space="preserve">and projects completed during the </w:t>
      </w:r>
      <w:r w:rsidR="00CC30E3" w:rsidRPr="001D0660">
        <w:rPr>
          <w:rFonts w:cs="Arial"/>
        </w:rPr>
        <w:t xml:space="preserve">relevant </w:t>
      </w:r>
      <w:r w:rsidRPr="001D0660">
        <w:rPr>
          <w:rFonts w:cs="Arial"/>
        </w:rPr>
        <w:t>financial yea</w:t>
      </w:r>
      <w:r w:rsidR="00156515" w:rsidRPr="001D0660">
        <w:rPr>
          <w:rFonts w:cs="Arial"/>
        </w:rPr>
        <w:t>r</w:t>
      </w:r>
      <w:r w:rsidRPr="001D0660">
        <w:rPr>
          <w:rFonts w:cs="Arial"/>
        </w:rPr>
        <w:t>. Commencement reporting is done by reviewing the supplier’s contract which attaches the final agreed LIDP. Completion reporting is done by reviewing the final LIDP monitoring table required at the completion of the project to assess whether the supplier met its LJF commitments.</w:t>
      </w:r>
    </w:p>
    <w:p w14:paraId="50581BFC" w14:textId="6F91C2B4" w:rsidR="00E55611" w:rsidRPr="001D0660" w:rsidRDefault="00E55611" w:rsidP="001D0660">
      <w:pPr>
        <w:numPr>
          <w:ilvl w:val="0"/>
          <w:numId w:val="28"/>
        </w:numPr>
        <w:spacing w:before="0"/>
        <w:jc w:val="both"/>
        <w:rPr>
          <w:rFonts w:cs="Arial"/>
        </w:rPr>
      </w:pPr>
      <w:r w:rsidRPr="001D0660">
        <w:rPr>
          <w:rFonts w:cs="Arial"/>
        </w:rPr>
        <w:t xml:space="preserve">The Completion Report is due before or on practical completion of the project or final provision of goods and services. Once the report is submitted to the </w:t>
      </w:r>
      <w:r w:rsidR="00747161" w:rsidRPr="001D0660">
        <w:rPr>
          <w:rFonts w:cs="Arial"/>
        </w:rPr>
        <w:t>delivery</w:t>
      </w:r>
      <w:r w:rsidR="007B279C" w:rsidRPr="001D0660">
        <w:rPr>
          <w:rFonts w:cs="Arial"/>
        </w:rPr>
        <w:t xml:space="preserve"> agency</w:t>
      </w:r>
      <w:r w:rsidRPr="001D0660">
        <w:rPr>
          <w:rFonts w:cs="Arial"/>
        </w:rPr>
        <w:t xml:space="preserve"> the report must be forwarded on to </w:t>
      </w:r>
      <w:r w:rsidR="003D43A4">
        <w:rPr>
          <w:rFonts w:cs="Arial"/>
        </w:rPr>
        <w:t xml:space="preserve">DJPR </w:t>
      </w:r>
      <w:r w:rsidR="003D43A4" w:rsidRPr="001D0660">
        <w:rPr>
          <w:rFonts w:cs="Arial"/>
        </w:rPr>
        <w:t>for</w:t>
      </w:r>
      <w:r w:rsidRPr="001D0660">
        <w:rPr>
          <w:rFonts w:cs="Arial"/>
        </w:rPr>
        <w:t xml:space="preserve"> policy compliance purposes. </w:t>
      </w:r>
    </w:p>
    <w:p w14:paraId="0FD0DC24" w14:textId="32BE45CA" w:rsidR="00E55611" w:rsidRPr="00E55611" w:rsidRDefault="00E55611" w:rsidP="0002578D">
      <w:pPr>
        <w:spacing w:before="0" w:line="276" w:lineRule="auto"/>
        <w:rPr>
          <w:rFonts w:cs="Arial"/>
          <w:szCs w:val="18"/>
        </w:rPr>
      </w:pPr>
      <w:r w:rsidRPr="003E3110">
        <w:rPr>
          <w:rFonts w:asciiTheme="minorHAnsi" w:hAnsiTheme="minorHAnsi" w:cstheme="minorHAnsi"/>
          <w:noProof/>
          <w:szCs w:val="18"/>
        </w:rPr>
        <mc:AlternateContent>
          <mc:Choice Requires="wps">
            <w:drawing>
              <wp:inline distT="0" distB="0" distL="0" distR="0" wp14:anchorId="44761452" wp14:editId="00F661B7">
                <wp:extent cx="5731510" cy="1682750"/>
                <wp:effectExtent l="0" t="0" r="2159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82750"/>
                        </a:xfrm>
                        <a:prstGeom prst="rect">
                          <a:avLst/>
                        </a:prstGeom>
                        <a:solidFill>
                          <a:srgbClr val="FFFFFF"/>
                        </a:solidFill>
                        <a:ln w="9525">
                          <a:solidFill>
                            <a:srgbClr val="000000"/>
                          </a:solidFill>
                          <a:miter lim="800000"/>
                          <a:headEnd/>
                          <a:tailEnd/>
                        </a:ln>
                      </wps:spPr>
                      <wps:txbx>
                        <w:txbxContent>
                          <w:p w14:paraId="61098ECC" w14:textId="586D280C" w:rsidR="00DE4B66" w:rsidRDefault="00DE4B66" w:rsidP="00E55611">
                            <w:pPr>
                              <w:spacing w:before="0"/>
                              <w:jc w:val="center"/>
                              <w:rPr>
                                <w:rFonts w:cs="Arial"/>
                                <w:szCs w:val="18"/>
                              </w:rPr>
                            </w:pPr>
                            <w:r w:rsidRPr="00012198">
                              <w:rPr>
                                <w:rFonts w:cs="Arial"/>
                                <w:szCs w:val="18"/>
                              </w:rPr>
                              <w:t xml:space="preserve">An agency must determine </w:t>
                            </w:r>
                            <w:r>
                              <w:rPr>
                                <w:rFonts w:cs="Arial"/>
                                <w:szCs w:val="18"/>
                              </w:rPr>
                              <w:t>what</w:t>
                            </w:r>
                            <w:r w:rsidRPr="00012198">
                              <w:rPr>
                                <w:rFonts w:cs="Arial"/>
                                <w:szCs w:val="18"/>
                              </w:rPr>
                              <w:t xml:space="preserve"> consequences will apply if contractors do not deliver the local content and job outcomes committed to in their Local Industry Development </w:t>
                            </w:r>
                            <w:r w:rsidR="00583307" w:rsidRPr="00012198">
                              <w:rPr>
                                <w:rFonts w:cs="Arial"/>
                                <w:szCs w:val="18"/>
                              </w:rPr>
                              <w:t>Plan.</w:t>
                            </w:r>
                            <w:r w:rsidRPr="002224C9">
                              <w:rPr>
                                <w:rFonts w:cs="Arial"/>
                                <w:szCs w:val="18"/>
                              </w:rPr>
                              <w:t xml:space="preserve"> </w:t>
                            </w:r>
                          </w:p>
                          <w:p w14:paraId="46B8114F" w14:textId="77777777" w:rsidR="00DE4B66" w:rsidRDefault="00DE4B66" w:rsidP="00E55611">
                            <w:pPr>
                              <w:spacing w:before="0"/>
                              <w:jc w:val="center"/>
                              <w:rPr>
                                <w:rFonts w:cs="Arial"/>
                                <w:szCs w:val="18"/>
                              </w:rPr>
                            </w:pPr>
                            <w:r w:rsidRPr="002224C9">
                              <w:rPr>
                                <w:rFonts w:cs="Arial"/>
                                <w:szCs w:val="18"/>
                              </w:rPr>
                              <w:t xml:space="preserve">Agencies may choose to build into their contracts financial disincentives that apply if </w:t>
                            </w:r>
                            <w:r>
                              <w:rPr>
                                <w:rFonts w:cs="Arial"/>
                                <w:szCs w:val="18"/>
                              </w:rPr>
                              <w:t>Local Jobs First</w:t>
                            </w:r>
                            <w:r w:rsidRPr="002224C9">
                              <w:rPr>
                                <w:rFonts w:cs="Arial"/>
                                <w:szCs w:val="18"/>
                              </w:rPr>
                              <w:t xml:space="preserve"> obligations are not met</w:t>
                            </w:r>
                            <w:r>
                              <w:rPr>
                                <w:rFonts w:cs="Arial"/>
                                <w:szCs w:val="18"/>
                              </w:rPr>
                              <w:t>.</w:t>
                            </w:r>
                          </w:p>
                          <w:p w14:paraId="1E7CDE71" w14:textId="77777777" w:rsidR="00DE4B66" w:rsidRDefault="00DE4B66" w:rsidP="00E55611">
                            <w:pPr>
                              <w:spacing w:before="0"/>
                              <w:jc w:val="center"/>
                              <w:rPr>
                                <w:rFonts w:cs="Arial"/>
                                <w:szCs w:val="18"/>
                              </w:rPr>
                            </w:pPr>
                            <w:r w:rsidRPr="002224C9">
                              <w:rPr>
                                <w:rFonts w:cs="Arial"/>
                                <w:szCs w:val="18"/>
                              </w:rPr>
                              <w:t>Agencies</w:t>
                            </w:r>
                            <w:r>
                              <w:rPr>
                                <w:rFonts w:cs="Arial"/>
                                <w:szCs w:val="18"/>
                              </w:rPr>
                              <w:t xml:space="preserve"> and contractors</w:t>
                            </w:r>
                            <w:r w:rsidRPr="002224C9">
                              <w:rPr>
                                <w:rFonts w:cs="Arial"/>
                                <w:szCs w:val="18"/>
                              </w:rPr>
                              <w:t xml:space="preserve"> can be reported in the </w:t>
                            </w:r>
                            <w:r>
                              <w:rPr>
                                <w:rFonts w:cs="Arial"/>
                                <w:szCs w:val="18"/>
                              </w:rPr>
                              <w:t>Local Jobs First</w:t>
                            </w:r>
                            <w:r w:rsidRPr="002224C9">
                              <w:rPr>
                                <w:rFonts w:cs="Arial"/>
                                <w:szCs w:val="18"/>
                              </w:rPr>
                              <w:t xml:space="preserve"> Annual Report for serious contraventions in complying with </w:t>
                            </w:r>
                            <w:r>
                              <w:rPr>
                                <w:rFonts w:cs="Arial"/>
                                <w:szCs w:val="18"/>
                              </w:rPr>
                              <w:t>Local Jobs First</w:t>
                            </w:r>
                            <w:r w:rsidRPr="002224C9">
                              <w:rPr>
                                <w:rFonts w:cs="Arial"/>
                                <w:szCs w:val="18"/>
                              </w:rPr>
                              <w:t>.</w:t>
                            </w:r>
                          </w:p>
                          <w:p w14:paraId="376E4741" w14:textId="64052E35" w:rsidR="00DE4B66" w:rsidRPr="000E73C7" w:rsidRDefault="00DE4B66" w:rsidP="00E55611">
                            <w:pPr>
                              <w:spacing w:before="0"/>
                              <w:jc w:val="center"/>
                              <w:rPr>
                                <w:rFonts w:cs="Arial"/>
                                <w:szCs w:val="18"/>
                                <w:highlight w:val="yellow"/>
                              </w:rPr>
                            </w:pPr>
                            <w:r w:rsidRPr="00E31C02">
                              <w:rPr>
                                <w:rFonts w:cs="Arial"/>
                                <w:szCs w:val="18"/>
                              </w:rPr>
                              <w:t xml:space="preserve">The agency’s </w:t>
                            </w:r>
                            <w:r w:rsidRPr="00CF2939">
                              <w:rPr>
                                <w:rFonts w:cs="Arial"/>
                                <w:szCs w:val="18"/>
                              </w:rPr>
                              <w:t xml:space="preserve">Local Jobs First </w:t>
                            </w:r>
                            <w:r w:rsidRPr="00E31C02">
                              <w:rPr>
                                <w:rFonts w:cs="Arial"/>
                                <w:szCs w:val="18"/>
                              </w:rPr>
                              <w:t xml:space="preserve">Administrator must report </w:t>
                            </w:r>
                            <w:r>
                              <w:rPr>
                                <w:rFonts w:cs="Arial"/>
                                <w:szCs w:val="18"/>
                              </w:rPr>
                              <w:t xml:space="preserve">annually </w:t>
                            </w:r>
                            <w:r w:rsidRPr="00E31C02">
                              <w:rPr>
                                <w:rFonts w:cs="Arial"/>
                                <w:szCs w:val="18"/>
                              </w:rPr>
                              <w:t xml:space="preserve">on the </w:t>
                            </w:r>
                            <w:r w:rsidRPr="00CF2939">
                              <w:rPr>
                                <w:rFonts w:cs="Arial"/>
                                <w:szCs w:val="18"/>
                              </w:rPr>
                              <w:t xml:space="preserve">Local Jobs First </w:t>
                            </w:r>
                            <w:r w:rsidRPr="00E31C02">
                              <w:rPr>
                                <w:rFonts w:cs="Arial"/>
                                <w:szCs w:val="18"/>
                              </w:rPr>
                              <w:t>outcomes for the agency as a whole and submit this to the Minister</w:t>
                            </w:r>
                            <w:r>
                              <w:rPr>
                                <w:rFonts w:cs="Arial"/>
                                <w:szCs w:val="18"/>
                              </w:rPr>
                              <w:t xml:space="preserve"> for Jobs, Innovation and Trade</w:t>
                            </w:r>
                            <w:r w:rsidRPr="00E31C02">
                              <w:rPr>
                                <w:rFonts w:cs="Arial"/>
                                <w:szCs w:val="18"/>
                              </w:rPr>
                              <w:t xml:space="preserve"> through </w:t>
                            </w:r>
                            <w:r w:rsidR="00390DED">
                              <w:rPr>
                                <w:rFonts w:cs="Arial"/>
                                <w:szCs w:val="18"/>
                              </w:rPr>
                              <w:t>DJPR.</w:t>
                            </w:r>
                          </w:p>
                          <w:p w14:paraId="1CB056EA" w14:textId="77777777" w:rsidR="00DE4B66" w:rsidRPr="000E73C7" w:rsidRDefault="00DE4B66" w:rsidP="00E55611">
                            <w:pPr>
                              <w:jc w:val="center"/>
                              <w:rPr>
                                <w:b/>
                              </w:rPr>
                            </w:pPr>
                          </w:p>
                        </w:txbxContent>
                      </wps:txbx>
                      <wps:bodyPr rot="0" vert="horz" wrap="square" lIns="91440" tIns="45720" rIns="91440" bIns="45720" anchor="t" anchorCtr="0">
                        <a:noAutofit/>
                      </wps:bodyPr>
                    </wps:wsp>
                  </a:graphicData>
                </a:graphic>
              </wp:inline>
            </w:drawing>
          </mc:Choice>
          <mc:Fallback>
            <w:pict>
              <v:shape w14:anchorId="44761452" id="_x0000_s1035" type="#_x0000_t202" style="width:451.3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LwJwIAAEw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">
                <v:textbox>
                  <w:txbxContent>
                    <w:p w14:paraId="61098ECC" w14:textId="586D280C" w:rsidR="00DE4B66" w:rsidRDefault="00DE4B66" w:rsidP="00E55611">
                      <w:pPr>
                        <w:spacing w:before="0"/>
                        <w:jc w:val="center"/>
                        <w:rPr>
                          <w:rFonts w:cs="Arial"/>
                          <w:szCs w:val="18"/>
                        </w:rPr>
                      </w:pPr>
                      <w:r w:rsidRPr="00012198">
                        <w:rPr>
                          <w:rFonts w:cs="Arial"/>
                          <w:szCs w:val="18"/>
                        </w:rPr>
                        <w:t xml:space="preserve">An agency must determine </w:t>
                      </w:r>
                      <w:r>
                        <w:rPr>
                          <w:rFonts w:cs="Arial"/>
                          <w:szCs w:val="18"/>
                        </w:rPr>
                        <w:t>what</w:t>
                      </w:r>
                      <w:r w:rsidRPr="00012198">
                        <w:rPr>
                          <w:rFonts w:cs="Arial"/>
                          <w:szCs w:val="18"/>
                        </w:rPr>
                        <w:t xml:space="preserve"> consequences will apply if contractors do not deliver the local content and job outcomes committed to in their Local Industry Development </w:t>
                      </w:r>
                      <w:r w:rsidR="00583307" w:rsidRPr="00012198">
                        <w:rPr>
                          <w:rFonts w:cs="Arial"/>
                          <w:szCs w:val="18"/>
                        </w:rPr>
                        <w:t>Plan.</w:t>
                      </w:r>
                      <w:r w:rsidRPr="002224C9">
                        <w:rPr>
                          <w:rFonts w:cs="Arial"/>
                          <w:szCs w:val="18"/>
                        </w:rPr>
                        <w:t xml:space="preserve"> </w:t>
                      </w:r>
                    </w:p>
                    <w:p w14:paraId="46B8114F" w14:textId="77777777" w:rsidR="00DE4B66" w:rsidRDefault="00DE4B66" w:rsidP="00E55611">
                      <w:pPr>
                        <w:spacing w:before="0"/>
                        <w:jc w:val="center"/>
                        <w:rPr>
                          <w:rFonts w:cs="Arial"/>
                          <w:szCs w:val="18"/>
                        </w:rPr>
                      </w:pPr>
                      <w:r w:rsidRPr="002224C9">
                        <w:rPr>
                          <w:rFonts w:cs="Arial"/>
                          <w:szCs w:val="18"/>
                        </w:rPr>
                        <w:t xml:space="preserve">Agencies may choose to build into their contracts financial disincentives that apply if </w:t>
                      </w:r>
                      <w:r>
                        <w:rPr>
                          <w:rFonts w:cs="Arial"/>
                          <w:szCs w:val="18"/>
                        </w:rPr>
                        <w:t>Local Jobs First</w:t>
                      </w:r>
                      <w:r w:rsidRPr="002224C9">
                        <w:rPr>
                          <w:rFonts w:cs="Arial"/>
                          <w:szCs w:val="18"/>
                        </w:rPr>
                        <w:t xml:space="preserve"> obligations are not met</w:t>
                      </w:r>
                      <w:r>
                        <w:rPr>
                          <w:rFonts w:cs="Arial"/>
                          <w:szCs w:val="18"/>
                        </w:rPr>
                        <w:t>.</w:t>
                      </w:r>
                    </w:p>
                    <w:p w14:paraId="1E7CDE71" w14:textId="77777777" w:rsidR="00DE4B66" w:rsidRDefault="00DE4B66" w:rsidP="00E55611">
                      <w:pPr>
                        <w:spacing w:before="0"/>
                        <w:jc w:val="center"/>
                        <w:rPr>
                          <w:rFonts w:cs="Arial"/>
                          <w:szCs w:val="18"/>
                        </w:rPr>
                      </w:pPr>
                      <w:r w:rsidRPr="002224C9">
                        <w:rPr>
                          <w:rFonts w:cs="Arial"/>
                          <w:szCs w:val="18"/>
                        </w:rPr>
                        <w:t>Agencies</w:t>
                      </w:r>
                      <w:r>
                        <w:rPr>
                          <w:rFonts w:cs="Arial"/>
                          <w:szCs w:val="18"/>
                        </w:rPr>
                        <w:t xml:space="preserve"> and contractors</w:t>
                      </w:r>
                      <w:r w:rsidRPr="002224C9">
                        <w:rPr>
                          <w:rFonts w:cs="Arial"/>
                          <w:szCs w:val="18"/>
                        </w:rPr>
                        <w:t xml:space="preserve"> can be reported in the </w:t>
                      </w:r>
                      <w:r>
                        <w:rPr>
                          <w:rFonts w:cs="Arial"/>
                          <w:szCs w:val="18"/>
                        </w:rPr>
                        <w:t>Local Jobs First</w:t>
                      </w:r>
                      <w:r w:rsidRPr="002224C9">
                        <w:rPr>
                          <w:rFonts w:cs="Arial"/>
                          <w:szCs w:val="18"/>
                        </w:rPr>
                        <w:t xml:space="preserve"> Annual Report for serious contraventions in complying with </w:t>
                      </w:r>
                      <w:r>
                        <w:rPr>
                          <w:rFonts w:cs="Arial"/>
                          <w:szCs w:val="18"/>
                        </w:rPr>
                        <w:t>Local Jobs First</w:t>
                      </w:r>
                      <w:r w:rsidRPr="002224C9">
                        <w:rPr>
                          <w:rFonts w:cs="Arial"/>
                          <w:szCs w:val="18"/>
                        </w:rPr>
                        <w:t>.</w:t>
                      </w:r>
                    </w:p>
                    <w:p w14:paraId="376E4741" w14:textId="64052E35" w:rsidR="00DE4B66" w:rsidRPr="000E73C7" w:rsidRDefault="00DE4B66" w:rsidP="00E55611">
                      <w:pPr>
                        <w:spacing w:before="0"/>
                        <w:jc w:val="center"/>
                        <w:rPr>
                          <w:rFonts w:cs="Arial"/>
                          <w:szCs w:val="18"/>
                          <w:highlight w:val="yellow"/>
                        </w:rPr>
                      </w:pPr>
                      <w:r w:rsidRPr="00E31C02">
                        <w:rPr>
                          <w:rFonts w:cs="Arial"/>
                          <w:szCs w:val="18"/>
                        </w:rPr>
                        <w:t xml:space="preserve">The agency’s </w:t>
                      </w:r>
                      <w:r w:rsidRPr="00CF2939">
                        <w:rPr>
                          <w:rFonts w:cs="Arial"/>
                          <w:szCs w:val="18"/>
                        </w:rPr>
                        <w:t xml:space="preserve">Local Jobs First </w:t>
                      </w:r>
                      <w:r w:rsidRPr="00E31C02">
                        <w:rPr>
                          <w:rFonts w:cs="Arial"/>
                          <w:szCs w:val="18"/>
                        </w:rPr>
                        <w:t xml:space="preserve">Administrator must report </w:t>
                      </w:r>
                      <w:r>
                        <w:rPr>
                          <w:rFonts w:cs="Arial"/>
                          <w:szCs w:val="18"/>
                        </w:rPr>
                        <w:t xml:space="preserve">annually </w:t>
                      </w:r>
                      <w:r w:rsidRPr="00E31C02">
                        <w:rPr>
                          <w:rFonts w:cs="Arial"/>
                          <w:szCs w:val="18"/>
                        </w:rPr>
                        <w:t xml:space="preserve">on the </w:t>
                      </w:r>
                      <w:r w:rsidRPr="00CF2939">
                        <w:rPr>
                          <w:rFonts w:cs="Arial"/>
                          <w:szCs w:val="18"/>
                        </w:rPr>
                        <w:t xml:space="preserve">Local Jobs First </w:t>
                      </w:r>
                      <w:r w:rsidRPr="00E31C02">
                        <w:rPr>
                          <w:rFonts w:cs="Arial"/>
                          <w:szCs w:val="18"/>
                        </w:rPr>
                        <w:t>outcomes for the agency as a whole and submit this to the Minister</w:t>
                      </w:r>
                      <w:r>
                        <w:rPr>
                          <w:rFonts w:cs="Arial"/>
                          <w:szCs w:val="18"/>
                        </w:rPr>
                        <w:t xml:space="preserve"> for Jobs, Innovation and Trade</w:t>
                      </w:r>
                      <w:r w:rsidRPr="00E31C02">
                        <w:rPr>
                          <w:rFonts w:cs="Arial"/>
                          <w:szCs w:val="18"/>
                        </w:rPr>
                        <w:t xml:space="preserve"> through </w:t>
                      </w:r>
                      <w:r w:rsidR="00390DED">
                        <w:rPr>
                          <w:rFonts w:cs="Arial"/>
                          <w:szCs w:val="18"/>
                        </w:rPr>
                        <w:t>DJPR.</w:t>
                      </w:r>
                    </w:p>
                    <w:p w14:paraId="1CB056EA" w14:textId="77777777" w:rsidR="00DE4B66" w:rsidRPr="000E73C7" w:rsidRDefault="00DE4B66" w:rsidP="00E55611">
                      <w:pPr>
                        <w:jc w:val="center"/>
                        <w:rPr>
                          <w:b/>
                        </w:rPr>
                      </w:pPr>
                    </w:p>
                  </w:txbxContent>
                </v:textbox>
                <w10:anchorlock/>
              </v:shape>
            </w:pict>
          </mc:Fallback>
        </mc:AlternateContent>
      </w:r>
    </w:p>
    <w:p w14:paraId="2289B59A" w14:textId="1FBAD233" w:rsidR="00351206" w:rsidRDefault="00E21447" w:rsidP="000B3A9C">
      <w:pPr>
        <w:pStyle w:val="Heading1"/>
        <w:spacing w:before="240" w:after="240" w:line="276" w:lineRule="auto"/>
        <w:ind w:left="431" w:hanging="431"/>
      </w:pPr>
      <w:bookmarkStart w:id="64" w:name="_Toc31116368"/>
      <w:bookmarkStart w:id="65" w:name="_Hlk524336272"/>
      <w:bookmarkEnd w:id="58"/>
      <w:r>
        <w:t xml:space="preserve"> </w:t>
      </w:r>
      <w:r w:rsidR="00351206">
        <w:t>Completing a project</w:t>
      </w:r>
      <w:bookmarkEnd w:id="64"/>
      <w:r w:rsidR="00351206">
        <w:t xml:space="preserve"> </w:t>
      </w:r>
    </w:p>
    <w:p w14:paraId="1BA85A6D" w14:textId="761E2D32" w:rsidR="004A7CA3" w:rsidRPr="00012198" w:rsidRDefault="004A7CA3" w:rsidP="00671ADE">
      <w:pPr>
        <w:numPr>
          <w:ilvl w:val="0"/>
          <w:numId w:val="29"/>
        </w:numPr>
        <w:spacing w:before="0"/>
        <w:jc w:val="both"/>
        <w:rPr>
          <w:rFonts w:cs="Arial"/>
          <w:szCs w:val="18"/>
        </w:rPr>
      </w:pPr>
      <w:bookmarkStart w:id="66" w:name="_Hlk526959101"/>
      <w:r w:rsidRPr="00012198">
        <w:rPr>
          <w:rFonts w:cs="Arial"/>
          <w:szCs w:val="18"/>
        </w:rPr>
        <w:t xml:space="preserve">End of </w:t>
      </w:r>
      <w:r w:rsidR="00351206" w:rsidRPr="00012198">
        <w:rPr>
          <w:rFonts w:cs="Arial"/>
          <w:szCs w:val="18"/>
        </w:rPr>
        <w:t xml:space="preserve">contract verification </w:t>
      </w:r>
      <w:r w:rsidRPr="00012198">
        <w:rPr>
          <w:rFonts w:cs="Arial"/>
          <w:szCs w:val="18"/>
        </w:rPr>
        <w:t xml:space="preserve">must </w:t>
      </w:r>
      <w:r w:rsidR="003426D6" w:rsidRPr="00012198">
        <w:rPr>
          <w:rFonts w:cs="Arial"/>
          <w:szCs w:val="18"/>
        </w:rPr>
        <w:t>occur</w:t>
      </w:r>
      <w:r w:rsidRPr="00012198">
        <w:rPr>
          <w:rFonts w:cs="Arial"/>
          <w:szCs w:val="18"/>
        </w:rPr>
        <w:t xml:space="preserve"> </w:t>
      </w:r>
      <w:r w:rsidR="006F588D">
        <w:rPr>
          <w:rFonts w:cs="Arial"/>
          <w:szCs w:val="18"/>
        </w:rPr>
        <w:t>before</w:t>
      </w:r>
      <w:r w:rsidR="003426D6" w:rsidRPr="00012198">
        <w:rPr>
          <w:rFonts w:cs="Arial"/>
          <w:szCs w:val="18"/>
        </w:rPr>
        <w:t xml:space="preserve"> or </w:t>
      </w:r>
      <w:r w:rsidRPr="00012198">
        <w:rPr>
          <w:rFonts w:cs="Arial"/>
          <w:szCs w:val="18"/>
        </w:rPr>
        <w:t xml:space="preserve">at </w:t>
      </w:r>
      <w:r w:rsidR="00351206" w:rsidRPr="00012198">
        <w:rPr>
          <w:rFonts w:cs="Arial"/>
          <w:szCs w:val="18"/>
        </w:rPr>
        <w:t>practical completion of the project</w:t>
      </w:r>
      <w:r w:rsidRPr="00012198">
        <w:rPr>
          <w:rFonts w:cs="Arial"/>
          <w:szCs w:val="18"/>
        </w:rPr>
        <w:t xml:space="preserve"> and/or delivery of the goods or services</w:t>
      </w:r>
      <w:bookmarkEnd w:id="66"/>
      <w:r w:rsidR="003426D6" w:rsidRPr="00012198">
        <w:rPr>
          <w:rFonts w:cs="Arial"/>
          <w:szCs w:val="18"/>
        </w:rPr>
        <w:t>.</w:t>
      </w:r>
    </w:p>
    <w:p w14:paraId="24A1B96D" w14:textId="7EB8D93C" w:rsidR="00351206" w:rsidRPr="00E31C02" w:rsidRDefault="00351206" w:rsidP="00671ADE">
      <w:pPr>
        <w:numPr>
          <w:ilvl w:val="0"/>
          <w:numId w:val="29"/>
        </w:numPr>
        <w:spacing w:before="0"/>
        <w:jc w:val="both"/>
        <w:rPr>
          <w:rFonts w:cs="Arial"/>
          <w:szCs w:val="18"/>
        </w:rPr>
      </w:pPr>
      <w:r w:rsidRPr="00E31C02">
        <w:rPr>
          <w:rFonts w:cs="Arial"/>
          <w:szCs w:val="18"/>
        </w:rPr>
        <w:t>The purpose of verification</w:t>
      </w:r>
      <w:r w:rsidR="007C78A3">
        <w:rPr>
          <w:rFonts w:cs="Arial"/>
          <w:szCs w:val="18"/>
        </w:rPr>
        <w:t xml:space="preserve"> at project completion</w:t>
      </w:r>
      <w:r w:rsidRPr="00E31C02">
        <w:rPr>
          <w:rFonts w:cs="Arial"/>
          <w:szCs w:val="18"/>
        </w:rPr>
        <w:t xml:space="preserve"> is to </w:t>
      </w:r>
      <w:r w:rsidR="007400EE">
        <w:rPr>
          <w:rFonts w:cs="Arial"/>
          <w:szCs w:val="18"/>
        </w:rPr>
        <w:t xml:space="preserve">confirm </w:t>
      </w:r>
      <w:r w:rsidR="00F7265D">
        <w:rPr>
          <w:rFonts w:cs="Arial"/>
          <w:szCs w:val="18"/>
        </w:rPr>
        <w:t>LJF</w:t>
      </w:r>
      <w:r w:rsidR="002224C9" w:rsidRPr="002224C9">
        <w:rPr>
          <w:rFonts w:cs="Arial"/>
          <w:szCs w:val="18"/>
        </w:rPr>
        <w:t xml:space="preserve"> </w:t>
      </w:r>
      <w:r w:rsidRPr="00E31C02">
        <w:rPr>
          <w:rFonts w:cs="Arial"/>
          <w:szCs w:val="18"/>
        </w:rPr>
        <w:t xml:space="preserve">outcomes that have been achieved through the project. The outcomes achieved are compared to those expected </w:t>
      </w:r>
      <w:r w:rsidR="004A7CA3">
        <w:rPr>
          <w:rFonts w:cs="Arial"/>
          <w:szCs w:val="18"/>
        </w:rPr>
        <w:t xml:space="preserve">under the contract, </w:t>
      </w:r>
      <w:r w:rsidRPr="00E31C02">
        <w:rPr>
          <w:rFonts w:cs="Arial"/>
          <w:szCs w:val="18"/>
        </w:rPr>
        <w:t xml:space="preserve">in the LIDP </w:t>
      </w:r>
      <w:r w:rsidR="004A7CA3">
        <w:rPr>
          <w:rFonts w:cs="Arial"/>
          <w:szCs w:val="18"/>
        </w:rPr>
        <w:t xml:space="preserve">or other related </w:t>
      </w:r>
      <w:r w:rsidR="00DB6D46">
        <w:rPr>
          <w:rFonts w:cs="Arial"/>
          <w:szCs w:val="18"/>
        </w:rPr>
        <w:t>documents</w:t>
      </w:r>
      <w:r w:rsidRPr="00E31C02">
        <w:rPr>
          <w:rFonts w:cs="Arial"/>
          <w:szCs w:val="18"/>
        </w:rPr>
        <w:t xml:space="preserve">. </w:t>
      </w:r>
    </w:p>
    <w:bookmarkEnd w:id="65"/>
    <w:p w14:paraId="6B535C6B" w14:textId="11C749DE" w:rsidR="00351206" w:rsidRDefault="00351206" w:rsidP="00671ADE">
      <w:pPr>
        <w:numPr>
          <w:ilvl w:val="0"/>
          <w:numId w:val="29"/>
        </w:numPr>
        <w:spacing w:before="0"/>
        <w:jc w:val="both"/>
        <w:rPr>
          <w:rFonts w:cs="Arial"/>
          <w:szCs w:val="18"/>
        </w:rPr>
      </w:pPr>
      <w:r w:rsidRPr="00E31C02">
        <w:rPr>
          <w:rFonts w:cs="Arial"/>
          <w:szCs w:val="18"/>
        </w:rPr>
        <w:t xml:space="preserve">Preparing </w:t>
      </w:r>
      <w:r w:rsidR="00F7265D">
        <w:rPr>
          <w:rFonts w:cs="Arial"/>
          <w:szCs w:val="18"/>
        </w:rPr>
        <w:t>LJF</w:t>
      </w:r>
      <w:r w:rsidR="002224C9" w:rsidRPr="002224C9">
        <w:rPr>
          <w:rFonts w:cs="Arial"/>
          <w:szCs w:val="18"/>
        </w:rPr>
        <w:t xml:space="preserve"> </w:t>
      </w:r>
      <w:r w:rsidR="004A7CA3">
        <w:rPr>
          <w:rFonts w:cs="Arial"/>
          <w:szCs w:val="18"/>
        </w:rPr>
        <w:t xml:space="preserve">project completion </w:t>
      </w:r>
      <w:r w:rsidRPr="00E31C02">
        <w:rPr>
          <w:rFonts w:cs="Arial"/>
          <w:szCs w:val="18"/>
        </w:rPr>
        <w:t xml:space="preserve">verification </w:t>
      </w:r>
      <w:r w:rsidR="00DB6D46">
        <w:rPr>
          <w:rFonts w:cs="Arial"/>
          <w:szCs w:val="18"/>
        </w:rPr>
        <w:t>documents</w:t>
      </w:r>
      <w:r w:rsidRPr="00E31C02">
        <w:rPr>
          <w:rFonts w:cs="Arial"/>
          <w:szCs w:val="18"/>
        </w:rPr>
        <w:t xml:space="preserve"> may occur </w:t>
      </w:r>
      <w:r w:rsidR="006F588D">
        <w:rPr>
          <w:rFonts w:cs="Arial"/>
          <w:szCs w:val="18"/>
        </w:rPr>
        <w:t>before</w:t>
      </w:r>
      <w:r w:rsidRPr="00E31C02">
        <w:rPr>
          <w:rFonts w:cs="Arial"/>
          <w:szCs w:val="18"/>
        </w:rPr>
        <w:t xml:space="preserve"> finalising further administrative or regulatory processes that may need to be followed. </w:t>
      </w:r>
    </w:p>
    <w:p w14:paraId="780D5C32" w14:textId="256971BD" w:rsidR="004A7CA3" w:rsidRPr="00E31C02" w:rsidRDefault="004A7CA3" w:rsidP="00671ADE">
      <w:pPr>
        <w:numPr>
          <w:ilvl w:val="0"/>
          <w:numId w:val="29"/>
        </w:numPr>
        <w:spacing w:before="0"/>
        <w:jc w:val="both"/>
        <w:rPr>
          <w:rFonts w:cs="Arial"/>
          <w:szCs w:val="18"/>
        </w:rPr>
      </w:pPr>
      <w:r>
        <w:rPr>
          <w:rFonts w:cs="Arial"/>
          <w:szCs w:val="18"/>
        </w:rPr>
        <w:t xml:space="preserve">Failure to complete the verification </w:t>
      </w:r>
      <w:r w:rsidR="00DB6D46">
        <w:rPr>
          <w:rFonts w:cs="Arial"/>
          <w:szCs w:val="18"/>
        </w:rPr>
        <w:t>documents</w:t>
      </w:r>
      <w:r>
        <w:rPr>
          <w:rFonts w:cs="Arial"/>
          <w:szCs w:val="18"/>
        </w:rPr>
        <w:t xml:space="preserve"> will deem the project to be non-compliant with the LJF.</w:t>
      </w:r>
    </w:p>
    <w:p w14:paraId="3396D696" w14:textId="593D19F4" w:rsidR="00351206" w:rsidRPr="00E31C02" w:rsidRDefault="004A7CA3" w:rsidP="00671ADE">
      <w:pPr>
        <w:numPr>
          <w:ilvl w:val="0"/>
          <w:numId w:val="29"/>
        </w:numPr>
        <w:spacing w:before="0"/>
        <w:jc w:val="both"/>
        <w:rPr>
          <w:rFonts w:cs="Arial"/>
          <w:szCs w:val="18"/>
        </w:rPr>
      </w:pPr>
      <w:bookmarkStart w:id="67" w:name="_Hlk526963845"/>
      <w:r>
        <w:rPr>
          <w:rFonts w:cs="Arial"/>
          <w:szCs w:val="18"/>
        </w:rPr>
        <w:t>T</w:t>
      </w:r>
      <w:r w:rsidR="00351206" w:rsidRPr="00E31C02">
        <w:rPr>
          <w:rFonts w:cs="Arial"/>
          <w:szCs w:val="18"/>
        </w:rPr>
        <w:t xml:space="preserve">he </w:t>
      </w:r>
      <w:r w:rsidR="00B10F82">
        <w:rPr>
          <w:rFonts w:cs="Arial"/>
          <w:szCs w:val="18"/>
        </w:rPr>
        <w:t xml:space="preserve">agency </w:t>
      </w:r>
      <w:r w:rsidR="00351206" w:rsidRPr="00E31C02">
        <w:rPr>
          <w:rFonts w:cs="Arial"/>
          <w:szCs w:val="18"/>
        </w:rPr>
        <w:t>contract manager must request the supplier to submit the following information</w:t>
      </w:r>
      <w:r w:rsidR="007400EE">
        <w:rPr>
          <w:rFonts w:cs="Arial"/>
          <w:szCs w:val="18"/>
        </w:rPr>
        <w:t xml:space="preserve">, </w:t>
      </w:r>
      <w:r w:rsidR="006F588D">
        <w:rPr>
          <w:rFonts w:cs="Arial"/>
          <w:szCs w:val="18"/>
        </w:rPr>
        <w:t>before</w:t>
      </w:r>
      <w:r w:rsidR="007400EE">
        <w:rPr>
          <w:rFonts w:cs="Arial"/>
          <w:szCs w:val="18"/>
        </w:rPr>
        <w:t xml:space="preserve"> practical completion</w:t>
      </w:r>
      <w:r>
        <w:rPr>
          <w:rFonts w:cs="Arial"/>
          <w:szCs w:val="18"/>
        </w:rPr>
        <w:t xml:space="preserve"> of a construction project, or final delivery of a goods and services project</w:t>
      </w:r>
      <w:r w:rsidR="00351206" w:rsidRPr="00E31C02">
        <w:rPr>
          <w:rFonts w:cs="Arial"/>
          <w:szCs w:val="18"/>
        </w:rPr>
        <w:t xml:space="preserve">: </w:t>
      </w:r>
    </w:p>
    <w:bookmarkEnd w:id="67"/>
    <w:p w14:paraId="3CB30C0A" w14:textId="1AD0D597" w:rsidR="00351206" w:rsidRPr="00E21447" w:rsidRDefault="00FC2579" w:rsidP="00E21447">
      <w:pPr>
        <w:numPr>
          <w:ilvl w:val="0"/>
          <w:numId w:val="5"/>
        </w:numPr>
        <w:spacing w:before="0" w:after="0"/>
        <w:ind w:hanging="357"/>
        <w:jc w:val="both"/>
        <w:rPr>
          <w:rFonts w:cs="Arial"/>
        </w:rPr>
      </w:pPr>
      <w:r>
        <w:rPr>
          <w:rFonts w:cs="Arial"/>
        </w:rPr>
        <w:t>A</w:t>
      </w:r>
      <w:r w:rsidR="00351206" w:rsidRPr="00E21447">
        <w:rPr>
          <w:rFonts w:cs="Arial"/>
        </w:rPr>
        <w:t xml:space="preserve"> completed </w:t>
      </w:r>
      <w:r w:rsidR="00562C46" w:rsidRPr="00E21447">
        <w:rPr>
          <w:rFonts w:cs="Arial"/>
        </w:rPr>
        <w:t>LJF</w:t>
      </w:r>
      <w:r w:rsidR="002224C9" w:rsidRPr="00E21447">
        <w:rPr>
          <w:rFonts w:cs="Arial"/>
        </w:rPr>
        <w:t xml:space="preserve"> </w:t>
      </w:r>
      <w:r w:rsidR="00351206" w:rsidRPr="00E21447">
        <w:rPr>
          <w:rFonts w:cs="Arial"/>
        </w:rPr>
        <w:t>monitoring table</w:t>
      </w:r>
      <w:r w:rsidR="00972EB5" w:rsidRPr="00E21447">
        <w:rPr>
          <w:rFonts w:cs="Arial"/>
        </w:rPr>
        <w:t xml:space="preserve"> </w:t>
      </w:r>
      <w:r w:rsidR="00C43C8C" w:rsidRPr="00E21447">
        <w:rPr>
          <w:rFonts w:cs="Arial"/>
        </w:rPr>
        <w:t xml:space="preserve">– identifying LIDP commitments and actual </w:t>
      </w:r>
      <w:r w:rsidR="000E73C7" w:rsidRPr="00E21447">
        <w:rPr>
          <w:rFonts w:cs="Arial"/>
        </w:rPr>
        <w:t>achievements (</w:t>
      </w:r>
      <w:r w:rsidR="00351206" w:rsidRPr="00E21447">
        <w:rPr>
          <w:rFonts w:cs="Arial"/>
        </w:rPr>
        <w:t xml:space="preserve">Appendix </w:t>
      </w:r>
      <w:r w:rsidR="00E9538F" w:rsidRPr="00E21447">
        <w:rPr>
          <w:rFonts w:cs="Arial"/>
        </w:rPr>
        <w:t>2</w:t>
      </w:r>
      <w:r w:rsidR="00C43C8C" w:rsidRPr="00E21447">
        <w:rPr>
          <w:rFonts w:cs="Arial"/>
        </w:rPr>
        <w:t>)</w:t>
      </w:r>
      <w:r w:rsidR="007D23B6" w:rsidRPr="00E21447">
        <w:rPr>
          <w:rFonts w:cs="Arial"/>
        </w:rPr>
        <w:t>.</w:t>
      </w:r>
      <w:r w:rsidR="00351206" w:rsidRPr="00E21447">
        <w:rPr>
          <w:rFonts w:cs="Arial"/>
        </w:rPr>
        <w:t xml:space="preserve"> </w:t>
      </w:r>
    </w:p>
    <w:p w14:paraId="3BE1A36A" w14:textId="5D31BD72" w:rsidR="00351206" w:rsidRPr="00E21447" w:rsidRDefault="00FC2579" w:rsidP="00E21447">
      <w:pPr>
        <w:numPr>
          <w:ilvl w:val="0"/>
          <w:numId w:val="5"/>
        </w:numPr>
        <w:spacing w:before="0" w:after="0"/>
        <w:ind w:hanging="357"/>
        <w:jc w:val="both"/>
        <w:rPr>
          <w:rFonts w:cs="Arial"/>
        </w:rPr>
      </w:pPr>
      <w:r>
        <w:rPr>
          <w:rFonts w:cs="Arial"/>
        </w:rPr>
        <w:t>A</w:t>
      </w:r>
      <w:r w:rsidR="00351206" w:rsidRPr="00E21447">
        <w:rPr>
          <w:rFonts w:cs="Arial"/>
        </w:rPr>
        <w:t xml:space="preserve"> statutory declaration </w:t>
      </w:r>
      <w:r w:rsidR="009040FF" w:rsidRPr="00E21447">
        <w:rPr>
          <w:rFonts w:cs="Arial"/>
        </w:rPr>
        <w:t>(</w:t>
      </w:r>
      <w:r w:rsidR="005E0807" w:rsidRPr="00E21447">
        <w:rPr>
          <w:rFonts w:cs="Arial"/>
        </w:rPr>
        <w:t xml:space="preserve">available on the Local Jobs First website, </w:t>
      </w:r>
      <w:hyperlink r:id="rId26" w:history="1">
        <w:r w:rsidR="00E21447" w:rsidRPr="007A6458">
          <w:rPr>
            <w:rStyle w:val="Hyperlink"/>
            <w:rFonts w:cs="Arial"/>
          </w:rPr>
          <w:t>www.localjobsfirst.vic.gov.au/key-documents</w:t>
        </w:r>
      </w:hyperlink>
      <w:r w:rsidR="009040FF" w:rsidRPr="00E21447">
        <w:rPr>
          <w:rFonts w:cs="Arial"/>
        </w:rPr>
        <w:t>)</w:t>
      </w:r>
      <w:r w:rsidR="00972EB5" w:rsidRPr="00E21447">
        <w:rPr>
          <w:rFonts w:cs="Arial"/>
        </w:rPr>
        <w:t xml:space="preserve"> </w:t>
      </w:r>
      <w:r w:rsidR="00351206" w:rsidRPr="00E21447">
        <w:rPr>
          <w:rFonts w:cs="Arial"/>
        </w:rPr>
        <w:t xml:space="preserve">– the statutory declaration </w:t>
      </w:r>
      <w:r w:rsidR="009040FF" w:rsidRPr="00E21447">
        <w:rPr>
          <w:rFonts w:cs="Arial"/>
        </w:rPr>
        <w:t xml:space="preserve">must </w:t>
      </w:r>
      <w:r w:rsidR="00351206" w:rsidRPr="00E21447">
        <w:rPr>
          <w:rFonts w:cs="Arial"/>
        </w:rPr>
        <w:t xml:space="preserve">be signed by the supplier’s company director, chief executive or chief financial officer, and must state that the information </w:t>
      </w:r>
      <w:r w:rsidR="00927311" w:rsidRPr="00E21447">
        <w:rPr>
          <w:rFonts w:cs="Arial"/>
        </w:rPr>
        <w:t>given</w:t>
      </w:r>
      <w:r w:rsidR="00351206" w:rsidRPr="00E21447">
        <w:rPr>
          <w:rFonts w:cs="Arial"/>
        </w:rPr>
        <w:t xml:space="preserve"> in the </w:t>
      </w:r>
      <w:r w:rsidR="00562C46" w:rsidRPr="00E21447">
        <w:rPr>
          <w:rFonts w:cs="Arial"/>
        </w:rPr>
        <w:t>LJF</w:t>
      </w:r>
      <w:r w:rsidR="002224C9" w:rsidRPr="00E21447">
        <w:rPr>
          <w:rFonts w:cs="Arial"/>
        </w:rPr>
        <w:t xml:space="preserve"> </w:t>
      </w:r>
      <w:r w:rsidR="00351206" w:rsidRPr="00E21447">
        <w:rPr>
          <w:rFonts w:cs="Arial"/>
        </w:rPr>
        <w:t xml:space="preserve">monitoring table is true and </w:t>
      </w:r>
      <w:r w:rsidR="00972EB5" w:rsidRPr="00E21447">
        <w:rPr>
          <w:rFonts w:cs="Arial"/>
        </w:rPr>
        <w:t>correct.</w:t>
      </w:r>
    </w:p>
    <w:p w14:paraId="5A46F3CC" w14:textId="5F28B33E" w:rsidR="00351206" w:rsidRPr="00E21447" w:rsidRDefault="00351206" w:rsidP="00E21447">
      <w:pPr>
        <w:numPr>
          <w:ilvl w:val="0"/>
          <w:numId w:val="5"/>
        </w:numPr>
        <w:spacing w:before="0" w:after="0"/>
        <w:ind w:hanging="357"/>
        <w:jc w:val="both"/>
        <w:rPr>
          <w:rFonts w:cs="Arial"/>
        </w:rPr>
      </w:pPr>
      <w:r w:rsidRPr="00E21447">
        <w:rPr>
          <w:rFonts w:cs="Arial"/>
        </w:rPr>
        <w:t xml:space="preserve">The contract manager will then submit the completed </w:t>
      </w:r>
      <w:r w:rsidR="00063E26" w:rsidRPr="00E21447">
        <w:rPr>
          <w:rFonts w:cs="Arial"/>
        </w:rPr>
        <w:t>LJF</w:t>
      </w:r>
      <w:r w:rsidR="002224C9" w:rsidRPr="00E21447">
        <w:rPr>
          <w:rFonts w:cs="Arial"/>
        </w:rPr>
        <w:t xml:space="preserve"> </w:t>
      </w:r>
      <w:r w:rsidRPr="00E21447">
        <w:rPr>
          <w:rFonts w:cs="Arial"/>
        </w:rPr>
        <w:t>monitoring table and signed statutory declaration</w:t>
      </w:r>
      <w:r w:rsidR="009040FF" w:rsidRPr="00E21447">
        <w:rPr>
          <w:rFonts w:cs="Arial"/>
        </w:rPr>
        <w:t xml:space="preserve"> </w:t>
      </w:r>
      <w:r w:rsidRPr="00E21447">
        <w:rPr>
          <w:rFonts w:cs="Arial"/>
        </w:rPr>
        <w:t xml:space="preserve">to </w:t>
      </w:r>
      <w:r w:rsidR="00485810">
        <w:rPr>
          <w:rFonts w:cs="Arial"/>
        </w:rPr>
        <w:t xml:space="preserve">the </w:t>
      </w:r>
      <w:r w:rsidRPr="00E21447">
        <w:rPr>
          <w:rFonts w:cs="Arial"/>
        </w:rPr>
        <w:t>ICN for verification. This is achieved through the VMC, by uploading the relevant documents and completing the monitoring form.</w:t>
      </w:r>
    </w:p>
    <w:p w14:paraId="6F03AE3A" w14:textId="77777777" w:rsidR="00351206" w:rsidRPr="00E21447" w:rsidRDefault="00351206" w:rsidP="00E21447">
      <w:pPr>
        <w:numPr>
          <w:ilvl w:val="0"/>
          <w:numId w:val="5"/>
        </w:numPr>
        <w:spacing w:before="0" w:after="0"/>
        <w:ind w:hanging="357"/>
        <w:jc w:val="both"/>
        <w:rPr>
          <w:rFonts w:cs="Arial"/>
        </w:rPr>
      </w:pPr>
      <w:r w:rsidRPr="00E21447">
        <w:rPr>
          <w:rFonts w:cs="Arial"/>
        </w:rPr>
        <w:lastRenderedPageBreak/>
        <w:t>The ICN verification process involves an examination of the data submitted and a subjective determination of the achievements reported as ‘reasonable</w:t>
      </w:r>
      <w:r w:rsidR="002224C9" w:rsidRPr="00E21447">
        <w:rPr>
          <w:rFonts w:cs="Arial"/>
        </w:rPr>
        <w:t>’ or</w:t>
      </w:r>
      <w:r w:rsidRPr="00E21447">
        <w:rPr>
          <w:rFonts w:cs="Arial"/>
        </w:rPr>
        <w:t xml:space="preserve"> requiring further clarification. The verification results will be sent to the </w:t>
      </w:r>
      <w:r w:rsidR="00C43C8C" w:rsidRPr="00E21447">
        <w:rPr>
          <w:rFonts w:cs="Arial"/>
        </w:rPr>
        <w:t xml:space="preserve">agency </w:t>
      </w:r>
      <w:r w:rsidRPr="00E21447">
        <w:rPr>
          <w:rFonts w:cs="Arial"/>
        </w:rPr>
        <w:t>contract manager.</w:t>
      </w:r>
    </w:p>
    <w:p w14:paraId="7B3FCE18" w14:textId="3BA3AE37" w:rsidR="00351206" w:rsidRPr="00E21447" w:rsidRDefault="00351206" w:rsidP="00E21447">
      <w:pPr>
        <w:numPr>
          <w:ilvl w:val="0"/>
          <w:numId w:val="5"/>
        </w:numPr>
        <w:spacing w:before="0" w:after="0"/>
        <w:ind w:hanging="357"/>
        <w:jc w:val="both"/>
        <w:rPr>
          <w:rFonts w:cs="Arial"/>
        </w:rPr>
      </w:pPr>
      <w:r w:rsidRPr="00E21447">
        <w:rPr>
          <w:rFonts w:cs="Arial"/>
        </w:rPr>
        <w:t xml:space="preserve">If </w:t>
      </w:r>
      <w:r w:rsidR="00485810">
        <w:rPr>
          <w:rFonts w:cs="Arial"/>
        </w:rPr>
        <w:t xml:space="preserve">the </w:t>
      </w:r>
      <w:r w:rsidRPr="00E21447">
        <w:rPr>
          <w:rFonts w:cs="Arial"/>
        </w:rPr>
        <w:t xml:space="preserve">ICN determines there is insufficient evidence that the </w:t>
      </w:r>
      <w:r w:rsidR="00562C46" w:rsidRPr="00E21447">
        <w:rPr>
          <w:rFonts w:cs="Arial"/>
        </w:rPr>
        <w:t xml:space="preserve">LJF </w:t>
      </w:r>
      <w:r w:rsidRPr="00E21447">
        <w:rPr>
          <w:rFonts w:cs="Arial"/>
        </w:rPr>
        <w:t xml:space="preserve">outcomes reported are reasonable, then the </w:t>
      </w:r>
      <w:r w:rsidR="00C43C8C" w:rsidRPr="00E21447">
        <w:rPr>
          <w:rFonts w:cs="Arial"/>
        </w:rPr>
        <w:t xml:space="preserve">agency </w:t>
      </w:r>
      <w:r w:rsidRPr="00E21447">
        <w:rPr>
          <w:rFonts w:cs="Arial"/>
        </w:rPr>
        <w:t xml:space="preserve">contract manager will be notified by </w:t>
      </w:r>
      <w:r w:rsidR="00485810">
        <w:rPr>
          <w:rFonts w:cs="Arial"/>
        </w:rPr>
        <w:t xml:space="preserve">the </w:t>
      </w:r>
      <w:r w:rsidRPr="00E21447">
        <w:rPr>
          <w:rFonts w:cs="Arial"/>
        </w:rPr>
        <w:t xml:space="preserve">ICN and </w:t>
      </w:r>
      <w:r w:rsidR="00C43C8C" w:rsidRPr="00E21447">
        <w:rPr>
          <w:rFonts w:cs="Arial"/>
        </w:rPr>
        <w:t xml:space="preserve">the agency </w:t>
      </w:r>
      <w:r w:rsidRPr="00E21447">
        <w:rPr>
          <w:rFonts w:cs="Arial"/>
        </w:rPr>
        <w:t xml:space="preserve">will be required to seek clarification of the outcomes from the supplier. </w:t>
      </w:r>
    </w:p>
    <w:p w14:paraId="59D265A1" w14:textId="12D40F89" w:rsidR="00351206" w:rsidRDefault="00351206" w:rsidP="00E21447">
      <w:pPr>
        <w:numPr>
          <w:ilvl w:val="0"/>
          <w:numId w:val="5"/>
        </w:numPr>
        <w:spacing w:before="0" w:after="0"/>
        <w:ind w:hanging="357"/>
        <w:jc w:val="both"/>
        <w:rPr>
          <w:rFonts w:cs="Arial"/>
        </w:rPr>
      </w:pPr>
      <w:r w:rsidRPr="00E21447">
        <w:rPr>
          <w:rFonts w:cs="Arial"/>
        </w:rPr>
        <w:t xml:space="preserve">The </w:t>
      </w:r>
      <w:r w:rsidR="00C43C8C" w:rsidRPr="00E21447">
        <w:rPr>
          <w:rFonts w:cs="Arial"/>
        </w:rPr>
        <w:t xml:space="preserve">agency </w:t>
      </w:r>
      <w:r w:rsidRPr="00E21447">
        <w:rPr>
          <w:rFonts w:cs="Arial"/>
        </w:rPr>
        <w:t xml:space="preserve">contract manager </w:t>
      </w:r>
      <w:r w:rsidR="005668F5" w:rsidRPr="00E21447">
        <w:rPr>
          <w:rFonts w:cs="Arial"/>
        </w:rPr>
        <w:t>must</w:t>
      </w:r>
      <w:r w:rsidR="00C43C8C" w:rsidRPr="00E21447">
        <w:rPr>
          <w:rFonts w:cs="Arial"/>
        </w:rPr>
        <w:t xml:space="preserve"> ensure that </w:t>
      </w:r>
      <w:r w:rsidRPr="00E21447">
        <w:rPr>
          <w:rFonts w:cs="Arial"/>
        </w:rPr>
        <w:t xml:space="preserve">suppliers explain any discrepancies between the expected and achieved </w:t>
      </w:r>
      <w:r w:rsidR="00C43C8C" w:rsidRPr="00E21447">
        <w:rPr>
          <w:rFonts w:cs="Arial"/>
        </w:rPr>
        <w:t xml:space="preserve">LJF </w:t>
      </w:r>
      <w:r w:rsidRPr="00E21447">
        <w:rPr>
          <w:rFonts w:cs="Arial"/>
        </w:rPr>
        <w:t xml:space="preserve">outcomes. </w:t>
      </w:r>
    </w:p>
    <w:p w14:paraId="6C64BDC1" w14:textId="77777777" w:rsidR="00B81656" w:rsidRPr="00E21447" w:rsidRDefault="00B81656" w:rsidP="00B81656">
      <w:pPr>
        <w:spacing w:before="0" w:after="0"/>
        <w:ind w:left="1080"/>
        <w:jc w:val="both"/>
        <w:rPr>
          <w:rFonts w:cs="Arial"/>
        </w:rPr>
      </w:pPr>
    </w:p>
    <w:p w14:paraId="7791B584" w14:textId="2B39E0D0" w:rsidR="00351206" w:rsidRPr="007400EE" w:rsidRDefault="00351206" w:rsidP="00671ADE">
      <w:pPr>
        <w:numPr>
          <w:ilvl w:val="0"/>
          <w:numId w:val="29"/>
        </w:numPr>
        <w:spacing w:before="0"/>
        <w:jc w:val="both"/>
        <w:rPr>
          <w:rFonts w:cs="Arial"/>
          <w:szCs w:val="18"/>
        </w:rPr>
      </w:pPr>
      <w:r w:rsidRPr="007400EE">
        <w:rPr>
          <w:rFonts w:cs="Arial"/>
          <w:szCs w:val="18"/>
        </w:rPr>
        <w:t xml:space="preserve">The </w:t>
      </w:r>
      <w:r w:rsidR="007400EE" w:rsidRPr="007400EE">
        <w:rPr>
          <w:rFonts w:cs="Arial"/>
          <w:szCs w:val="18"/>
        </w:rPr>
        <w:t xml:space="preserve">agency </w:t>
      </w:r>
      <w:r w:rsidRPr="007400EE">
        <w:rPr>
          <w:rFonts w:cs="Arial"/>
          <w:szCs w:val="18"/>
        </w:rPr>
        <w:t xml:space="preserve">contract manager </w:t>
      </w:r>
      <w:r w:rsidR="007400EE" w:rsidRPr="007400EE">
        <w:rPr>
          <w:rFonts w:cs="Arial"/>
          <w:szCs w:val="18"/>
        </w:rPr>
        <w:t xml:space="preserve">must </w:t>
      </w:r>
      <w:r w:rsidRPr="007400EE">
        <w:rPr>
          <w:rFonts w:cs="Arial"/>
          <w:szCs w:val="18"/>
        </w:rPr>
        <w:t xml:space="preserve">provide </w:t>
      </w:r>
      <w:r w:rsidR="00C43C8C">
        <w:rPr>
          <w:rFonts w:cs="Arial"/>
          <w:szCs w:val="18"/>
        </w:rPr>
        <w:t xml:space="preserve">the final accepted </w:t>
      </w:r>
      <w:r w:rsidRPr="007400EE">
        <w:rPr>
          <w:rFonts w:cs="Arial"/>
          <w:szCs w:val="18"/>
        </w:rPr>
        <w:t xml:space="preserve">monitoring table </w:t>
      </w:r>
      <w:r w:rsidR="007400EE" w:rsidRPr="007400EE">
        <w:rPr>
          <w:rFonts w:cs="Arial"/>
          <w:szCs w:val="18"/>
        </w:rPr>
        <w:t xml:space="preserve">to </w:t>
      </w:r>
      <w:r w:rsidR="00C43C8C">
        <w:rPr>
          <w:rFonts w:cs="Arial"/>
          <w:szCs w:val="18"/>
        </w:rPr>
        <w:t xml:space="preserve">the </w:t>
      </w:r>
      <w:r w:rsidR="007400EE" w:rsidRPr="007400EE">
        <w:rPr>
          <w:rFonts w:cs="Arial"/>
          <w:szCs w:val="18"/>
        </w:rPr>
        <w:t xml:space="preserve">ICN and </w:t>
      </w:r>
      <w:r w:rsidR="00C67ED1">
        <w:rPr>
          <w:rFonts w:cs="Arial"/>
          <w:szCs w:val="18"/>
        </w:rPr>
        <w:t>DJPR</w:t>
      </w:r>
      <w:r w:rsidR="007400EE" w:rsidRPr="007400EE">
        <w:rPr>
          <w:rFonts w:cs="Arial"/>
          <w:szCs w:val="18"/>
        </w:rPr>
        <w:t xml:space="preserve">, </w:t>
      </w:r>
      <w:r w:rsidR="007400EE">
        <w:rPr>
          <w:rFonts w:cs="Arial"/>
          <w:szCs w:val="18"/>
        </w:rPr>
        <w:t xml:space="preserve">and if </w:t>
      </w:r>
      <w:r w:rsidR="00FE7CE8">
        <w:rPr>
          <w:rFonts w:cs="Arial"/>
          <w:szCs w:val="18"/>
        </w:rPr>
        <w:t>required explain</w:t>
      </w:r>
      <w:r w:rsidR="007400EE">
        <w:rPr>
          <w:rFonts w:cs="Arial"/>
          <w:szCs w:val="18"/>
        </w:rPr>
        <w:t xml:space="preserve"> any </w:t>
      </w:r>
      <w:r w:rsidRPr="007400EE">
        <w:rPr>
          <w:rFonts w:cs="Arial"/>
          <w:szCs w:val="18"/>
        </w:rPr>
        <w:t>difference</w:t>
      </w:r>
      <w:r w:rsidR="002218D5">
        <w:rPr>
          <w:rFonts w:cs="Arial"/>
          <w:szCs w:val="18"/>
        </w:rPr>
        <w:t>s</w:t>
      </w:r>
      <w:r w:rsidRPr="007400EE">
        <w:rPr>
          <w:rFonts w:cs="Arial"/>
          <w:szCs w:val="18"/>
        </w:rPr>
        <w:t xml:space="preserve"> between expected and achieved </w:t>
      </w:r>
      <w:r w:rsidR="007400EE">
        <w:rPr>
          <w:rFonts w:cs="Arial"/>
          <w:szCs w:val="18"/>
        </w:rPr>
        <w:t xml:space="preserve">LJF </w:t>
      </w:r>
      <w:r w:rsidRPr="007400EE">
        <w:rPr>
          <w:rFonts w:cs="Arial"/>
          <w:szCs w:val="18"/>
        </w:rPr>
        <w:t>outcomes</w:t>
      </w:r>
      <w:r w:rsidR="00C43C8C">
        <w:rPr>
          <w:rFonts w:cs="Arial"/>
          <w:szCs w:val="18"/>
        </w:rPr>
        <w:t xml:space="preserve"> and certify that they are approved, and identify actions taken to address any unreasonable failure to meet LJF commitments</w:t>
      </w:r>
      <w:r w:rsidRPr="007400EE">
        <w:rPr>
          <w:rFonts w:cs="Arial"/>
          <w:szCs w:val="18"/>
        </w:rPr>
        <w:t xml:space="preserve">. If the information </w:t>
      </w:r>
      <w:r w:rsidR="00927311">
        <w:rPr>
          <w:rFonts w:cs="Arial"/>
          <w:szCs w:val="18"/>
        </w:rPr>
        <w:t>given</w:t>
      </w:r>
      <w:r w:rsidRPr="007400EE">
        <w:rPr>
          <w:rFonts w:cs="Arial"/>
          <w:szCs w:val="18"/>
        </w:rPr>
        <w:t xml:space="preserve"> remains inadequate, the agency must report to </w:t>
      </w:r>
      <w:r w:rsidR="007B3488">
        <w:rPr>
          <w:rFonts w:cs="Arial"/>
          <w:szCs w:val="18"/>
        </w:rPr>
        <w:t>DJPR</w:t>
      </w:r>
      <w:r w:rsidRPr="007400EE">
        <w:rPr>
          <w:rFonts w:cs="Arial"/>
          <w:szCs w:val="18"/>
        </w:rPr>
        <w:t xml:space="preserve"> on why this is the case</w:t>
      </w:r>
      <w:r w:rsidR="00C43C8C">
        <w:rPr>
          <w:rFonts w:cs="Arial"/>
          <w:szCs w:val="18"/>
        </w:rPr>
        <w:t xml:space="preserve"> and action to be taken under the contract</w:t>
      </w:r>
      <w:r w:rsidRPr="007400EE">
        <w:rPr>
          <w:rFonts w:cs="Arial"/>
          <w:szCs w:val="18"/>
        </w:rPr>
        <w:t>.</w:t>
      </w:r>
      <w:r w:rsidR="00C43C8C">
        <w:rPr>
          <w:rFonts w:cs="Arial"/>
          <w:szCs w:val="18"/>
        </w:rPr>
        <w:t xml:space="preserve"> </w:t>
      </w:r>
    </w:p>
    <w:p w14:paraId="2BED759A" w14:textId="4D07A912" w:rsidR="00351206" w:rsidRDefault="00351206" w:rsidP="00671ADE">
      <w:pPr>
        <w:numPr>
          <w:ilvl w:val="0"/>
          <w:numId w:val="29"/>
        </w:numPr>
        <w:spacing w:before="0"/>
        <w:jc w:val="both"/>
        <w:rPr>
          <w:rFonts w:cs="Arial"/>
          <w:szCs w:val="18"/>
        </w:rPr>
      </w:pPr>
      <w:r w:rsidRPr="00E31C02">
        <w:rPr>
          <w:rFonts w:cs="Arial"/>
          <w:szCs w:val="18"/>
        </w:rPr>
        <w:t xml:space="preserve">The information </w:t>
      </w:r>
      <w:r w:rsidR="00927311">
        <w:rPr>
          <w:rFonts w:cs="Arial"/>
          <w:szCs w:val="18"/>
        </w:rPr>
        <w:t>given</w:t>
      </w:r>
      <w:r w:rsidRPr="00E31C02">
        <w:rPr>
          <w:rFonts w:cs="Arial"/>
          <w:szCs w:val="18"/>
        </w:rPr>
        <w:t xml:space="preserve"> in the monitoring table </w:t>
      </w:r>
      <w:r w:rsidR="00C43C8C">
        <w:rPr>
          <w:rFonts w:cs="Arial"/>
          <w:szCs w:val="18"/>
        </w:rPr>
        <w:t xml:space="preserve">and related advice </w:t>
      </w:r>
      <w:r w:rsidRPr="00E31C02">
        <w:rPr>
          <w:rFonts w:cs="Arial"/>
          <w:szCs w:val="18"/>
        </w:rPr>
        <w:t xml:space="preserve">will inform the annual reporting on </w:t>
      </w:r>
      <w:r w:rsidR="00562C46">
        <w:rPr>
          <w:rFonts w:cs="Arial"/>
          <w:szCs w:val="18"/>
        </w:rPr>
        <w:t>LJF</w:t>
      </w:r>
      <w:r w:rsidR="002224C9" w:rsidRPr="002224C9">
        <w:rPr>
          <w:rFonts w:cs="Arial"/>
          <w:szCs w:val="18"/>
        </w:rPr>
        <w:t xml:space="preserve"> </w:t>
      </w:r>
      <w:r w:rsidRPr="00E31C02">
        <w:rPr>
          <w:rFonts w:cs="Arial"/>
          <w:szCs w:val="18"/>
        </w:rPr>
        <w:t>outcomes by the agency</w:t>
      </w:r>
      <w:r w:rsidR="00C43C8C">
        <w:rPr>
          <w:rFonts w:cs="Arial"/>
          <w:szCs w:val="18"/>
        </w:rPr>
        <w:t xml:space="preserve"> and the </w:t>
      </w:r>
      <w:r w:rsidR="00DC51CA">
        <w:rPr>
          <w:rFonts w:cs="Arial"/>
          <w:szCs w:val="18"/>
        </w:rPr>
        <w:t xml:space="preserve">Minister for Jobs, Innovation and Trade. </w:t>
      </w:r>
    </w:p>
    <w:p w14:paraId="4FC5571B" w14:textId="77777777" w:rsidR="00B632FD" w:rsidRPr="00536CD8" w:rsidRDefault="00536CD8" w:rsidP="00536CD8">
      <w:pPr>
        <w:spacing w:before="0"/>
        <w:ind w:left="720"/>
        <w:jc w:val="both"/>
        <w:rPr>
          <w:szCs w:val="32"/>
        </w:rPr>
      </w:pPr>
      <w:r w:rsidRPr="00497024">
        <w:rPr>
          <w:rFonts w:asciiTheme="minorHAnsi" w:hAnsiTheme="minorHAnsi" w:cstheme="minorHAnsi"/>
          <w:noProof/>
          <w:szCs w:val="18"/>
        </w:rPr>
        <mc:AlternateContent>
          <mc:Choice Requires="wps">
            <w:drawing>
              <wp:inline distT="0" distB="0" distL="0" distR="0" wp14:anchorId="636E6349" wp14:editId="4CE0E710">
                <wp:extent cx="5286375" cy="1272209"/>
                <wp:effectExtent l="0" t="0" r="28575" b="234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272209"/>
                        </a:xfrm>
                        <a:prstGeom prst="rect">
                          <a:avLst/>
                        </a:prstGeom>
                        <a:solidFill>
                          <a:srgbClr val="FFFFFF"/>
                        </a:solidFill>
                        <a:ln w="9525">
                          <a:solidFill>
                            <a:srgbClr val="000000"/>
                          </a:solidFill>
                          <a:miter lim="800000"/>
                          <a:headEnd/>
                          <a:tailEnd/>
                        </a:ln>
                      </wps:spPr>
                      <wps:txbx>
                        <w:txbxContent>
                          <w:p w14:paraId="336F40DA" w14:textId="2DBF09E1" w:rsidR="00DE4B66" w:rsidRDefault="00DE4B66" w:rsidP="005649D4">
                            <w:pPr>
                              <w:jc w:val="center"/>
                              <w:rPr>
                                <w:rFonts w:cs="Arial"/>
                              </w:rPr>
                            </w:pPr>
                            <w:r>
                              <w:rPr>
                                <w:b/>
                              </w:rPr>
                              <w:t xml:space="preserve">Agencies are responsible for ongoing monitoring of the implementation </w:t>
                            </w:r>
                            <w:r w:rsidRPr="003018CA">
                              <w:t>of the Local Jobs First Policy, Local Industry Development Plan</w:t>
                            </w:r>
                            <w:r>
                              <w:rPr>
                                <w:b/>
                              </w:rPr>
                              <w:t xml:space="preserve"> </w:t>
                            </w:r>
                            <w:r>
                              <w:rPr>
                                <w:rFonts w:cs="Arial"/>
                              </w:rPr>
                              <w:t xml:space="preserve">commitments and associated compliance </w:t>
                            </w:r>
                            <w:r w:rsidRPr="00B04D7D">
                              <w:rPr>
                                <w:rFonts w:cs="Arial"/>
                              </w:rPr>
                              <w:t xml:space="preserve">by </w:t>
                            </w:r>
                            <w:r>
                              <w:rPr>
                                <w:rFonts w:cs="Arial"/>
                              </w:rPr>
                              <w:t xml:space="preserve">contractors, </w:t>
                            </w:r>
                            <w:r w:rsidRPr="00B04D7D">
                              <w:rPr>
                                <w:rFonts w:cs="Arial"/>
                              </w:rPr>
                              <w:t xml:space="preserve">suppliers </w:t>
                            </w:r>
                            <w:r>
                              <w:rPr>
                                <w:rFonts w:cs="Arial"/>
                              </w:rPr>
                              <w:t>or grant or loan recipients, including r</w:t>
                            </w:r>
                            <w:r w:rsidRPr="00B04D7D">
                              <w:rPr>
                                <w:rFonts w:cs="Arial"/>
                              </w:rPr>
                              <w:t>eporting on new</w:t>
                            </w:r>
                            <w:r>
                              <w:rPr>
                                <w:rFonts w:cs="Arial"/>
                              </w:rPr>
                              <w:t xml:space="preserve">, in progress </w:t>
                            </w:r>
                            <w:r w:rsidRPr="00B04D7D">
                              <w:rPr>
                                <w:rFonts w:cs="Arial"/>
                              </w:rPr>
                              <w:t>and completed projects.</w:t>
                            </w:r>
                          </w:p>
                          <w:p w14:paraId="7E091D4E" w14:textId="7944794A" w:rsidR="00DE4B66" w:rsidRDefault="00DE4B66" w:rsidP="005649D4">
                            <w:pPr>
                              <w:spacing w:before="0"/>
                              <w:jc w:val="center"/>
                            </w:pPr>
                            <w:r w:rsidRPr="00012198">
                              <w:rPr>
                                <w:rFonts w:cs="Arial"/>
                                <w:szCs w:val="18"/>
                              </w:rPr>
                              <w:t xml:space="preserve">End of contract verification must occur </w:t>
                            </w:r>
                            <w:r>
                              <w:rPr>
                                <w:rFonts w:cs="Arial"/>
                                <w:szCs w:val="18"/>
                              </w:rPr>
                              <w:t>before</w:t>
                            </w:r>
                            <w:r w:rsidRPr="00012198">
                              <w:rPr>
                                <w:rFonts w:cs="Arial"/>
                                <w:szCs w:val="18"/>
                              </w:rPr>
                              <w:t xml:space="preserve"> or at practical completion of the project and/or delivery of the goods or services.</w:t>
                            </w:r>
                            <w:r>
                              <w:rPr>
                                <w:rFonts w:cs="Arial"/>
                                <w:szCs w:val="18"/>
                              </w:rPr>
                              <w:t xml:space="preserve"> This</w:t>
                            </w:r>
                            <w:r w:rsidRPr="00E31C02">
                              <w:rPr>
                                <w:rFonts w:cs="Arial"/>
                                <w:szCs w:val="18"/>
                              </w:rPr>
                              <w:t xml:space="preserve"> verification </w:t>
                            </w:r>
                            <w:r>
                              <w:rPr>
                                <w:rFonts w:cs="Arial"/>
                                <w:szCs w:val="18"/>
                              </w:rPr>
                              <w:t xml:space="preserve">seeks to confirm </w:t>
                            </w:r>
                            <w:r w:rsidRPr="00E31C02">
                              <w:rPr>
                                <w:rFonts w:cs="Arial"/>
                                <w:szCs w:val="18"/>
                              </w:rPr>
                              <w:t xml:space="preserve">the </w:t>
                            </w:r>
                            <w:r w:rsidRPr="002224C9">
                              <w:rPr>
                                <w:rFonts w:cs="Arial"/>
                                <w:szCs w:val="18"/>
                              </w:rPr>
                              <w:t xml:space="preserve">Local Jobs First </w:t>
                            </w:r>
                            <w:r w:rsidRPr="00E31C02">
                              <w:rPr>
                                <w:rFonts w:cs="Arial"/>
                                <w:szCs w:val="18"/>
                              </w:rPr>
                              <w:t>outcomes achieved through the project</w:t>
                            </w:r>
                            <w:r>
                              <w:rPr>
                                <w:rFonts w:cs="Arial"/>
                                <w:szCs w:val="18"/>
                              </w:rPr>
                              <w:t>, consider any differences and any related action arising.</w:t>
                            </w:r>
                            <w:r w:rsidRPr="00E31C02">
                              <w:rPr>
                                <w:rFonts w:cs="Arial"/>
                                <w:szCs w:val="18"/>
                              </w:rPr>
                              <w:t xml:space="preserve"> </w:t>
                            </w:r>
                          </w:p>
                        </w:txbxContent>
                      </wps:txbx>
                      <wps:bodyPr rot="0" vert="horz" wrap="square" lIns="91440" tIns="45720" rIns="91440" bIns="45720" anchor="t" anchorCtr="0">
                        <a:noAutofit/>
                      </wps:bodyPr>
                    </wps:wsp>
                  </a:graphicData>
                </a:graphic>
              </wp:inline>
            </w:drawing>
          </mc:Choice>
          <mc:Fallback>
            <w:pict>
              <v:shape w14:anchorId="636E6349" id="_x0000_s1036" type="#_x0000_t202" style="width:416.25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tJwIAAE0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">
                <v:textbox>
                  <w:txbxContent>
                    <w:p w14:paraId="336F40DA" w14:textId="2DBF09E1" w:rsidR="00DE4B66" w:rsidRDefault="00DE4B66" w:rsidP="005649D4">
                      <w:pPr>
                        <w:jc w:val="center"/>
                        <w:rPr>
                          <w:rFonts w:cs="Arial"/>
                        </w:rPr>
                      </w:pPr>
                      <w:r>
                        <w:rPr>
                          <w:b/>
                        </w:rPr>
                        <w:t xml:space="preserve">Agencies are responsible for ongoing monitoring of the implementation </w:t>
                      </w:r>
                      <w:r w:rsidRPr="003018CA">
                        <w:t>of the Local Jobs First Policy, Local Industry Development Plan</w:t>
                      </w:r>
                      <w:r>
                        <w:rPr>
                          <w:b/>
                        </w:rPr>
                        <w:t xml:space="preserve"> </w:t>
                      </w:r>
                      <w:r>
                        <w:rPr>
                          <w:rFonts w:cs="Arial"/>
                        </w:rPr>
                        <w:t xml:space="preserve">commitments and associated compliance </w:t>
                      </w:r>
                      <w:r w:rsidRPr="00B04D7D">
                        <w:rPr>
                          <w:rFonts w:cs="Arial"/>
                        </w:rPr>
                        <w:t xml:space="preserve">by </w:t>
                      </w:r>
                      <w:r>
                        <w:rPr>
                          <w:rFonts w:cs="Arial"/>
                        </w:rPr>
                        <w:t xml:space="preserve">contractors, </w:t>
                      </w:r>
                      <w:r w:rsidRPr="00B04D7D">
                        <w:rPr>
                          <w:rFonts w:cs="Arial"/>
                        </w:rPr>
                        <w:t xml:space="preserve">suppliers </w:t>
                      </w:r>
                      <w:r>
                        <w:rPr>
                          <w:rFonts w:cs="Arial"/>
                        </w:rPr>
                        <w:t>or grant or loan recipients, including r</w:t>
                      </w:r>
                      <w:r w:rsidRPr="00B04D7D">
                        <w:rPr>
                          <w:rFonts w:cs="Arial"/>
                        </w:rPr>
                        <w:t>eporting on new</w:t>
                      </w:r>
                      <w:r>
                        <w:rPr>
                          <w:rFonts w:cs="Arial"/>
                        </w:rPr>
                        <w:t xml:space="preserve">, in progress </w:t>
                      </w:r>
                      <w:r w:rsidRPr="00B04D7D">
                        <w:rPr>
                          <w:rFonts w:cs="Arial"/>
                        </w:rPr>
                        <w:t>and completed projects.</w:t>
                      </w:r>
                    </w:p>
                    <w:p w14:paraId="7E091D4E" w14:textId="7944794A" w:rsidR="00DE4B66" w:rsidRDefault="00DE4B66" w:rsidP="005649D4">
                      <w:pPr>
                        <w:spacing w:before="0"/>
                        <w:jc w:val="center"/>
                      </w:pPr>
                      <w:r w:rsidRPr="00012198">
                        <w:rPr>
                          <w:rFonts w:cs="Arial"/>
                          <w:szCs w:val="18"/>
                        </w:rPr>
                        <w:t xml:space="preserve">End of contract verification must occur </w:t>
                      </w:r>
                      <w:r>
                        <w:rPr>
                          <w:rFonts w:cs="Arial"/>
                          <w:szCs w:val="18"/>
                        </w:rPr>
                        <w:t>before</w:t>
                      </w:r>
                      <w:r w:rsidRPr="00012198">
                        <w:rPr>
                          <w:rFonts w:cs="Arial"/>
                          <w:szCs w:val="18"/>
                        </w:rPr>
                        <w:t xml:space="preserve"> or at practical completion of the project and/or delivery of the goods or services.</w:t>
                      </w:r>
                      <w:r>
                        <w:rPr>
                          <w:rFonts w:cs="Arial"/>
                          <w:szCs w:val="18"/>
                        </w:rPr>
                        <w:t xml:space="preserve"> This</w:t>
                      </w:r>
                      <w:r w:rsidRPr="00E31C02">
                        <w:rPr>
                          <w:rFonts w:cs="Arial"/>
                          <w:szCs w:val="18"/>
                        </w:rPr>
                        <w:t xml:space="preserve"> verification </w:t>
                      </w:r>
                      <w:r>
                        <w:rPr>
                          <w:rFonts w:cs="Arial"/>
                          <w:szCs w:val="18"/>
                        </w:rPr>
                        <w:t xml:space="preserve">seeks to confirm </w:t>
                      </w:r>
                      <w:r w:rsidRPr="00E31C02">
                        <w:rPr>
                          <w:rFonts w:cs="Arial"/>
                          <w:szCs w:val="18"/>
                        </w:rPr>
                        <w:t xml:space="preserve">the </w:t>
                      </w:r>
                      <w:r w:rsidRPr="002224C9">
                        <w:rPr>
                          <w:rFonts w:cs="Arial"/>
                          <w:szCs w:val="18"/>
                        </w:rPr>
                        <w:t xml:space="preserve">Local Jobs First </w:t>
                      </w:r>
                      <w:r w:rsidRPr="00E31C02">
                        <w:rPr>
                          <w:rFonts w:cs="Arial"/>
                          <w:szCs w:val="18"/>
                        </w:rPr>
                        <w:t>outcomes achieved through the project</w:t>
                      </w:r>
                      <w:r>
                        <w:rPr>
                          <w:rFonts w:cs="Arial"/>
                          <w:szCs w:val="18"/>
                        </w:rPr>
                        <w:t>, consider any differences and any related action arising.</w:t>
                      </w:r>
                      <w:r w:rsidRPr="00E31C02">
                        <w:rPr>
                          <w:rFonts w:cs="Arial"/>
                          <w:szCs w:val="18"/>
                        </w:rPr>
                        <w:t xml:space="preserve"> </w:t>
                      </w:r>
                    </w:p>
                  </w:txbxContent>
                </v:textbox>
                <w10:anchorlock/>
              </v:shape>
            </w:pict>
          </mc:Fallback>
        </mc:AlternateContent>
      </w:r>
    </w:p>
    <w:p w14:paraId="60AB8F8F" w14:textId="3E3C40BB" w:rsidR="002224C9" w:rsidRDefault="001D0660" w:rsidP="002224C9">
      <w:pPr>
        <w:pStyle w:val="Heading1"/>
      </w:pPr>
      <w:bookmarkStart w:id="68" w:name="_Toc31116369"/>
      <w:r>
        <w:t xml:space="preserve"> </w:t>
      </w:r>
      <w:r w:rsidR="002224C9">
        <w:t>Compliance</w:t>
      </w:r>
      <w:bookmarkEnd w:id="68"/>
      <w:r w:rsidR="002224C9">
        <w:t xml:space="preserve"> </w:t>
      </w:r>
      <w:r w:rsidR="00972EB5">
        <w:t xml:space="preserve"> </w:t>
      </w:r>
    </w:p>
    <w:p w14:paraId="30AF383E" w14:textId="26E27BCD" w:rsidR="002224C9" w:rsidRPr="002224C9" w:rsidRDefault="002224C9" w:rsidP="00903D71">
      <w:pPr>
        <w:numPr>
          <w:ilvl w:val="0"/>
          <w:numId w:val="30"/>
        </w:numPr>
        <w:spacing w:before="0"/>
        <w:jc w:val="both"/>
        <w:rPr>
          <w:rFonts w:cs="Arial"/>
          <w:szCs w:val="18"/>
        </w:rPr>
      </w:pPr>
      <w:bookmarkStart w:id="69" w:name="_Hlk524336739"/>
      <w:r w:rsidRPr="003426D6">
        <w:rPr>
          <w:rFonts w:cs="Arial"/>
          <w:szCs w:val="18"/>
        </w:rPr>
        <w:t xml:space="preserve">An agency </w:t>
      </w:r>
      <w:r w:rsidR="003426D6" w:rsidRPr="003426D6">
        <w:rPr>
          <w:rFonts w:cs="Arial"/>
          <w:szCs w:val="18"/>
        </w:rPr>
        <w:t>must</w:t>
      </w:r>
      <w:r w:rsidRPr="003426D6">
        <w:rPr>
          <w:rFonts w:cs="Arial"/>
          <w:szCs w:val="18"/>
        </w:rPr>
        <w:t xml:space="preserve"> determine </w:t>
      </w:r>
      <w:r w:rsidR="003426D6" w:rsidRPr="003426D6">
        <w:rPr>
          <w:rFonts w:cs="Arial"/>
          <w:szCs w:val="18"/>
        </w:rPr>
        <w:t xml:space="preserve">the </w:t>
      </w:r>
      <w:r w:rsidRPr="003426D6">
        <w:rPr>
          <w:rFonts w:cs="Arial"/>
          <w:szCs w:val="18"/>
        </w:rPr>
        <w:t xml:space="preserve">consequences </w:t>
      </w:r>
      <w:r w:rsidR="003426D6" w:rsidRPr="003426D6">
        <w:rPr>
          <w:rFonts w:cs="Arial"/>
          <w:szCs w:val="18"/>
        </w:rPr>
        <w:t xml:space="preserve">that </w:t>
      </w:r>
      <w:r w:rsidRPr="003426D6">
        <w:rPr>
          <w:rFonts w:cs="Arial"/>
          <w:szCs w:val="18"/>
        </w:rPr>
        <w:t>will apply if contractors do not deliver the local content outcomes committed to in their LIDP.</w:t>
      </w:r>
      <w:r w:rsidR="003426D6">
        <w:rPr>
          <w:rFonts w:cs="Arial"/>
          <w:szCs w:val="18"/>
        </w:rPr>
        <w:t xml:space="preserve"> </w:t>
      </w:r>
      <w:r w:rsidRPr="002224C9">
        <w:rPr>
          <w:rFonts w:cs="Arial"/>
          <w:szCs w:val="18"/>
        </w:rPr>
        <w:t xml:space="preserve">Agencies may choose to build into their contracts financial </w:t>
      </w:r>
      <w:r w:rsidR="003426D6">
        <w:rPr>
          <w:rFonts w:cs="Arial"/>
          <w:szCs w:val="18"/>
        </w:rPr>
        <w:t xml:space="preserve">and or other </w:t>
      </w:r>
      <w:r w:rsidRPr="002224C9">
        <w:rPr>
          <w:rFonts w:cs="Arial"/>
          <w:szCs w:val="18"/>
        </w:rPr>
        <w:t xml:space="preserve">disincentives that apply if </w:t>
      </w:r>
      <w:r w:rsidR="00B2570C">
        <w:rPr>
          <w:rFonts w:cs="Arial"/>
          <w:szCs w:val="18"/>
        </w:rPr>
        <w:t>LJF</w:t>
      </w:r>
      <w:r w:rsidR="003426D6">
        <w:rPr>
          <w:rFonts w:cs="Arial"/>
          <w:szCs w:val="18"/>
        </w:rPr>
        <w:t xml:space="preserve"> obligations are not met.</w:t>
      </w:r>
    </w:p>
    <w:p w14:paraId="4D0D6D74" w14:textId="59B43F36" w:rsidR="002224C9" w:rsidRPr="002224C9" w:rsidRDefault="002224C9" w:rsidP="00903D71">
      <w:pPr>
        <w:numPr>
          <w:ilvl w:val="0"/>
          <w:numId w:val="30"/>
        </w:numPr>
        <w:spacing w:before="0"/>
        <w:jc w:val="both"/>
        <w:rPr>
          <w:rFonts w:cs="Arial"/>
          <w:szCs w:val="18"/>
        </w:rPr>
      </w:pPr>
      <w:r w:rsidRPr="002224C9">
        <w:rPr>
          <w:rFonts w:cs="Arial"/>
          <w:szCs w:val="18"/>
        </w:rPr>
        <w:t xml:space="preserve">Where </w:t>
      </w:r>
      <w:r w:rsidR="00B2570C">
        <w:rPr>
          <w:rFonts w:cs="Arial"/>
          <w:szCs w:val="18"/>
        </w:rPr>
        <w:t>LJF</w:t>
      </w:r>
      <w:r w:rsidR="00A108CD">
        <w:rPr>
          <w:rFonts w:cs="Arial"/>
          <w:szCs w:val="18"/>
        </w:rPr>
        <w:t xml:space="preserve"> </w:t>
      </w:r>
      <w:r w:rsidRPr="002224C9">
        <w:rPr>
          <w:rFonts w:cs="Arial"/>
          <w:szCs w:val="18"/>
        </w:rPr>
        <w:t xml:space="preserve">outcomes reported by a contractor do not meet the levels committed to in the </w:t>
      </w:r>
      <w:r w:rsidR="00C0622A">
        <w:rPr>
          <w:rFonts w:cs="Arial"/>
          <w:szCs w:val="18"/>
        </w:rPr>
        <w:t xml:space="preserve">LIDP and </w:t>
      </w:r>
      <w:r w:rsidRPr="002224C9">
        <w:rPr>
          <w:rFonts w:cs="Arial"/>
          <w:szCs w:val="18"/>
        </w:rPr>
        <w:t>contract, the agency should identify whether there has been a valid reason for this (e.g. an unavoidable change of supplier or product that resulted in a drop of local content or employment).</w:t>
      </w:r>
    </w:p>
    <w:p w14:paraId="172CC732" w14:textId="593E4C3F" w:rsidR="002224C9" w:rsidRPr="002224C9" w:rsidRDefault="002224C9" w:rsidP="00903D71">
      <w:pPr>
        <w:numPr>
          <w:ilvl w:val="0"/>
          <w:numId w:val="30"/>
        </w:numPr>
        <w:spacing w:before="0"/>
        <w:jc w:val="both"/>
        <w:rPr>
          <w:rFonts w:cs="Arial"/>
          <w:szCs w:val="18"/>
        </w:rPr>
      </w:pPr>
      <w:r w:rsidRPr="002224C9">
        <w:rPr>
          <w:rFonts w:cs="Arial"/>
          <w:szCs w:val="18"/>
        </w:rPr>
        <w:t>Where no</w:t>
      </w:r>
      <w:r w:rsidR="003426D6">
        <w:rPr>
          <w:rFonts w:cs="Arial"/>
          <w:szCs w:val="18"/>
        </w:rPr>
        <w:t xml:space="preserve"> acceptable</w:t>
      </w:r>
      <w:r w:rsidRPr="002224C9">
        <w:rPr>
          <w:rFonts w:cs="Arial"/>
          <w:szCs w:val="18"/>
        </w:rPr>
        <w:t xml:space="preserve"> valid reason can be identified, the agency may determine that this represents a breach of contract that may trigger that agency’s respective resolution process.</w:t>
      </w:r>
      <w:r w:rsidR="003426D6">
        <w:rPr>
          <w:rFonts w:cs="Arial"/>
          <w:szCs w:val="18"/>
        </w:rPr>
        <w:t xml:space="preserve"> The Local Jobs First Commissioner may also play a role in this process. </w:t>
      </w:r>
    </w:p>
    <w:p w14:paraId="2BE28AA7" w14:textId="0982DD24" w:rsidR="002224C9" w:rsidRPr="002224C9" w:rsidRDefault="002224C9" w:rsidP="00903D71">
      <w:pPr>
        <w:numPr>
          <w:ilvl w:val="0"/>
          <w:numId w:val="30"/>
        </w:numPr>
        <w:spacing w:before="0"/>
        <w:jc w:val="both"/>
        <w:rPr>
          <w:rFonts w:cs="Arial"/>
          <w:szCs w:val="18"/>
        </w:rPr>
      </w:pPr>
      <w:r w:rsidRPr="002224C9">
        <w:rPr>
          <w:rFonts w:cs="Arial"/>
          <w:szCs w:val="18"/>
        </w:rPr>
        <w:t xml:space="preserve">An audit program of </w:t>
      </w:r>
      <w:r w:rsidR="00126263">
        <w:rPr>
          <w:rFonts w:cs="Arial"/>
          <w:szCs w:val="18"/>
        </w:rPr>
        <w:t>supplier</w:t>
      </w:r>
      <w:r w:rsidR="00126263" w:rsidRPr="002224C9">
        <w:rPr>
          <w:rFonts w:cs="Arial"/>
          <w:szCs w:val="18"/>
        </w:rPr>
        <w:t xml:space="preserve"> </w:t>
      </w:r>
      <w:r w:rsidRPr="002224C9">
        <w:rPr>
          <w:rFonts w:cs="Arial"/>
          <w:szCs w:val="18"/>
        </w:rPr>
        <w:t xml:space="preserve">and agency compliance with </w:t>
      </w:r>
      <w:r w:rsidR="00B2570C">
        <w:rPr>
          <w:rFonts w:cs="Arial"/>
          <w:szCs w:val="18"/>
        </w:rPr>
        <w:t>LJF</w:t>
      </w:r>
      <w:r w:rsidR="00606B49" w:rsidRPr="002224C9">
        <w:rPr>
          <w:rFonts w:cs="Arial"/>
          <w:szCs w:val="18"/>
        </w:rPr>
        <w:t xml:space="preserve"> </w:t>
      </w:r>
      <w:r w:rsidRPr="002224C9">
        <w:rPr>
          <w:rFonts w:cs="Arial"/>
          <w:szCs w:val="18"/>
        </w:rPr>
        <w:t xml:space="preserve">requirements and commitments will be undertaken annually to investigate and report on </w:t>
      </w:r>
      <w:r w:rsidR="00B2570C">
        <w:rPr>
          <w:rFonts w:cs="Arial"/>
          <w:szCs w:val="18"/>
        </w:rPr>
        <w:t>LJF</w:t>
      </w:r>
      <w:r w:rsidR="00606B49">
        <w:rPr>
          <w:rFonts w:cs="Arial"/>
          <w:szCs w:val="18"/>
        </w:rPr>
        <w:t xml:space="preserve"> </w:t>
      </w:r>
      <w:r w:rsidRPr="002224C9">
        <w:rPr>
          <w:rFonts w:cs="Arial"/>
          <w:szCs w:val="18"/>
        </w:rPr>
        <w:t>application</w:t>
      </w:r>
      <w:r w:rsidR="00C0622A">
        <w:rPr>
          <w:rFonts w:cs="Arial"/>
          <w:szCs w:val="18"/>
        </w:rPr>
        <w:t xml:space="preserve">, which can be led by the agency, </w:t>
      </w:r>
      <w:r w:rsidR="007D2F0D">
        <w:rPr>
          <w:rFonts w:cs="Arial"/>
          <w:szCs w:val="18"/>
        </w:rPr>
        <w:t xml:space="preserve">DJPR </w:t>
      </w:r>
      <w:r w:rsidR="00C0622A">
        <w:rPr>
          <w:rFonts w:cs="Arial"/>
          <w:szCs w:val="18"/>
        </w:rPr>
        <w:t>or the Local Jobs First Commissioner</w:t>
      </w:r>
      <w:r w:rsidRPr="002224C9">
        <w:rPr>
          <w:rFonts w:cs="Arial"/>
          <w:szCs w:val="18"/>
        </w:rPr>
        <w:t>.</w:t>
      </w:r>
    </w:p>
    <w:p w14:paraId="2CEDF911" w14:textId="40F738F3" w:rsidR="002224C9" w:rsidRPr="002224C9" w:rsidRDefault="002224C9" w:rsidP="00903D71">
      <w:pPr>
        <w:numPr>
          <w:ilvl w:val="0"/>
          <w:numId w:val="30"/>
        </w:numPr>
        <w:spacing w:before="0"/>
        <w:jc w:val="both"/>
        <w:rPr>
          <w:rFonts w:cs="Arial"/>
          <w:szCs w:val="18"/>
        </w:rPr>
      </w:pPr>
      <w:r w:rsidRPr="002224C9">
        <w:rPr>
          <w:rFonts w:cs="Arial"/>
          <w:szCs w:val="18"/>
        </w:rPr>
        <w:t xml:space="preserve">Agencies can be reported in the </w:t>
      </w:r>
      <w:r w:rsidR="00606B49">
        <w:rPr>
          <w:rFonts w:cs="Arial"/>
          <w:szCs w:val="18"/>
        </w:rPr>
        <w:t>Local Jobs First</w:t>
      </w:r>
      <w:r w:rsidR="00606B49" w:rsidRPr="002224C9">
        <w:rPr>
          <w:rFonts w:cs="Arial"/>
          <w:szCs w:val="18"/>
        </w:rPr>
        <w:t xml:space="preserve"> </w:t>
      </w:r>
      <w:r w:rsidRPr="002224C9">
        <w:rPr>
          <w:rFonts w:cs="Arial"/>
          <w:szCs w:val="18"/>
        </w:rPr>
        <w:t xml:space="preserve">Annual Report for serious contraventions in complying with </w:t>
      </w:r>
      <w:r w:rsidR="00B2570C">
        <w:rPr>
          <w:rFonts w:cs="Arial"/>
          <w:szCs w:val="18"/>
        </w:rPr>
        <w:t>LJF</w:t>
      </w:r>
      <w:r w:rsidRPr="002224C9">
        <w:rPr>
          <w:rFonts w:cs="Arial"/>
          <w:szCs w:val="18"/>
        </w:rPr>
        <w:t>. As such, it is recommended that agencies take reasonable steps to monitor the implementation of suppliers’ LIDPs</w:t>
      </w:r>
      <w:r w:rsidR="00C0622A">
        <w:rPr>
          <w:rFonts w:cs="Arial"/>
          <w:szCs w:val="18"/>
        </w:rPr>
        <w:t xml:space="preserve"> and seek early advice from </w:t>
      </w:r>
      <w:r w:rsidR="007B3488">
        <w:rPr>
          <w:rFonts w:cs="Arial"/>
          <w:szCs w:val="18"/>
        </w:rPr>
        <w:t>DJPR</w:t>
      </w:r>
      <w:r w:rsidR="00C0622A">
        <w:rPr>
          <w:rFonts w:cs="Arial"/>
          <w:szCs w:val="18"/>
        </w:rPr>
        <w:t xml:space="preserve"> to </w:t>
      </w:r>
      <w:r w:rsidR="00061B82">
        <w:rPr>
          <w:rFonts w:cs="Arial"/>
          <w:szCs w:val="18"/>
        </w:rPr>
        <w:t xml:space="preserve">help </w:t>
      </w:r>
      <w:r w:rsidR="00C0622A">
        <w:rPr>
          <w:rFonts w:cs="Arial"/>
          <w:szCs w:val="18"/>
        </w:rPr>
        <w:t>delivery if there are concerns</w:t>
      </w:r>
      <w:r w:rsidRPr="002224C9">
        <w:rPr>
          <w:rFonts w:cs="Arial"/>
          <w:szCs w:val="18"/>
        </w:rPr>
        <w:t>.</w:t>
      </w:r>
    </w:p>
    <w:p w14:paraId="51212147" w14:textId="6E0E0176" w:rsidR="000B697F" w:rsidRPr="005118B4" w:rsidRDefault="002224C9" w:rsidP="005118B4">
      <w:pPr>
        <w:numPr>
          <w:ilvl w:val="0"/>
          <w:numId w:val="30"/>
        </w:numPr>
        <w:spacing w:before="0"/>
        <w:jc w:val="both"/>
        <w:rPr>
          <w:rFonts w:cs="Arial"/>
          <w:szCs w:val="18"/>
        </w:rPr>
      </w:pPr>
      <w:bookmarkStart w:id="70" w:name="_Hlk524336718"/>
      <w:r w:rsidRPr="004771E0">
        <w:rPr>
          <w:rFonts w:cs="Arial"/>
          <w:szCs w:val="18"/>
        </w:rPr>
        <w:t>The</w:t>
      </w:r>
      <w:r w:rsidR="00152B45">
        <w:rPr>
          <w:rFonts w:cs="Arial"/>
          <w:szCs w:val="18"/>
        </w:rPr>
        <w:t xml:space="preserve"> Act </w:t>
      </w:r>
      <w:r w:rsidRPr="004771E0">
        <w:rPr>
          <w:rFonts w:cs="Arial"/>
          <w:szCs w:val="18"/>
        </w:rPr>
        <w:t>provides a transparent compliance framework, involving a series of steps that can be followed to confirm that contracted local content and job commitments are on track and being achieved and ac</w:t>
      </w:r>
      <w:r w:rsidR="001856B3" w:rsidRPr="004771E0">
        <w:rPr>
          <w:rFonts w:cs="Arial"/>
          <w:szCs w:val="18"/>
        </w:rPr>
        <w:t>tions to take if they are not.</w:t>
      </w:r>
      <w:r w:rsidR="00C0622A" w:rsidRPr="004771E0">
        <w:rPr>
          <w:rFonts w:cs="Arial"/>
          <w:szCs w:val="18"/>
        </w:rPr>
        <w:t xml:space="preserve"> This is in addition to the regular compliance activities undertaken by </w:t>
      </w:r>
      <w:r w:rsidR="004771E0" w:rsidRPr="004771E0">
        <w:rPr>
          <w:rFonts w:cs="Arial"/>
          <w:szCs w:val="18"/>
        </w:rPr>
        <w:t>D</w:t>
      </w:r>
      <w:bookmarkStart w:id="71" w:name="_Hlk524336885"/>
      <w:bookmarkEnd w:id="69"/>
      <w:bookmarkEnd w:id="70"/>
      <w:r w:rsidR="005118B4">
        <w:rPr>
          <w:rFonts w:cs="Arial"/>
          <w:szCs w:val="18"/>
        </w:rPr>
        <w:t xml:space="preserve">JPR. </w:t>
      </w:r>
      <w:r w:rsidR="000B697F">
        <w:br w:type="page"/>
      </w:r>
    </w:p>
    <w:p w14:paraId="1DE7373F" w14:textId="79F5D359" w:rsidR="00FF5280" w:rsidRDefault="00DE6DBF" w:rsidP="00FF5280">
      <w:pPr>
        <w:pStyle w:val="Heading1"/>
      </w:pPr>
      <w:bookmarkStart w:id="72" w:name="_Toc31116370"/>
      <w:r>
        <w:lastRenderedPageBreak/>
        <w:t xml:space="preserve"> </w:t>
      </w:r>
      <w:r w:rsidR="00FF5280">
        <w:t>Appendi</w:t>
      </w:r>
      <w:r w:rsidR="00A62DBE">
        <w:t>ces</w:t>
      </w:r>
      <w:bookmarkEnd w:id="72"/>
      <w:r w:rsidR="00FF5280">
        <w:t xml:space="preserve"> </w:t>
      </w:r>
    </w:p>
    <w:p w14:paraId="4A3F3B63" w14:textId="34520190" w:rsidR="0045334A" w:rsidRDefault="00A62DBE" w:rsidP="001A710A">
      <w:pPr>
        <w:pStyle w:val="Heading2"/>
        <w:numPr>
          <w:ilvl w:val="0"/>
          <w:numId w:val="0"/>
        </w:numPr>
        <w:ind w:left="576" w:hanging="576"/>
      </w:pPr>
      <w:bookmarkStart w:id="73" w:name="_Toc31116371"/>
      <w:bookmarkStart w:id="74" w:name="_Hlk30058331"/>
      <w:r>
        <w:t xml:space="preserve">Appendix 1: </w:t>
      </w:r>
      <w:r w:rsidR="0045334A">
        <w:t>Glossary</w:t>
      </w:r>
      <w:bookmarkEnd w:id="73"/>
      <w:r w:rsidR="0045334A">
        <w:t xml:space="preserve"> </w:t>
      </w:r>
    </w:p>
    <w:bookmarkEnd w:id="71"/>
    <w:bookmarkEnd w:id="74"/>
    <w:p w14:paraId="5D4D836B" w14:textId="42C4F8B4" w:rsidR="005B5DFD" w:rsidRPr="005B5DFD" w:rsidRDefault="00B5557E" w:rsidP="005B5DFD">
      <w:pPr>
        <w:spacing w:before="0"/>
        <w:rPr>
          <w:rFonts w:ascii="Calibri" w:hAnsi="Calibri" w:cs="Calibri"/>
          <w:color w:val="auto"/>
          <w:sz w:val="20"/>
          <w:lang w:eastAsia="en-AU"/>
        </w:rPr>
      </w:pPr>
      <w:r>
        <w:rPr>
          <w:rFonts w:ascii="Calibri" w:hAnsi="Calibri" w:cs="Calibri"/>
          <w:b/>
          <w:bCs/>
          <w:color w:val="auto"/>
          <w:sz w:val="20"/>
          <w:lang w:eastAsia="en-AU"/>
        </w:rPr>
        <w:t>Acknowledgement Letter</w:t>
      </w:r>
      <w:r w:rsidR="005B5DFD" w:rsidRPr="005B5DFD">
        <w:rPr>
          <w:rFonts w:ascii="Calibri" w:hAnsi="Calibri" w:cs="Calibri"/>
          <w:b/>
          <w:bCs/>
          <w:color w:val="auto"/>
          <w:sz w:val="20"/>
          <w:lang w:eastAsia="en-AU"/>
        </w:rPr>
        <w:t>–</w:t>
      </w:r>
      <w:r w:rsidR="005B5DFD" w:rsidRPr="005B5DFD">
        <w:rPr>
          <w:rFonts w:ascii="Calibri" w:hAnsi="Calibri" w:cs="Calibri"/>
          <w:color w:val="auto"/>
          <w:sz w:val="20"/>
          <w:lang w:eastAsia="en-AU"/>
        </w:rPr>
        <w:t xml:space="preserve"> the letter received by bidders after </w:t>
      </w:r>
      <w:r w:rsidR="00485810">
        <w:rPr>
          <w:rFonts w:ascii="Calibri" w:hAnsi="Calibri" w:cs="Calibri"/>
          <w:color w:val="auto"/>
          <w:sz w:val="20"/>
          <w:lang w:eastAsia="en-AU"/>
        </w:rPr>
        <w:t xml:space="preserve">the </w:t>
      </w:r>
      <w:r w:rsidR="005B5DFD" w:rsidRPr="005B5DFD">
        <w:rPr>
          <w:rFonts w:ascii="Calibri" w:hAnsi="Calibri" w:cs="Calibri"/>
          <w:color w:val="auto"/>
          <w:sz w:val="20"/>
          <w:lang w:eastAsia="en-AU"/>
        </w:rPr>
        <w:t>ICN has assessed the LIDP. This is achieved when the bidder’s LIDP is submitted before the procuring Agency’s due date, and all sections have been adequately completed.</w:t>
      </w:r>
    </w:p>
    <w:p w14:paraId="01B79118" w14:textId="77777777" w:rsidR="005B5DFD" w:rsidRPr="005B5DFD" w:rsidRDefault="005B5DFD" w:rsidP="005B5DFD">
      <w:pPr>
        <w:rPr>
          <w:rFonts w:ascii="Calibri" w:hAnsi="Calibri" w:cs="Calibri"/>
          <w:color w:val="auto"/>
          <w:sz w:val="20"/>
          <w:lang w:eastAsia="en-AU"/>
        </w:rPr>
      </w:pPr>
      <w:r w:rsidRPr="005B5DFD">
        <w:rPr>
          <w:rFonts w:ascii="Calibri" w:hAnsi="Calibri" w:cs="Calibri"/>
          <w:b/>
          <w:bCs/>
          <w:color w:val="auto"/>
          <w:sz w:val="20"/>
          <w:lang w:eastAsia="en-AU"/>
        </w:rPr>
        <w:t xml:space="preserve">Adjusted Contract Price - </w:t>
      </w:r>
      <w:r w:rsidRPr="005B5DFD">
        <w:rPr>
          <w:rFonts w:ascii="Calibri" w:hAnsi="Calibri" w:cs="Calibri"/>
          <w:color w:val="auto"/>
          <w:sz w:val="20"/>
          <w:lang w:eastAsia="en-AU"/>
        </w:rPr>
        <w:t xml:space="preserve">A calculation that informs the MPSG Deemed Hours Formula. Adjusted Contract Price is calculated by taking the sum of the specific contract, minus 10 per cent GST, the profit margin the company expects to make, and the specialist equipment involved. </w:t>
      </w:r>
    </w:p>
    <w:p w14:paraId="7A45E470"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Apprentice - </w:t>
      </w:r>
      <w:r w:rsidRPr="005B5DFD">
        <w:rPr>
          <w:rFonts w:ascii="Calibri" w:hAnsi="Calibri" w:cs="Calibri"/>
          <w:color w:val="auto"/>
          <w:sz w:val="20"/>
          <w:lang w:eastAsia="en-AU"/>
        </w:rPr>
        <w:t>Apprenticeships are undertaken under a National Training Contract between an employer and an apprentice that combines structured training with paid employment. Apprenticeships are generally at Certificate III level and above and extend across a range of trades. Apprenticeships typically have a duration of three to four years and are competency based. Only work done by an apprentice registered with the Victorian Registration and Qualification Authority (VRQA) may be counted as contributing towards outcomes committed in a Local Industry Development Plan.</w:t>
      </w:r>
    </w:p>
    <w:p w14:paraId="665988A9"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Australia and New Zealand Government Procurement Agreement (ANZGPA) –</w:t>
      </w:r>
      <w:r w:rsidRPr="005B5DFD">
        <w:rPr>
          <w:rFonts w:ascii="Calibri" w:hAnsi="Calibri" w:cs="Calibri"/>
          <w:color w:val="auto"/>
          <w:sz w:val="20"/>
          <w:lang w:eastAsia="en-AU"/>
        </w:rPr>
        <w:t>The Local Jobs First Policy recognises the Australia New Zealand Government Procurement Agreement (ANZGPA) entered into by Australian State and Federal Governments and New Zealand in 1991. The objective of ANZGPA is to maximise opportunities for competitive ANZ suppliers to supply into government procurement. It aims to reduce the costs of doing business for both government and industry. It applies to all Australian and New Zealand local industry participation policies.</w:t>
      </w:r>
    </w:p>
    <w:p w14:paraId="13DCA26D" w14:textId="77777777" w:rsidR="005B5DFD" w:rsidRPr="005B5DFD" w:rsidRDefault="005B5DFD" w:rsidP="005B5DFD">
      <w:pPr>
        <w:rPr>
          <w:rFonts w:ascii="Calibri" w:hAnsi="Calibri" w:cs="Calibri"/>
          <w:color w:val="auto"/>
          <w:sz w:val="20"/>
          <w:lang w:eastAsia="en-AU"/>
        </w:rPr>
      </w:pPr>
      <w:r w:rsidRPr="005B5DFD">
        <w:rPr>
          <w:rFonts w:ascii="Calibri" w:hAnsi="Calibri" w:cs="Calibri"/>
          <w:b/>
          <w:bCs/>
          <w:color w:val="auto"/>
          <w:sz w:val="20"/>
          <w:lang w:eastAsia="en-AU"/>
        </w:rPr>
        <w:t xml:space="preserve">Benchmark - </w:t>
      </w:r>
      <w:r w:rsidRPr="005B5DFD">
        <w:rPr>
          <w:rFonts w:ascii="Calibri" w:hAnsi="Calibri" w:cs="Calibri"/>
          <w:color w:val="auto"/>
          <w:sz w:val="20"/>
          <w:lang w:eastAsia="en-AU"/>
        </w:rPr>
        <w:t xml:space="preserve">The methodology by which a bidder evaluates a proposal from a subcontractor. Benchmarks can be based on “whole-of-life” parameters and appropriate quality and performance indicators and should include an evaluation of local content commitments. </w:t>
      </w:r>
    </w:p>
    <w:p w14:paraId="124FD9B6"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Cadet – </w:t>
      </w:r>
      <w:r w:rsidRPr="005B5DFD">
        <w:rPr>
          <w:rFonts w:ascii="Calibri" w:hAnsi="Calibri" w:cs="Calibri"/>
          <w:color w:val="auto"/>
          <w:sz w:val="20"/>
          <w:lang w:eastAsia="en-AU"/>
        </w:rPr>
        <w:t>Cadetships combine formal tertiary training with practical work experience. There are many types of cadetships offered across different industries. Cadets are people enrolled in Australian tertiary education and who receive learning opportunities as part of their engagement on a Local Jobs First project (e.g. cadets in architecture, quantity surveying, and engineering). Cadetships can vary in length but are generally 18 months to 2 years. A cadetship does not fall under a National Training Contract.</w:t>
      </w:r>
    </w:p>
    <w:p w14:paraId="1C5FD1BE"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Contestable goods and services – </w:t>
      </w:r>
      <w:r w:rsidRPr="005B5DFD">
        <w:rPr>
          <w:rFonts w:ascii="Calibri" w:hAnsi="Calibri" w:cs="Calibri"/>
          <w:color w:val="auto"/>
          <w:sz w:val="20"/>
          <w:lang w:eastAsia="en-AU"/>
        </w:rPr>
        <w:t xml:space="preserve">Goods and services in a procurement process are contestable when there are competitive international and local suppliers that can supply the good or service. Competitive means the suppliers can offer comparable goods or services that meet the specifications given by the agency. Contestable items can be goods or services at any stage of a project. </w:t>
      </w:r>
    </w:p>
    <w:p w14:paraId="22FE2976"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Contract Manager – </w:t>
      </w:r>
      <w:r w:rsidRPr="005B5DFD">
        <w:rPr>
          <w:rFonts w:ascii="Calibri" w:hAnsi="Calibri" w:cs="Calibri"/>
          <w:color w:val="auto"/>
          <w:sz w:val="20"/>
          <w:lang w:eastAsia="en-AU"/>
        </w:rPr>
        <w:t>The contract manager refers to the person within the relevant Agency responsible for managing the Local Jobs First process for a contract.</w:t>
      </w:r>
    </w:p>
    <w:p w14:paraId="0B8959A1"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Deemed hours formula – </w:t>
      </w:r>
      <w:r w:rsidRPr="005B5DFD">
        <w:rPr>
          <w:rFonts w:ascii="Calibri" w:hAnsi="Calibri" w:cs="Calibri"/>
          <w:color w:val="auto"/>
          <w:sz w:val="20"/>
          <w:lang w:eastAsia="en-AU"/>
        </w:rPr>
        <w:t>Refers to the method prescribed by the MPSG for determining a project’s total estimated labour hours, based on contract value. It is the basis from which the minimum MPSG requirement is determined for each applicable project.</w:t>
      </w:r>
    </w:p>
    <w:p w14:paraId="2F402D16" w14:textId="77777777" w:rsidR="005B5DFD" w:rsidRPr="005B5DFD" w:rsidRDefault="005B5DFD" w:rsidP="005B5DFD">
      <w:pPr>
        <w:spacing w:before="0" w:after="0"/>
        <w:rPr>
          <w:rFonts w:ascii="Calibri" w:hAnsi="Calibri" w:cs="Calibri"/>
          <w:color w:val="auto"/>
          <w:sz w:val="20"/>
          <w:lang w:eastAsia="en-AU"/>
        </w:rPr>
      </w:pPr>
      <w:r w:rsidRPr="005B5DFD">
        <w:rPr>
          <w:rFonts w:ascii="Calibri" w:hAnsi="Calibri" w:cs="Calibri"/>
          <w:b/>
          <w:bCs/>
          <w:color w:val="auto"/>
          <w:sz w:val="20"/>
          <w:lang w:eastAsia="en-AU"/>
        </w:rPr>
        <w:t xml:space="preserve">Deemed labour ratio - </w:t>
      </w:r>
      <w:r w:rsidRPr="005B5DFD">
        <w:rPr>
          <w:rFonts w:ascii="Calibri" w:hAnsi="Calibri" w:cs="Calibri"/>
          <w:color w:val="auto"/>
          <w:sz w:val="20"/>
          <w:lang w:eastAsia="en-AU"/>
        </w:rPr>
        <w:t>The percentage of the total contract sum that will spent on labour. Separate labour ratios and hourly rates have been developed for building construction projects, civil and infrastructure projects, and for mixed building and infrastructure construction projects based on industry data.</w:t>
      </w:r>
    </w:p>
    <w:p w14:paraId="4C0E764A" w14:textId="77777777" w:rsidR="005B5DFD" w:rsidRPr="005B5DFD" w:rsidRDefault="005B5DFD" w:rsidP="005B5DFD">
      <w:pPr>
        <w:spacing w:before="0" w:after="0"/>
        <w:rPr>
          <w:rFonts w:ascii="Calibri" w:hAnsi="Calibri" w:cs="Calibri"/>
          <w:color w:val="auto"/>
          <w:sz w:val="20"/>
          <w:lang w:eastAsia="en-AU"/>
        </w:rPr>
      </w:pPr>
      <w:r w:rsidRPr="005B5DFD">
        <w:rPr>
          <w:rFonts w:ascii="Calibri" w:hAnsi="Calibri" w:cs="Calibri"/>
          <w:b/>
          <w:bCs/>
          <w:color w:val="auto"/>
          <w:sz w:val="20"/>
          <w:lang w:eastAsia="en-AU"/>
        </w:rPr>
        <w:t> </w:t>
      </w:r>
    </w:p>
    <w:p w14:paraId="61DCD1CB" w14:textId="77777777" w:rsidR="005B5DFD" w:rsidRPr="005B5DFD" w:rsidRDefault="005B5DFD" w:rsidP="005B5DFD">
      <w:pPr>
        <w:spacing w:before="0" w:after="0"/>
        <w:rPr>
          <w:rFonts w:ascii="Calibri" w:hAnsi="Calibri" w:cs="Calibri"/>
          <w:color w:val="auto"/>
          <w:sz w:val="20"/>
          <w:lang w:eastAsia="en-AU"/>
        </w:rPr>
      </w:pPr>
      <w:r w:rsidRPr="005B5DFD">
        <w:rPr>
          <w:rFonts w:ascii="Calibri" w:hAnsi="Calibri" w:cs="Calibri"/>
          <w:b/>
          <w:bCs/>
          <w:color w:val="auto"/>
          <w:sz w:val="20"/>
          <w:lang w:eastAsia="en-AU"/>
        </w:rPr>
        <w:t xml:space="preserve">Department of Jobs, Precincts and Regions – </w:t>
      </w:r>
      <w:r w:rsidRPr="005B5DFD">
        <w:rPr>
          <w:rFonts w:ascii="Calibri" w:hAnsi="Calibri" w:cs="Calibri"/>
          <w:color w:val="auto"/>
          <w:sz w:val="20"/>
          <w:lang w:eastAsia="en-AU"/>
        </w:rPr>
        <w:t xml:space="preserve">The Victorian Government agency responsible for administering the </w:t>
      </w:r>
      <w:r w:rsidRPr="005B5DFD">
        <w:rPr>
          <w:rFonts w:ascii="Calibri" w:hAnsi="Calibri" w:cs="Calibri"/>
          <w:i/>
          <w:iCs/>
          <w:color w:val="auto"/>
          <w:sz w:val="20"/>
          <w:lang w:eastAsia="en-AU"/>
        </w:rPr>
        <w:t>Local Jobs First Act 2003</w:t>
      </w:r>
      <w:r w:rsidRPr="005B5DFD">
        <w:rPr>
          <w:rFonts w:ascii="Calibri" w:hAnsi="Calibri" w:cs="Calibri"/>
          <w:color w:val="auto"/>
          <w:sz w:val="20"/>
          <w:lang w:eastAsia="en-AU"/>
        </w:rPr>
        <w:t xml:space="preserve"> and Local Jobs First Policy. </w:t>
      </w:r>
    </w:p>
    <w:p w14:paraId="6F693B93" w14:textId="77777777" w:rsidR="005B5DFD" w:rsidRPr="005B5DFD" w:rsidRDefault="005B5DFD" w:rsidP="005B5DFD">
      <w:pPr>
        <w:spacing w:before="0" w:after="0"/>
        <w:rPr>
          <w:rFonts w:cs="Arial"/>
          <w:color w:val="000000"/>
          <w:sz w:val="20"/>
          <w:lang w:eastAsia="en-AU"/>
        </w:rPr>
      </w:pPr>
      <w:r w:rsidRPr="005B5DFD">
        <w:rPr>
          <w:rFonts w:cs="Arial"/>
          <w:color w:val="000000"/>
          <w:sz w:val="20"/>
          <w:lang w:eastAsia="en-AU"/>
        </w:rPr>
        <w:t> </w:t>
      </w:r>
    </w:p>
    <w:p w14:paraId="331F66A5"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Employment – </w:t>
      </w:r>
      <w:r w:rsidRPr="005B5DFD">
        <w:rPr>
          <w:rFonts w:ascii="Calibri" w:hAnsi="Calibri" w:cs="Calibri"/>
          <w:color w:val="auto"/>
          <w:sz w:val="20"/>
          <w:lang w:eastAsia="en-AU"/>
        </w:rPr>
        <w:t>Refers to the number of actual new or retained (i.e. existing) annualised employee equivalent opportunities (jobs) to be created in Australia and New Zealand as a result of the contract.</w:t>
      </w:r>
    </w:p>
    <w:p w14:paraId="56B1A5AD"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color w:val="auto"/>
          <w:sz w:val="20"/>
          <w:u w:val="single"/>
          <w:lang w:eastAsia="en-AU"/>
        </w:rPr>
        <w:lastRenderedPageBreak/>
        <w:t>Note</w:t>
      </w:r>
      <w:r w:rsidRPr="005B5DFD">
        <w:rPr>
          <w:rFonts w:ascii="Calibri" w:hAnsi="Calibri" w:cs="Calibri"/>
          <w:color w:val="auto"/>
          <w:sz w:val="20"/>
          <w:lang w:eastAsia="en-AU"/>
        </w:rPr>
        <w:t xml:space="preserve">: AEE replaces Full Time Equivalence (FTE), and is calculated by dividing the total number of ordinary working hours that an employee worked and was paid over the reporting period (including paid leave) by the total number of full-time working hours paid per annum (this is generally 38 hours per week for 52 weeks = 1976). </w:t>
      </w:r>
    </w:p>
    <w:p w14:paraId="782DC09A"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Expression of Interest - </w:t>
      </w:r>
      <w:r w:rsidRPr="005B5DFD">
        <w:rPr>
          <w:rFonts w:ascii="Calibri" w:hAnsi="Calibri" w:cs="Calibri"/>
          <w:color w:val="auto"/>
          <w:sz w:val="20"/>
          <w:lang w:eastAsia="en-AU"/>
        </w:rPr>
        <w:t>used to identify suppliers interested in, and capable of, delivering the required goods or services. Potential suppliers are asked to provide information on their capability and capacity to do the work. It is usually the first stage of a multi-stage procurement process.</w:t>
      </w:r>
    </w:p>
    <w:p w14:paraId="0E42BD39" w14:textId="77777777" w:rsidR="005B5DFD" w:rsidRPr="005B5DFD" w:rsidRDefault="005B5DFD" w:rsidP="005B5DFD">
      <w:pPr>
        <w:spacing w:before="0"/>
        <w:rPr>
          <w:rFonts w:ascii="Calibri" w:hAnsi="Calibri" w:cs="Calibri"/>
          <w:color w:val="auto"/>
          <w:sz w:val="22"/>
          <w:szCs w:val="22"/>
          <w:lang w:eastAsia="en-AU"/>
        </w:rPr>
      </w:pPr>
      <w:r w:rsidRPr="00780D48">
        <w:rPr>
          <w:rFonts w:ascii="Calibri" w:hAnsi="Calibri" w:cs="Calibri"/>
          <w:b/>
          <w:bCs/>
          <w:color w:val="auto"/>
          <w:sz w:val="20"/>
          <w:lang w:eastAsia="en-AU"/>
        </w:rPr>
        <w:t>Invitation to Supply</w:t>
      </w:r>
      <w:r w:rsidRPr="005B5DFD">
        <w:rPr>
          <w:rFonts w:ascii="Calibri" w:hAnsi="Calibri" w:cs="Calibri"/>
          <w:color w:val="auto"/>
          <w:sz w:val="22"/>
          <w:szCs w:val="22"/>
          <w:lang w:eastAsia="en-AU"/>
        </w:rPr>
        <w:t xml:space="preserve"> - </w:t>
      </w:r>
      <w:r w:rsidRPr="00A53470">
        <w:rPr>
          <w:rFonts w:ascii="Calibri" w:hAnsi="Calibri" w:cs="Calibri"/>
          <w:color w:val="auto"/>
          <w:sz w:val="20"/>
          <w:lang w:eastAsia="en-AU"/>
        </w:rPr>
        <w:t>a process of inviting offers to supply goods and/or services. This process covers both the request for quotation and request for tender process.</w:t>
      </w:r>
    </w:p>
    <w:p w14:paraId="3161EF20"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Jobs Created - </w:t>
      </w:r>
      <w:r w:rsidRPr="005B5DFD">
        <w:rPr>
          <w:rFonts w:ascii="Calibri" w:hAnsi="Calibri" w:cs="Calibri"/>
          <w:color w:val="auto"/>
          <w:sz w:val="20"/>
          <w:lang w:eastAsia="en-AU"/>
        </w:rPr>
        <w:t>a job (one Annual Employee Equivalent (AEE)) that has been specifically employed by a supplier or subcontractors, because of the work generated by a specific project.</w:t>
      </w:r>
    </w:p>
    <w:p w14:paraId="151F7A0A"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Jobs Retained – </w:t>
      </w:r>
      <w:r w:rsidRPr="005B5DFD">
        <w:rPr>
          <w:rFonts w:ascii="Calibri" w:hAnsi="Calibri" w:cs="Calibri"/>
          <w:color w:val="auto"/>
          <w:sz w:val="20"/>
          <w:lang w:eastAsia="en-AU"/>
        </w:rPr>
        <w:t>a job (one Annual Employee Equivalent (AEE)) that has been working for a supplier or subcontractor before signing a project contract, working in tasks/works related to the project.</w:t>
      </w:r>
    </w:p>
    <w:p w14:paraId="6784584E" w14:textId="3453B8DD" w:rsidR="009A3957" w:rsidRDefault="009A3957" w:rsidP="009A3957">
      <w:pPr>
        <w:jc w:val="both"/>
        <w:rPr>
          <w:rFonts w:ascii="Calibri" w:hAnsi="Calibri" w:cs="Calibri"/>
          <w:b/>
          <w:bCs/>
          <w:color w:val="auto"/>
          <w:sz w:val="20"/>
          <w:lang w:eastAsia="en-AU"/>
        </w:rPr>
      </w:pPr>
      <w:r>
        <w:rPr>
          <w:rFonts w:ascii="Calibri" w:hAnsi="Calibri" w:cs="Calibri"/>
          <w:b/>
          <w:bCs/>
          <w:color w:val="auto"/>
          <w:sz w:val="20"/>
          <w:lang w:eastAsia="en-AU"/>
        </w:rPr>
        <w:t xml:space="preserve">Limited Contestability – </w:t>
      </w:r>
      <w:r w:rsidRPr="006E60AF">
        <w:rPr>
          <w:rFonts w:ascii="Calibri" w:hAnsi="Calibri" w:cs="Calibri"/>
          <w:color w:val="auto"/>
          <w:sz w:val="20"/>
          <w:lang w:eastAsia="en-AU"/>
        </w:rPr>
        <w:t>A project or aspect of a Local Jobs First project that has been deemed to be of nil or limited contestability. This means that the Industry Capability Network Victoria (ICN) has judged that goods produced, services supplied and construction activities to be used in this contract of nil or limited contestability meaning the local content is equal to or greater than 97 percent.</w:t>
      </w:r>
    </w:p>
    <w:p w14:paraId="73999C2F" w14:textId="6BF9C195"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Local – </w:t>
      </w:r>
      <w:r w:rsidRPr="005B5DFD">
        <w:rPr>
          <w:rFonts w:ascii="Calibri" w:hAnsi="Calibri" w:cs="Calibri"/>
          <w:color w:val="auto"/>
          <w:sz w:val="20"/>
          <w:lang w:eastAsia="en-AU"/>
        </w:rPr>
        <w:t xml:space="preserve">The term local means all suppliers producing Victorian, Australian or New Zealand goods or services or when they have added value to imported items, such providing a local employment outcome to an imported product. </w:t>
      </w:r>
    </w:p>
    <w:p w14:paraId="6709AD02"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Local Content – </w:t>
      </w:r>
      <w:r w:rsidRPr="005B5DFD">
        <w:rPr>
          <w:rFonts w:ascii="Calibri" w:hAnsi="Calibri" w:cs="Calibri"/>
          <w:color w:val="auto"/>
          <w:sz w:val="20"/>
          <w:lang w:eastAsia="en-AU"/>
        </w:rPr>
        <w:t xml:space="preserve">The term local content covers all suppliers producing Australian or New Zealand (ANZ) goods or services or when they have added value to imported items. Local content means goods that are produced by local industry, or services that are supplied by local industry or construction activities carried out by local industry. Local assembly of imported materials, transport of goods, and local labour are all examples of local content or local added value. </w:t>
      </w:r>
    </w:p>
    <w:p w14:paraId="793F2254"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Local Industry – </w:t>
      </w:r>
      <w:r w:rsidRPr="005B5DFD">
        <w:rPr>
          <w:rFonts w:ascii="Calibri" w:hAnsi="Calibri" w:cs="Calibri"/>
          <w:color w:val="auto"/>
          <w:sz w:val="20"/>
          <w:lang w:eastAsia="en-AU"/>
        </w:rPr>
        <w:t>Local industry means industry and other businesses based in Australia or New Zealand.</w:t>
      </w:r>
    </w:p>
    <w:p w14:paraId="0614F358" w14:textId="49641871"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Local Industry Development Plan (LIDP) – </w:t>
      </w:r>
      <w:r w:rsidRPr="005B5DFD">
        <w:rPr>
          <w:rFonts w:ascii="Calibri" w:hAnsi="Calibri" w:cs="Calibri"/>
          <w:color w:val="auto"/>
          <w:sz w:val="20"/>
          <w:lang w:eastAsia="en-AU"/>
        </w:rPr>
        <w:t xml:space="preserve">A Local Industry Development Plan is a document prepared by the supplier as part of the Expression of Interest, Request for Tender and/or tender submission for a Local Jobs First project. The LIDP details the supplier’s commitment to address the LJF requirements and details the expected local content and job outcomes. An LIDP must have an ICN </w:t>
      </w:r>
      <w:r w:rsidR="00B5557E">
        <w:rPr>
          <w:rFonts w:ascii="Calibri" w:hAnsi="Calibri" w:cs="Calibri"/>
          <w:color w:val="auto"/>
          <w:sz w:val="20"/>
          <w:lang w:eastAsia="en-AU"/>
        </w:rPr>
        <w:t>Acknowledgement Letter</w:t>
      </w:r>
      <w:r w:rsidRPr="005B5DFD">
        <w:rPr>
          <w:rFonts w:ascii="Calibri" w:hAnsi="Calibri" w:cs="Calibri"/>
          <w:color w:val="auto"/>
          <w:sz w:val="20"/>
          <w:lang w:eastAsia="en-AU"/>
        </w:rPr>
        <w:t xml:space="preserve"> from the ICN to be compliant.</w:t>
      </w:r>
    </w:p>
    <w:p w14:paraId="6CC83023"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Local Jobs First Commissioner –</w:t>
      </w:r>
      <w:r w:rsidRPr="005B5DFD">
        <w:rPr>
          <w:rFonts w:ascii="Calibri" w:hAnsi="Calibri" w:cs="Calibri"/>
          <w:color w:val="auto"/>
          <w:sz w:val="20"/>
          <w:lang w:eastAsia="en-AU"/>
        </w:rPr>
        <w:t xml:space="preserve"> An independent statutory officer with advocacy, engagement and compliance powers in relation to Local Jobs First. Further details can be found at </w:t>
      </w:r>
      <w:hyperlink r:id="rId27" w:history="1">
        <w:r w:rsidRPr="005B5DFD">
          <w:rPr>
            <w:rFonts w:ascii="Calibri" w:hAnsi="Calibri" w:cs="Calibri"/>
            <w:color w:val="0000FF"/>
            <w:sz w:val="20"/>
            <w:u w:val="single"/>
            <w:lang w:eastAsia="en-AU"/>
          </w:rPr>
          <w:t>https://www.localjobsfirst.vic.gov.au/local-jobs-first-commissioner</w:t>
        </w:r>
      </w:hyperlink>
    </w:p>
    <w:p w14:paraId="56EB9F42"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Local Jobs First Policy – </w:t>
      </w:r>
      <w:r w:rsidRPr="005B5DFD">
        <w:rPr>
          <w:rFonts w:ascii="Calibri" w:hAnsi="Calibri" w:cs="Calibri"/>
          <w:color w:val="auto"/>
          <w:sz w:val="20"/>
          <w:lang w:eastAsia="en-AU"/>
        </w:rPr>
        <w:t>The Local Jobs First Policy is comprised of the Victorian Industry Participation Policy and the Major Projects Skills Guarantee.</w:t>
      </w:r>
    </w:p>
    <w:p w14:paraId="28497A39" w14:textId="77777777" w:rsidR="005B5DFD" w:rsidRPr="005B5DFD" w:rsidRDefault="005B5DFD" w:rsidP="005B5DFD">
      <w:pPr>
        <w:rPr>
          <w:rFonts w:ascii="Calibri" w:hAnsi="Calibri" w:cs="Calibri"/>
          <w:color w:val="auto"/>
          <w:sz w:val="20"/>
          <w:lang w:eastAsia="en-AU"/>
        </w:rPr>
      </w:pPr>
      <w:r w:rsidRPr="005B5DFD">
        <w:rPr>
          <w:rFonts w:ascii="Calibri" w:hAnsi="Calibri" w:cs="Calibri"/>
          <w:b/>
          <w:bCs/>
          <w:color w:val="auto"/>
          <w:sz w:val="20"/>
          <w:lang w:eastAsia="en-AU"/>
        </w:rPr>
        <w:t xml:space="preserve">Local Value Added Content - </w:t>
      </w:r>
      <w:r w:rsidRPr="005B5DFD">
        <w:rPr>
          <w:rFonts w:ascii="Calibri" w:hAnsi="Calibri" w:cs="Calibri"/>
          <w:color w:val="auto"/>
          <w:sz w:val="20"/>
          <w:lang w:eastAsia="en-AU"/>
        </w:rPr>
        <w:t>Refers to products or services that are added locally onto an imported product.</w:t>
      </w:r>
    </w:p>
    <w:p w14:paraId="25E2AEFB"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Major Projects Skills Guarantee – </w:t>
      </w:r>
      <w:r w:rsidRPr="005B5DFD">
        <w:rPr>
          <w:rFonts w:ascii="Calibri" w:hAnsi="Calibri" w:cs="Calibri"/>
          <w:color w:val="auto"/>
          <w:sz w:val="20"/>
          <w:lang w:eastAsia="en-AU"/>
        </w:rPr>
        <w:t>The Major Projects Skills Guarantee is a policy that provides job opportunities for apprentices, trainees and cadets on high value construction and infrastructure projects.</w:t>
      </w:r>
    </w:p>
    <w:p w14:paraId="045F9799"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Non-contestable items - </w:t>
      </w:r>
      <w:r w:rsidRPr="005B5DFD">
        <w:rPr>
          <w:rFonts w:ascii="Calibri" w:hAnsi="Calibri" w:cs="Calibri"/>
          <w:color w:val="auto"/>
          <w:sz w:val="20"/>
          <w:lang w:eastAsia="en-AU"/>
        </w:rPr>
        <w:t>Items that are considered as only being available through the international marketplace or local suppliers only. That is, it is considered that there is no current competition between international and local suppliers to provide the good or service.</w:t>
      </w:r>
    </w:p>
    <w:p w14:paraId="6A8087DA" w14:textId="77777777" w:rsidR="005B5DFD" w:rsidRPr="005B5DFD" w:rsidRDefault="005B5DFD" w:rsidP="005B5DFD">
      <w:pPr>
        <w:rPr>
          <w:rFonts w:ascii="Calibri" w:hAnsi="Calibri" w:cs="Calibri"/>
          <w:color w:val="auto"/>
          <w:sz w:val="20"/>
          <w:lang w:eastAsia="en-AU"/>
        </w:rPr>
      </w:pPr>
      <w:r w:rsidRPr="005B5DFD">
        <w:rPr>
          <w:rFonts w:ascii="Calibri" w:hAnsi="Calibri" w:cs="Calibri"/>
          <w:b/>
          <w:bCs/>
          <w:color w:val="auto"/>
          <w:sz w:val="20"/>
          <w:lang w:eastAsia="en-AU"/>
        </w:rPr>
        <w:t xml:space="preserve">Practical Completion - </w:t>
      </w:r>
      <w:r w:rsidRPr="005B5DFD">
        <w:rPr>
          <w:rFonts w:ascii="Calibri" w:hAnsi="Calibri" w:cs="Calibri"/>
          <w:color w:val="auto"/>
          <w:sz w:val="20"/>
          <w:lang w:eastAsia="en-AU"/>
        </w:rPr>
        <w:t xml:space="preserve">The end of the project aside from minor administrative tasks. </w:t>
      </w:r>
    </w:p>
    <w:p w14:paraId="5FE8B2B9"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lastRenderedPageBreak/>
        <w:t xml:space="preserve">SME – </w:t>
      </w:r>
      <w:r w:rsidRPr="005B5DFD">
        <w:rPr>
          <w:rFonts w:ascii="Calibri" w:hAnsi="Calibri" w:cs="Calibri"/>
          <w:color w:val="auto"/>
          <w:sz w:val="20"/>
          <w:lang w:eastAsia="en-AU"/>
        </w:rPr>
        <w:t>Small-to-Medium Enterprises</w:t>
      </w:r>
    </w:p>
    <w:p w14:paraId="7D1D5F0F"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Specialist Equipment - </w:t>
      </w:r>
      <w:r w:rsidRPr="005B5DFD">
        <w:rPr>
          <w:rFonts w:ascii="Calibri" w:hAnsi="Calibri" w:cs="Calibri"/>
          <w:color w:val="auto"/>
          <w:sz w:val="20"/>
          <w:lang w:eastAsia="en-AU"/>
        </w:rPr>
        <w:t xml:space="preserve">Refers to significant items or systems of equipment of significant cost that will be purchased by the supplier to meet the scope of works on a specific Local Jobs First project. </w:t>
      </w:r>
    </w:p>
    <w:p w14:paraId="6AD4CC51"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Standard employee – </w:t>
      </w:r>
      <w:r w:rsidRPr="005B5DFD">
        <w:rPr>
          <w:rFonts w:ascii="Calibri" w:hAnsi="Calibri" w:cs="Calibri"/>
          <w:color w:val="auto"/>
          <w:sz w:val="20"/>
          <w:lang w:eastAsia="en-AU"/>
        </w:rPr>
        <w:t>All employees not classified as apprentices, cadets or trainees.</w:t>
      </w:r>
    </w:p>
    <w:p w14:paraId="00AF21A9" w14:textId="77777777" w:rsidR="005B5DFD" w:rsidRPr="005B5DFD" w:rsidRDefault="005B5DFD" w:rsidP="005B5DFD">
      <w:pPr>
        <w:rPr>
          <w:rFonts w:ascii="Calibri" w:hAnsi="Calibri" w:cs="Calibri"/>
          <w:color w:val="auto"/>
          <w:sz w:val="20"/>
          <w:lang w:eastAsia="en-AU"/>
        </w:rPr>
      </w:pPr>
      <w:r w:rsidRPr="005B5DFD">
        <w:rPr>
          <w:rFonts w:ascii="Calibri" w:hAnsi="Calibri" w:cs="Calibri"/>
          <w:b/>
          <w:bCs/>
          <w:color w:val="auto"/>
          <w:sz w:val="20"/>
          <w:lang w:eastAsia="en-AU"/>
        </w:rPr>
        <w:t xml:space="preserve">Total Contract Sum – </w:t>
      </w:r>
      <w:r w:rsidRPr="005B5DFD">
        <w:rPr>
          <w:rFonts w:ascii="Calibri" w:hAnsi="Calibri" w:cs="Calibri"/>
          <w:color w:val="auto"/>
          <w:sz w:val="20"/>
          <w:lang w:eastAsia="en-AU"/>
        </w:rPr>
        <w:t xml:space="preserve">The sum of the contract to a specific supplier. May form just one part of the total project value. </w:t>
      </w:r>
    </w:p>
    <w:p w14:paraId="59AB08F7"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Trainee - </w:t>
      </w:r>
      <w:r w:rsidRPr="005B5DFD">
        <w:rPr>
          <w:rFonts w:ascii="Calibri" w:hAnsi="Calibri" w:cs="Calibri"/>
          <w:color w:val="auto"/>
          <w:sz w:val="20"/>
          <w:lang w:eastAsia="en-AU"/>
        </w:rPr>
        <w:t>Traineeships are undertaken under a National Training Contract between an employer and a trainee that combines training with paid employment. Traineeships are undertaken at Certificate II level and above including Diploma and Advance Diploma. Traineeships can be in areas including business services, information technology or community services. Traineeships typically have a duration of one to two years and are competency based. Only work contributed by a trainee registered with the Victorian Registration and Qualification Authority (VRQA) may be counted against the minimum 10 per cent MPSG requirement.</w:t>
      </w:r>
    </w:p>
    <w:p w14:paraId="1183CAE5"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Request for Tender - </w:t>
      </w:r>
      <w:r w:rsidRPr="005B5DFD">
        <w:rPr>
          <w:rFonts w:ascii="Calibri" w:hAnsi="Calibri" w:cs="Calibri"/>
          <w:color w:val="auto"/>
          <w:sz w:val="20"/>
          <w:lang w:eastAsia="en-AU"/>
        </w:rPr>
        <w:t>an invitation to supply or a request for offer against a set of clearly defined and specified requirements. Invitees are advised of all requirements involved including the conditions of participation and proposed contract conditions.</w:t>
      </w:r>
    </w:p>
    <w:p w14:paraId="080B65FF" w14:textId="706340CB"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Rural and Regional Victoria –  </w:t>
      </w:r>
      <w:r w:rsidRPr="005B5DFD">
        <w:rPr>
          <w:rFonts w:ascii="Calibri" w:hAnsi="Calibri" w:cs="Calibri"/>
          <w:color w:val="auto"/>
          <w:sz w:val="20"/>
          <w:lang w:val="en-US" w:eastAsia="en-AU"/>
        </w:rPr>
        <w:t xml:space="preserve">Rural and Regional Victoria is defined as the 48 local government areas, including six alpine resort areas, set out in Schedule 2 of the </w:t>
      </w:r>
      <w:hyperlink r:id="rId28" w:history="1">
        <w:r w:rsidRPr="005B5DFD">
          <w:rPr>
            <w:rFonts w:ascii="Calibri" w:hAnsi="Calibri" w:cs="Calibri"/>
            <w:i/>
            <w:iCs/>
            <w:color w:val="0000FF"/>
            <w:sz w:val="20"/>
            <w:u w:val="single"/>
            <w:lang w:val="en-US" w:eastAsia="en-AU"/>
          </w:rPr>
          <w:t>Regional Development Victoria Act 2002</w:t>
        </w:r>
      </w:hyperlink>
      <w:r w:rsidRPr="005B5DFD">
        <w:rPr>
          <w:rFonts w:ascii="Calibri" w:hAnsi="Calibri" w:cs="Calibri"/>
          <w:color w:val="auto"/>
          <w:sz w:val="20"/>
          <w:lang w:val="en-US" w:eastAsia="en-AU"/>
        </w:rPr>
        <w:t xml:space="preserve">. The 10 regional city local government areas are </w:t>
      </w:r>
      <w:hyperlink r:id="rId29" w:history="1">
        <w:r w:rsidRPr="005B5DFD">
          <w:rPr>
            <w:rFonts w:ascii="Calibri" w:hAnsi="Calibri" w:cs="Calibri"/>
            <w:color w:val="0000FF"/>
            <w:sz w:val="20"/>
            <w:u w:val="single"/>
            <w:lang w:val="en-US" w:eastAsia="en-AU"/>
          </w:rPr>
          <w:t>Ballarat</w:t>
        </w:r>
      </w:hyperlink>
      <w:r w:rsidRPr="005B5DFD">
        <w:rPr>
          <w:rFonts w:ascii="Calibri" w:hAnsi="Calibri" w:cs="Calibri"/>
          <w:color w:val="auto"/>
          <w:sz w:val="20"/>
          <w:lang w:val="en-US" w:eastAsia="en-AU"/>
        </w:rPr>
        <w:t xml:space="preserve">, </w:t>
      </w:r>
      <w:hyperlink r:id="rId30" w:history="1">
        <w:r w:rsidRPr="005B5DFD">
          <w:rPr>
            <w:rFonts w:ascii="Calibri" w:hAnsi="Calibri" w:cs="Calibri"/>
            <w:color w:val="0000FF"/>
            <w:sz w:val="20"/>
            <w:u w:val="single"/>
            <w:lang w:val="en-US" w:eastAsia="en-AU"/>
          </w:rPr>
          <w:t>Greater Bendigo</w:t>
        </w:r>
      </w:hyperlink>
      <w:r w:rsidRPr="005B5DFD">
        <w:rPr>
          <w:rFonts w:ascii="Calibri" w:hAnsi="Calibri" w:cs="Calibri"/>
          <w:color w:val="auto"/>
          <w:sz w:val="20"/>
          <w:lang w:val="en-US" w:eastAsia="en-AU"/>
        </w:rPr>
        <w:t xml:space="preserve">, </w:t>
      </w:r>
      <w:hyperlink r:id="rId31" w:history="1">
        <w:r w:rsidRPr="005B5DFD">
          <w:rPr>
            <w:rFonts w:ascii="Calibri" w:hAnsi="Calibri" w:cs="Calibri"/>
            <w:color w:val="0000FF"/>
            <w:sz w:val="20"/>
            <w:u w:val="single"/>
            <w:lang w:val="en-US" w:eastAsia="en-AU"/>
          </w:rPr>
          <w:t>Greater Geelong</w:t>
        </w:r>
      </w:hyperlink>
      <w:r w:rsidRPr="005B5DFD">
        <w:rPr>
          <w:rFonts w:ascii="Calibri" w:hAnsi="Calibri" w:cs="Calibri"/>
          <w:color w:val="auto"/>
          <w:sz w:val="20"/>
          <w:lang w:val="en-US" w:eastAsia="en-AU"/>
        </w:rPr>
        <w:t xml:space="preserve">, </w:t>
      </w:r>
      <w:hyperlink r:id="rId32" w:history="1">
        <w:r w:rsidRPr="005B5DFD">
          <w:rPr>
            <w:rFonts w:ascii="Calibri" w:hAnsi="Calibri" w:cs="Calibri"/>
            <w:color w:val="0000FF"/>
            <w:sz w:val="20"/>
            <w:u w:val="single"/>
            <w:lang w:val="en-US" w:eastAsia="en-AU"/>
          </w:rPr>
          <w:t xml:space="preserve">Greater </w:t>
        </w:r>
        <w:r w:rsidR="005D2501" w:rsidRPr="005B5DFD">
          <w:rPr>
            <w:rFonts w:ascii="Calibri" w:hAnsi="Calibri" w:cs="Calibri"/>
            <w:color w:val="0000FF"/>
            <w:sz w:val="20"/>
            <w:u w:val="single"/>
            <w:lang w:val="en-US" w:eastAsia="en-AU"/>
          </w:rPr>
          <w:t>Shepperton</w:t>
        </w:r>
      </w:hyperlink>
      <w:r w:rsidRPr="005B5DFD">
        <w:rPr>
          <w:rFonts w:ascii="Calibri" w:hAnsi="Calibri" w:cs="Calibri"/>
          <w:color w:val="auto"/>
          <w:sz w:val="20"/>
          <w:lang w:val="en-US" w:eastAsia="en-AU"/>
        </w:rPr>
        <w:t xml:space="preserve">, </w:t>
      </w:r>
      <w:hyperlink r:id="rId33" w:history="1">
        <w:r w:rsidRPr="005B5DFD">
          <w:rPr>
            <w:rFonts w:ascii="Calibri" w:hAnsi="Calibri" w:cs="Calibri"/>
            <w:color w:val="0000FF"/>
            <w:sz w:val="20"/>
            <w:u w:val="single"/>
            <w:lang w:val="en-US" w:eastAsia="en-AU"/>
          </w:rPr>
          <w:t>Horsham</w:t>
        </w:r>
      </w:hyperlink>
      <w:r w:rsidRPr="005B5DFD">
        <w:rPr>
          <w:rFonts w:ascii="Calibri" w:hAnsi="Calibri" w:cs="Calibri"/>
          <w:color w:val="auto"/>
          <w:sz w:val="20"/>
          <w:lang w:val="en-US" w:eastAsia="en-AU"/>
        </w:rPr>
        <w:t xml:space="preserve">, </w:t>
      </w:r>
      <w:hyperlink r:id="rId34" w:history="1">
        <w:r w:rsidRPr="005B5DFD">
          <w:rPr>
            <w:rFonts w:ascii="Calibri" w:hAnsi="Calibri" w:cs="Calibri"/>
            <w:color w:val="0000FF"/>
            <w:sz w:val="20"/>
            <w:u w:val="single"/>
            <w:lang w:val="en-US" w:eastAsia="en-AU"/>
          </w:rPr>
          <w:t>Latrobe</w:t>
        </w:r>
      </w:hyperlink>
      <w:r w:rsidRPr="005B5DFD">
        <w:rPr>
          <w:rFonts w:ascii="Calibri" w:hAnsi="Calibri" w:cs="Calibri"/>
          <w:color w:val="auto"/>
          <w:sz w:val="20"/>
          <w:lang w:val="en-US" w:eastAsia="en-AU"/>
        </w:rPr>
        <w:t xml:space="preserve">, </w:t>
      </w:r>
      <w:hyperlink r:id="rId35" w:history="1">
        <w:r w:rsidRPr="005B5DFD">
          <w:rPr>
            <w:rFonts w:ascii="Calibri" w:hAnsi="Calibri" w:cs="Calibri"/>
            <w:color w:val="0000FF"/>
            <w:sz w:val="20"/>
            <w:u w:val="single"/>
            <w:lang w:val="en-US" w:eastAsia="en-AU"/>
          </w:rPr>
          <w:t>Mildura</w:t>
        </w:r>
      </w:hyperlink>
      <w:r w:rsidRPr="005B5DFD">
        <w:rPr>
          <w:rFonts w:ascii="Calibri" w:hAnsi="Calibri" w:cs="Calibri"/>
          <w:color w:val="auto"/>
          <w:sz w:val="20"/>
          <w:lang w:val="en-US" w:eastAsia="en-AU"/>
        </w:rPr>
        <w:t xml:space="preserve">, </w:t>
      </w:r>
      <w:hyperlink r:id="rId36" w:history="1">
        <w:r w:rsidRPr="005B5DFD">
          <w:rPr>
            <w:rFonts w:ascii="Calibri" w:hAnsi="Calibri" w:cs="Calibri"/>
            <w:color w:val="0000FF"/>
            <w:sz w:val="20"/>
            <w:u w:val="single"/>
            <w:lang w:val="en-US" w:eastAsia="en-AU"/>
          </w:rPr>
          <w:t>Wangaratta</w:t>
        </w:r>
      </w:hyperlink>
      <w:r w:rsidRPr="005B5DFD">
        <w:rPr>
          <w:rFonts w:ascii="Calibri" w:hAnsi="Calibri" w:cs="Calibri"/>
          <w:color w:val="auto"/>
          <w:sz w:val="20"/>
          <w:lang w:val="en-US" w:eastAsia="en-AU"/>
        </w:rPr>
        <w:t xml:space="preserve">, </w:t>
      </w:r>
      <w:hyperlink r:id="rId37" w:history="1">
        <w:r w:rsidRPr="005B5DFD">
          <w:rPr>
            <w:rFonts w:ascii="Calibri" w:hAnsi="Calibri" w:cs="Calibri"/>
            <w:color w:val="0000FF"/>
            <w:sz w:val="20"/>
            <w:u w:val="single"/>
            <w:lang w:val="en-US" w:eastAsia="en-AU"/>
          </w:rPr>
          <w:t>Warrnambool</w:t>
        </w:r>
      </w:hyperlink>
      <w:r w:rsidRPr="005B5DFD">
        <w:rPr>
          <w:rFonts w:ascii="Calibri" w:hAnsi="Calibri" w:cs="Calibri"/>
          <w:color w:val="auto"/>
          <w:sz w:val="20"/>
          <w:lang w:val="en-US" w:eastAsia="en-AU"/>
        </w:rPr>
        <w:t xml:space="preserve"> and </w:t>
      </w:r>
      <w:hyperlink r:id="rId38" w:history="1">
        <w:r w:rsidRPr="005B5DFD">
          <w:rPr>
            <w:rFonts w:ascii="Calibri" w:hAnsi="Calibri" w:cs="Calibri"/>
            <w:color w:val="0000FF"/>
            <w:sz w:val="20"/>
            <w:u w:val="single"/>
            <w:lang w:val="en-US" w:eastAsia="en-AU"/>
          </w:rPr>
          <w:t>Wodonga</w:t>
        </w:r>
      </w:hyperlink>
      <w:r w:rsidRPr="005B5DFD">
        <w:rPr>
          <w:rFonts w:ascii="Calibri" w:hAnsi="Calibri" w:cs="Calibri"/>
          <w:color w:val="auto"/>
          <w:sz w:val="20"/>
          <w:lang w:val="en-US" w:eastAsia="en-AU"/>
        </w:rPr>
        <w:t>. The remaining 38 local government areas, including six alpine resort areas, are referred to as the rural local government areas.</w:t>
      </w:r>
    </w:p>
    <w:p w14:paraId="3854A0F5"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Value for money – </w:t>
      </w:r>
      <w:r w:rsidRPr="005B5DFD">
        <w:rPr>
          <w:rFonts w:ascii="Calibri" w:hAnsi="Calibri" w:cs="Calibri"/>
          <w:color w:val="auto"/>
          <w:sz w:val="20"/>
          <w:lang w:eastAsia="en-AU"/>
        </w:rPr>
        <w:t>Value for money is a balanced judgement of a range of financial and non-financial factors. It considers the mix of quality, cost and resources; fitness for purpose; total cost of ownership and risk.</w:t>
      </w:r>
    </w:p>
    <w:p w14:paraId="21AFAF1F" w14:textId="77777777" w:rsidR="005B5DFD" w:rsidRPr="005B5DFD" w:rsidRDefault="005B5DFD" w:rsidP="005B5DFD">
      <w:pPr>
        <w:spacing w:before="0"/>
        <w:rPr>
          <w:rFonts w:ascii="Calibri" w:hAnsi="Calibri" w:cs="Calibri"/>
          <w:color w:val="auto"/>
          <w:sz w:val="20"/>
          <w:lang w:eastAsia="en-AU"/>
        </w:rPr>
      </w:pPr>
      <w:r w:rsidRPr="005B5DFD">
        <w:rPr>
          <w:rFonts w:ascii="Calibri" w:hAnsi="Calibri" w:cs="Calibri"/>
          <w:b/>
          <w:bCs/>
          <w:color w:val="auto"/>
          <w:sz w:val="20"/>
          <w:lang w:eastAsia="en-AU"/>
        </w:rPr>
        <w:t xml:space="preserve">Work Package – </w:t>
      </w:r>
      <w:r w:rsidRPr="005B5DFD">
        <w:rPr>
          <w:rFonts w:ascii="Calibri" w:hAnsi="Calibri" w:cs="Calibri"/>
          <w:color w:val="auto"/>
          <w:sz w:val="20"/>
          <w:lang w:eastAsia="en-AU"/>
        </w:rPr>
        <w:t>Work package is used to define and group different parts of a project in a way that helps organise and define the overall project.</w:t>
      </w:r>
    </w:p>
    <w:p w14:paraId="3064BEF9" w14:textId="77777777" w:rsidR="002224C9" w:rsidRPr="002224C9" w:rsidRDefault="002224C9" w:rsidP="002224C9"/>
    <w:p w14:paraId="0D7E2107" w14:textId="77777777" w:rsidR="00370ADF" w:rsidRDefault="00370ADF">
      <w:pPr>
        <w:spacing w:before="0" w:line="276" w:lineRule="auto"/>
      </w:pPr>
    </w:p>
    <w:p w14:paraId="506CA96B" w14:textId="77777777" w:rsidR="00370ADF" w:rsidRDefault="00370ADF">
      <w:pPr>
        <w:spacing w:before="0" w:line="276" w:lineRule="auto"/>
      </w:pPr>
    </w:p>
    <w:p w14:paraId="322E2F77" w14:textId="77777777" w:rsidR="00370ADF" w:rsidRDefault="00370ADF">
      <w:pPr>
        <w:spacing w:before="0" w:line="276" w:lineRule="auto"/>
      </w:pPr>
    </w:p>
    <w:p w14:paraId="105C1E49" w14:textId="77777777" w:rsidR="00370ADF" w:rsidRDefault="00370ADF">
      <w:pPr>
        <w:spacing w:before="0" w:line="276" w:lineRule="auto"/>
      </w:pPr>
    </w:p>
    <w:p w14:paraId="351263AB" w14:textId="77777777" w:rsidR="00370ADF" w:rsidRDefault="00370ADF">
      <w:pPr>
        <w:spacing w:before="0" w:line="276" w:lineRule="auto"/>
      </w:pPr>
    </w:p>
    <w:p w14:paraId="463306DF" w14:textId="77777777" w:rsidR="00370ADF" w:rsidRDefault="00370ADF">
      <w:pPr>
        <w:spacing w:before="0" w:line="276" w:lineRule="auto"/>
      </w:pPr>
    </w:p>
    <w:p w14:paraId="1CFF21F5" w14:textId="77777777" w:rsidR="00370ADF" w:rsidRDefault="00370ADF">
      <w:pPr>
        <w:spacing w:before="0" w:line="276" w:lineRule="auto"/>
      </w:pPr>
    </w:p>
    <w:p w14:paraId="0FF2B191" w14:textId="77777777" w:rsidR="00370ADF" w:rsidRDefault="00370ADF">
      <w:pPr>
        <w:spacing w:before="0" w:line="276" w:lineRule="auto"/>
      </w:pPr>
    </w:p>
    <w:p w14:paraId="54F76646" w14:textId="77777777" w:rsidR="00370ADF" w:rsidRDefault="00370ADF">
      <w:pPr>
        <w:spacing w:before="0" w:line="276" w:lineRule="auto"/>
      </w:pPr>
    </w:p>
    <w:p w14:paraId="5EE966AB" w14:textId="77777777" w:rsidR="00370ADF" w:rsidRDefault="00370ADF">
      <w:pPr>
        <w:spacing w:before="0" w:line="276" w:lineRule="auto"/>
      </w:pPr>
    </w:p>
    <w:p w14:paraId="21E3C9AC" w14:textId="77777777" w:rsidR="00370ADF" w:rsidRDefault="00370ADF">
      <w:pPr>
        <w:spacing w:before="0" w:line="276" w:lineRule="auto"/>
      </w:pPr>
    </w:p>
    <w:p w14:paraId="710B3F3D" w14:textId="77777777" w:rsidR="00370ADF" w:rsidRDefault="00370ADF">
      <w:pPr>
        <w:spacing w:before="0" w:line="276" w:lineRule="auto"/>
      </w:pPr>
    </w:p>
    <w:p w14:paraId="47D03AD5" w14:textId="77777777" w:rsidR="00370ADF" w:rsidRDefault="00370ADF">
      <w:pPr>
        <w:spacing w:before="0" w:line="276" w:lineRule="auto"/>
      </w:pPr>
    </w:p>
    <w:p w14:paraId="16B34462" w14:textId="77777777" w:rsidR="00370ADF" w:rsidRDefault="00370ADF">
      <w:pPr>
        <w:spacing w:before="0" w:line="276" w:lineRule="auto"/>
        <w:sectPr w:rsidR="00370ADF" w:rsidSect="004B3FC2">
          <w:headerReference w:type="default" r:id="rId39"/>
          <w:footerReference w:type="default" r:id="rId40"/>
          <w:pgSz w:w="11906" w:h="16838"/>
          <w:pgMar w:top="1440" w:right="1440" w:bottom="1440" w:left="1440" w:header="708" w:footer="137" w:gutter="0"/>
          <w:pgNumType w:start="1"/>
          <w:cols w:space="708"/>
          <w:titlePg/>
          <w:docGrid w:linePitch="360"/>
        </w:sectPr>
      </w:pPr>
    </w:p>
    <w:p w14:paraId="2C078959" w14:textId="3139B8FD" w:rsidR="00521288" w:rsidRDefault="008F646E" w:rsidP="00EC1880">
      <w:pPr>
        <w:pStyle w:val="Heading2"/>
        <w:numPr>
          <w:ilvl w:val="0"/>
          <w:numId w:val="0"/>
        </w:numPr>
        <w:ind w:left="576" w:hanging="576"/>
      </w:pPr>
      <w:bookmarkStart w:id="75" w:name="_Toc31116372"/>
      <w:r>
        <w:lastRenderedPageBreak/>
        <w:t xml:space="preserve">Appendix 2: </w:t>
      </w:r>
      <w:r w:rsidR="00370ADF">
        <w:t>Monitoring and Reporting table</w:t>
      </w:r>
      <w:r w:rsidR="002C63C5">
        <w:t xml:space="preserve"> </w:t>
      </w:r>
      <w:bookmarkEnd w:id="75"/>
      <w:r w:rsidR="002C63C5">
        <w:t xml:space="preserve"> </w:t>
      </w:r>
    </w:p>
    <w:p w14:paraId="59239ED8" w14:textId="313A7E2E" w:rsidR="00EC1880" w:rsidRPr="00EC1880" w:rsidRDefault="002C63C5" w:rsidP="00521288">
      <w:pPr>
        <w:pStyle w:val="bodycopy"/>
      </w:pPr>
      <w:r w:rsidRPr="002C63C5">
        <w:t>Note</w:t>
      </w:r>
      <w:r>
        <w:t xml:space="preserve">: </w:t>
      </w:r>
      <w:r w:rsidR="00E90A48">
        <w:t>Example only. This table will</w:t>
      </w:r>
      <w:r w:rsidR="006315A5">
        <w:t xml:space="preserve"> </w:t>
      </w:r>
      <w:r w:rsidR="00E90A48">
        <w:t xml:space="preserve">reflect a project-by-project basis. </w:t>
      </w:r>
    </w:p>
    <w:tbl>
      <w:tblPr>
        <w:tblStyle w:val="TableGrid1"/>
        <w:tblW w:w="14440" w:type="dxa"/>
        <w:tblLayout w:type="fixed"/>
        <w:tblLook w:val="04A0" w:firstRow="1" w:lastRow="0" w:firstColumn="1" w:lastColumn="0" w:noHBand="0" w:noVBand="1"/>
      </w:tblPr>
      <w:tblGrid>
        <w:gridCol w:w="1033"/>
        <w:gridCol w:w="896"/>
        <w:gridCol w:w="1049"/>
        <w:gridCol w:w="698"/>
        <w:gridCol w:w="615"/>
        <w:gridCol w:w="624"/>
        <w:gridCol w:w="724"/>
        <w:gridCol w:w="637"/>
        <w:gridCol w:w="555"/>
        <w:gridCol w:w="39"/>
        <w:gridCol w:w="1358"/>
        <w:gridCol w:w="1012"/>
        <w:gridCol w:w="1138"/>
        <w:gridCol w:w="1014"/>
        <w:gridCol w:w="1012"/>
        <w:gridCol w:w="1012"/>
        <w:gridCol w:w="1012"/>
        <w:gridCol w:w="12"/>
      </w:tblGrid>
      <w:tr w:rsidR="00EC1880" w:rsidRPr="009E077A" w14:paraId="71047EE5" w14:textId="77777777" w:rsidTr="00631D46">
        <w:trPr>
          <w:trHeight w:val="220"/>
        </w:trPr>
        <w:tc>
          <w:tcPr>
            <w:tcW w:w="1034" w:type="dxa"/>
            <w:noWrap/>
            <w:hideMark/>
          </w:tcPr>
          <w:p w14:paraId="4691ACEB" w14:textId="77777777" w:rsidR="00EC1880" w:rsidRPr="009E077A" w:rsidRDefault="00EC1880" w:rsidP="00631D46">
            <w:pPr>
              <w:rPr>
                <w:rFonts w:eastAsiaTheme="minorHAnsi"/>
                <w:sz w:val="16"/>
                <w:szCs w:val="16"/>
              </w:rPr>
            </w:pPr>
          </w:p>
        </w:tc>
        <w:tc>
          <w:tcPr>
            <w:tcW w:w="897" w:type="dxa"/>
            <w:noWrap/>
            <w:hideMark/>
          </w:tcPr>
          <w:p w14:paraId="5DA39527" w14:textId="77777777" w:rsidR="00EC1880" w:rsidRPr="009E077A" w:rsidRDefault="00EC1880" w:rsidP="00631D46">
            <w:pPr>
              <w:rPr>
                <w:rFonts w:eastAsiaTheme="minorHAnsi"/>
                <w:sz w:val="16"/>
                <w:szCs w:val="16"/>
              </w:rPr>
            </w:pPr>
          </w:p>
        </w:tc>
        <w:tc>
          <w:tcPr>
            <w:tcW w:w="1049" w:type="dxa"/>
            <w:noWrap/>
            <w:hideMark/>
          </w:tcPr>
          <w:p w14:paraId="679DD494" w14:textId="77777777" w:rsidR="00EC1880" w:rsidRPr="009E077A" w:rsidRDefault="00EC1880" w:rsidP="00631D46">
            <w:pPr>
              <w:rPr>
                <w:rFonts w:eastAsiaTheme="minorHAnsi"/>
                <w:sz w:val="16"/>
                <w:szCs w:val="16"/>
              </w:rPr>
            </w:pPr>
          </w:p>
        </w:tc>
        <w:tc>
          <w:tcPr>
            <w:tcW w:w="3853" w:type="dxa"/>
            <w:gridSpan w:val="6"/>
            <w:hideMark/>
          </w:tcPr>
          <w:p w14:paraId="2CF122AF" w14:textId="77777777" w:rsidR="00EC1880" w:rsidRPr="009E077A" w:rsidRDefault="00EC1880" w:rsidP="00631D46">
            <w:pPr>
              <w:rPr>
                <w:rFonts w:eastAsiaTheme="minorHAnsi"/>
                <w:sz w:val="16"/>
                <w:szCs w:val="16"/>
              </w:rPr>
            </w:pPr>
            <w:r w:rsidRPr="009E077A">
              <w:rPr>
                <w:rFonts w:eastAsiaTheme="minorHAnsi"/>
                <w:sz w:val="16"/>
                <w:szCs w:val="16"/>
              </w:rPr>
              <w:t>LIDP Commitments</w:t>
            </w:r>
          </w:p>
        </w:tc>
        <w:tc>
          <w:tcPr>
            <w:tcW w:w="7607" w:type="dxa"/>
            <w:gridSpan w:val="9"/>
          </w:tcPr>
          <w:p w14:paraId="39CC6326" w14:textId="77777777" w:rsidR="00EC1880" w:rsidRPr="009E077A" w:rsidRDefault="00EC1880" w:rsidP="00631D46">
            <w:pPr>
              <w:rPr>
                <w:rFonts w:eastAsiaTheme="minorHAnsi"/>
                <w:sz w:val="16"/>
                <w:szCs w:val="16"/>
              </w:rPr>
            </w:pPr>
            <w:r w:rsidRPr="009E077A">
              <w:rPr>
                <w:rFonts w:eastAsiaTheme="minorHAnsi"/>
                <w:sz w:val="16"/>
                <w:szCs w:val="16"/>
              </w:rPr>
              <w:t xml:space="preserve">Secured </w:t>
            </w:r>
            <w:r>
              <w:rPr>
                <w:rFonts w:eastAsiaTheme="minorHAnsi"/>
                <w:sz w:val="16"/>
                <w:szCs w:val="16"/>
              </w:rPr>
              <w:t>Local Jobs First</w:t>
            </w:r>
            <w:r w:rsidRPr="009E077A">
              <w:rPr>
                <w:rFonts w:eastAsiaTheme="minorHAnsi"/>
                <w:sz w:val="16"/>
                <w:szCs w:val="16"/>
              </w:rPr>
              <w:t xml:space="preserve"> Outcomes</w:t>
            </w:r>
          </w:p>
        </w:tc>
      </w:tr>
      <w:tr w:rsidR="00EC1880" w:rsidRPr="009E077A" w14:paraId="45344757" w14:textId="77777777" w:rsidTr="00631D46">
        <w:trPr>
          <w:gridAfter w:val="1"/>
          <w:wAfter w:w="10" w:type="dxa"/>
          <w:trHeight w:val="392"/>
        </w:trPr>
        <w:tc>
          <w:tcPr>
            <w:tcW w:w="1034" w:type="dxa"/>
            <w:vMerge w:val="restart"/>
            <w:hideMark/>
          </w:tcPr>
          <w:p w14:paraId="54850C14" w14:textId="0103F3D2" w:rsidR="00EC1880" w:rsidRPr="009E077A" w:rsidRDefault="005D2501" w:rsidP="00631D46">
            <w:pPr>
              <w:rPr>
                <w:rFonts w:eastAsiaTheme="minorHAnsi"/>
                <w:sz w:val="16"/>
                <w:szCs w:val="16"/>
              </w:rPr>
            </w:pPr>
            <w:r w:rsidRPr="009E077A">
              <w:rPr>
                <w:rFonts w:eastAsiaTheme="minorHAnsi"/>
                <w:sz w:val="16"/>
                <w:szCs w:val="16"/>
              </w:rPr>
              <w:t>Work package</w:t>
            </w:r>
          </w:p>
        </w:tc>
        <w:tc>
          <w:tcPr>
            <w:tcW w:w="897" w:type="dxa"/>
            <w:vMerge w:val="restart"/>
            <w:hideMark/>
          </w:tcPr>
          <w:p w14:paraId="0F2D42E5" w14:textId="77777777" w:rsidR="00EC1880" w:rsidRPr="009E077A" w:rsidRDefault="00EC1880" w:rsidP="00631D46">
            <w:pPr>
              <w:rPr>
                <w:rFonts w:eastAsiaTheme="minorHAnsi"/>
                <w:sz w:val="16"/>
                <w:szCs w:val="16"/>
              </w:rPr>
            </w:pPr>
            <w:r w:rsidRPr="009E077A">
              <w:rPr>
                <w:rFonts w:eastAsiaTheme="minorHAnsi"/>
                <w:sz w:val="16"/>
                <w:szCs w:val="16"/>
              </w:rPr>
              <w:t>Item Description</w:t>
            </w:r>
          </w:p>
        </w:tc>
        <w:tc>
          <w:tcPr>
            <w:tcW w:w="1049" w:type="dxa"/>
            <w:vMerge w:val="restart"/>
            <w:hideMark/>
          </w:tcPr>
          <w:p w14:paraId="566C06AF" w14:textId="77777777" w:rsidR="00EC1880" w:rsidRPr="009E077A" w:rsidRDefault="00EC1880" w:rsidP="00631D46">
            <w:pPr>
              <w:rPr>
                <w:rFonts w:eastAsiaTheme="minorHAnsi"/>
                <w:sz w:val="16"/>
                <w:szCs w:val="16"/>
              </w:rPr>
            </w:pPr>
            <w:r w:rsidRPr="009E077A">
              <w:rPr>
                <w:rFonts w:eastAsiaTheme="minorHAnsi"/>
                <w:sz w:val="16"/>
                <w:szCs w:val="16"/>
              </w:rPr>
              <w:t>Manufacturer</w:t>
            </w:r>
          </w:p>
        </w:tc>
        <w:tc>
          <w:tcPr>
            <w:tcW w:w="698" w:type="dxa"/>
            <w:vMerge w:val="restart"/>
            <w:hideMark/>
          </w:tcPr>
          <w:p w14:paraId="094949F5" w14:textId="77777777" w:rsidR="00EC1880" w:rsidRPr="009E077A" w:rsidRDefault="00EC1880" w:rsidP="00631D46">
            <w:pPr>
              <w:rPr>
                <w:rFonts w:eastAsiaTheme="minorHAnsi"/>
                <w:sz w:val="16"/>
                <w:szCs w:val="16"/>
              </w:rPr>
            </w:pPr>
            <w:r w:rsidRPr="009E077A">
              <w:rPr>
                <w:rFonts w:eastAsiaTheme="minorHAnsi"/>
                <w:sz w:val="16"/>
                <w:szCs w:val="16"/>
              </w:rPr>
              <w:t>Supplier</w:t>
            </w:r>
          </w:p>
        </w:tc>
        <w:tc>
          <w:tcPr>
            <w:tcW w:w="1239" w:type="dxa"/>
            <w:gridSpan w:val="2"/>
            <w:hideMark/>
          </w:tcPr>
          <w:p w14:paraId="5BA7026F" w14:textId="77777777" w:rsidR="00EC1880" w:rsidRPr="009E077A" w:rsidRDefault="00EC1880" w:rsidP="00631D46">
            <w:pPr>
              <w:rPr>
                <w:rFonts w:eastAsiaTheme="minorHAnsi"/>
                <w:sz w:val="16"/>
                <w:szCs w:val="16"/>
              </w:rPr>
            </w:pPr>
            <w:r w:rsidRPr="009E077A">
              <w:rPr>
                <w:rFonts w:eastAsiaTheme="minorHAnsi"/>
                <w:sz w:val="16"/>
                <w:szCs w:val="16"/>
              </w:rPr>
              <w:t>ANZ value-add activity (%)</w:t>
            </w:r>
          </w:p>
        </w:tc>
        <w:tc>
          <w:tcPr>
            <w:tcW w:w="724" w:type="dxa"/>
            <w:vMerge w:val="restart"/>
            <w:hideMark/>
          </w:tcPr>
          <w:p w14:paraId="311552A3" w14:textId="77777777" w:rsidR="00EC1880" w:rsidRPr="009E077A" w:rsidRDefault="00EC1880" w:rsidP="00631D46">
            <w:pPr>
              <w:rPr>
                <w:rFonts w:eastAsiaTheme="minorHAnsi"/>
                <w:sz w:val="16"/>
                <w:szCs w:val="16"/>
              </w:rPr>
            </w:pPr>
            <w:r w:rsidRPr="009E077A">
              <w:rPr>
                <w:rFonts w:eastAsiaTheme="minorHAnsi"/>
                <w:sz w:val="16"/>
                <w:szCs w:val="16"/>
              </w:rPr>
              <w:t xml:space="preserve">Contract content (%) </w:t>
            </w:r>
            <w:r w:rsidRPr="009E077A">
              <w:rPr>
                <w:rFonts w:eastAsiaTheme="minorHAnsi"/>
                <w:sz w:val="16"/>
                <w:szCs w:val="16"/>
                <w:vertAlign w:val="superscript"/>
              </w:rPr>
              <w:t>(B)</w:t>
            </w:r>
          </w:p>
        </w:tc>
        <w:tc>
          <w:tcPr>
            <w:tcW w:w="637" w:type="dxa"/>
            <w:vMerge w:val="restart"/>
            <w:hideMark/>
          </w:tcPr>
          <w:p w14:paraId="1A1009CA" w14:textId="77777777" w:rsidR="00EC1880" w:rsidRPr="009E077A" w:rsidRDefault="00EC1880" w:rsidP="00631D46">
            <w:pPr>
              <w:rPr>
                <w:rFonts w:eastAsiaTheme="minorHAnsi"/>
                <w:sz w:val="16"/>
                <w:szCs w:val="16"/>
              </w:rPr>
            </w:pPr>
            <w:r w:rsidRPr="009E077A">
              <w:rPr>
                <w:rFonts w:eastAsiaTheme="minorHAnsi"/>
                <w:sz w:val="16"/>
                <w:szCs w:val="16"/>
              </w:rPr>
              <w:t xml:space="preserve">ANZ value-added activity (%) </w:t>
            </w:r>
            <w:r w:rsidRPr="009E077A">
              <w:rPr>
                <w:rFonts w:eastAsiaTheme="minorHAnsi"/>
                <w:sz w:val="16"/>
                <w:szCs w:val="16"/>
                <w:vertAlign w:val="superscript"/>
              </w:rPr>
              <w:t>(C = A*B)</w:t>
            </w:r>
          </w:p>
        </w:tc>
        <w:tc>
          <w:tcPr>
            <w:tcW w:w="594" w:type="dxa"/>
            <w:gridSpan w:val="2"/>
            <w:vMerge w:val="restart"/>
            <w:hideMark/>
          </w:tcPr>
          <w:p w14:paraId="7454444D" w14:textId="77777777" w:rsidR="00EC1880" w:rsidRPr="009E077A" w:rsidRDefault="00EC1880" w:rsidP="00631D46">
            <w:pPr>
              <w:rPr>
                <w:rFonts w:eastAsiaTheme="minorHAnsi"/>
                <w:sz w:val="16"/>
                <w:szCs w:val="16"/>
              </w:rPr>
            </w:pPr>
            <w:r w:rsidRPr="009E077A">
              <w:rPr>
                <w:rFonts w:eastAsiaTheme="minorHAnsi"/>
                <w:sz w:val="16"/>
                <w:szCs w:val="16"/>
              </w:rPr>
              <w:t xml:space="preserve">Total number of Suppliers in project  supply chain </w:t>
            </w:r>
            <w:r w:rsidRPr="009E077A">
              <w:rPr>
                <w:rFonts w:eastAsiaTheme="minorHAnsi"/>
                <w:sz w:val="16"/>
                <w:szCs w:val="16"/>
                <w:vertAlign w:val="superscript"/>
              </w:rPr>
              <w:t>(</w:t>
            </w:r>
          </w:p>
        </w:tc>
        <w:tc>
          <w:tcPr>
            <w:tcW w:w="1358" w:type="dxa"/>
            <w:vMerge w:val="restart"/>
          </w:tcPr>
          <w:p w14:paraId="5FCD2778" w14:textId="77777777" w:rsidR="00EC1880" w:rsidRPr="009E077A" w:rsidRDefault="00EC1880" w:rsidP="00631D46">
            <w:pPr>
              <w:rPr>
                <w:rFonts w:eastAsiaTheme="minorHAnsi"/>
                <w:sz w:val="16"/>
                <w:szCs w:val="16"/>
              </w:rPr>
            </w:pPr>
            <w:r w:rsidRPr="009E077A">
              <w:rPr>
                <w:rFonts w:eastAsiaTheme="minorHAnsi"/>
                <w:sz w:val="16"/>
                <w:szCs w:val="16"/>
              </w:rPr>
              <w:t>Manufacturer</w:t>
            </w:r>
          </w:p>
        </w:tc>
        <w:tc>
          <w:tcPr>
            <w:tcW w:w="1012" w:type="dxa"/>
            <w:vMerge w:val="restart"/>
          </w:tcPr>
          <w:p w14:paraId="5C701D34" w14:textId="77777777" w:rsidR="00EC1880" w:rsidRPr="009E077A" w:rsidRDefault="00EC1880" w:rsidP="00631D46">
            <w:pPr>
              <w:rPr>
                <w:rFonts w:eastAsiaTheme="minorHAnsi"/>
                <w:sz w:val="16"/>
                <w:szCs w:val="16"/>
              </w:rPr>
            </w:pPr>
            <w:r w:rsidRPr="009E077A">
              <w:rPr>
                <w:rFonts w:eastAsiaTheme="minorHAnsi"/>
                <w:sz w:val="16"/>
                <w:szCs w:val="16"/>
              </w:rPr>
              <w:t>Supplier</w:t>
            </w:r>
          </w:p>
        </w:tc>
        <w:tc>
          <w:tcPr>
            <w:tcW w:w="2152" w:type="dxa"/>
            <w:gridSpan w:val="2"/>
            <w:hideMark/>
          </w:tcPr>
          <w:p w14:paraId="541D4256" w14:textId="77777777" w:rsidR="00EC1880" w:rsidRPr="009E077A" w:rsidRDefault="00EC1880" w:rsidP="00631D46">
            <w:pPr>
              <w:rPr>
                <w:rFonts w:eastAsiaTheme="minorHAnsi"/>
                <w:sz w:val="16"/>
                <w:szCs w:val="16"/>
              </w:rPr>
            </w:pPr>
            <w:r w:rsidRPr="009E077A">
              <w:rPr>
                <w:rFonts w:eastAsiaTheme="minorHAnsi"/>
                <w:sz w:val="16"/>
                <w:szCs w:val="16"/>
              </w:rPr>
              <w:t>ANZ value-add activity (%)</w:t>
            </w:r>
          </w:p>
        </w:tc>
        <w:tc>
          <w:tcPr>
            <w:tcW w:w="1012" w:type="dxa"/>
            <w:vMerge w:val="restart"/>
            <w:hideMark/>
          </w:tcPr>
          <w:p w14:paraId="0186AD0C" w14:textId="77777777" w:rsidR="00EC1880" w:rsidRPr="009E077A" w:rsidRDefault="00EC1880" w:rsidP="00631D46">
            <w:pPr>
              <w:rPr>
                <w:rFonts w:eastAsiaTheme="minorHAnsi"/>
                <w:sz w:val="16"/>
                <w:szCs w:val="16"/>
              </w:rPr>
            </w:pPr>
            <w:r w:rsidRPr="009E077A">
              <w:rPr>
                <w:rFonts w:eastAsiaTheme="minorHAnsi"/>
                <w:sz w:val="16"/>
                <w:szCs w:val="16"/>
              </w:rPr>
              <w:t xml:space="preserve">Contract Content (%) </w:t>
            </w:r>
            <w:r w:rsidRPr="009E077A">
              <w:rPr>
                <w:rFonts w:eastAsiaTheme="minorHAnsi"/>
                <w:sz w:val="16"/>
                <w:szCs w:val="16"/>
                <w:vertAlign w:val="superscript"/>
              </w:rPr>
              <w:t>(B)</w:t>
            </w:r>
          </w:p>
        </w:tc>
        <w:tc>
          <w:tcPr>
            <w:tcW w:w="1012" w:type="dxa"/>
            <w:vMerge w:val="restart"/>
            <w:hideMark/>
          </w:tcPr>
          <w:p w14:paraId="26A943A2" w14:textId="77777777" w:rsidR="00EC1880" w:rsidRPr="009E077A" w:rsidRDefault="00EC1880" w:rsidP="00631D46">
            <w:pPr>
              <w:rPr>
                <w:rFonts w:eastAsiaTheme="minorHAnsi"/>
                <w:sz w:val="16"/>
                <w:szCs w:val="16"/>
              </w:rPr>
            </w:pPr>
            <w:r w:rsidRPr="009E077A">
              <w:rPr>
                <w:rFonts w:eastAsiaTheme="minorHAnsi"/>
                <w:sz w:val="16"/>
                <w:szCs w:val="16"/>
              </w:rPr>
              <w:t xml:space="preserve">ANZ value-added activity (%) </w:t>
            </w:r>
            <w:r w:rsidRPr="009E077A">
              <w:rPr>
                <w:rFonts w:eastAsiaTheme="minorHAnsi"/>
                <w:sz w:val="16"/>
                <w:szCs w:val="16"/>
                <w:vertAlign w:val="superscript"/>
              </w:rPr>
              <w:t>(C = A*B)</w:t>
            </w:r>
          </w:p>
        </w:tc>
        <w:tc>
          <w:tcPr>
            <w:tcW w:w="1012" w:type="dxa"/>
            <w:vMerge w:val="restart"/>
            <w:hideMark/>
          </w:tcPr>
          <w:p w14:paraId="46946004" w14:textId="77777777" w:rsidR="00EC1880" w:rsidRPr="009E077A" w:rsidRDefault="00EC1880" w:rsidP="00631D46">
            <w:pPr>
              <w:rPr>
                <w:rFonts w:eastAsiaTheme="minorHAnsi"/>
                <w:sz w:val="16"/>
                <w:szCs w:val="16"/>
              </w:rPr>
            </w:pPr>
            <w:r w:rsidRPr="009E077A">
              <w:rPr>
                <w:rFonts w:eastAsiaTheme="minorHAnsi"/>
                <w:sz w:val="16"/>
                <w:szCs w:val="16"/>
              </w:rPr>
              <w:t xml:space="preserve">Total number of Suppliers in project  supply chain </w:t>
            </w:r>
            <w:r w:rsidRPr="009E077A">
              <w:rPr>
                <w:rFonts w:eastAsiaTheme="minorHAnsi"/>
                <w:sz w:val="16"/>
                <w:szCs w:val="16"/>
                <w:vertAlign w:val="superscript"/>
              </w:rPr>
              <w:t>(E)</w:t>
            </w:r>
          </w:p>
        </w:tc>
      </w:tr>
      <w:tr w:rsidR="00EC1880" w:rsidRPr="009E077A" w14:paraId="32E99F68" w14:textId="77777777" w:rsidTr="00631D46">
        <w:trPr>
          <w:gridAfter w:val="1"/>
          <w:wAfter w:w="12" w:type="dxa"/>
          <w:trHeight w:val="493"/>
        </w:trPr>
        <w:tc>
          <w:tcPr>
            <w:tcW w:w="1034" w:type="dxa"/>
            <w:vMerge/>
            <w:hideMark/>
          </w:tcPr>
          <w:p w14:paraId="01A1BA83" w14:textId="77777777" w:rsidR="00EC1880" w:rsidRPr="009E077A" w:rsidRDefault="00EC1880" w:rsidP="00631D46">
            <w:pPr>
              <w:rPr>
                <w:rFonts w:eastAsiaTheme="minorHAnsi"/>
                <w:sz w:val="16"/>
                <w:szCs w:val="16"/>
              </w:rPr>
            </w:pPr>
          </w:p>
        </w:tc>
        <w:tc>
          <w:tcPr>
            <w:tcW w:w="897" w:type="dxa"/>
            <w:vMerge/>
            <w:hideMark/>
          </w:tcPr>
          <w:p w14:paraId="347CE844" w14:textId="77777777" w:rsidR="00EC1880" w:rsidRPr="009E077A" w:rsidRDefault="00EC1880" w:rsidP="00631D46">
            <w:pPr>
              <w:rPr>
                <w:rFonts w:eastAsiaTheme="minorHAnsi"/>
                <w:sz w:val="16"/>
                <w:szCs w:val="16"/>
              </w:rPr>
            </w:pPr>
          </w:p>
        </w:tc>
        <w:tc>
          <w:tcPr>
            <w:tcW w:w="1049" w:type="dxa"/>
            <w:vMerge/>
            <w:hideMark/>
          </w:tcPr>
          <w:p w14:paraId="36E746C8" w14:textId="77777777" w:rsidR="00EC1880" w:rsidRPr="009E077A" w:rsidRDefault="00EC1880" w:rsidP="00631D46">
            <w:pPr>
              <w:rPr>
                <w:rFonts w:eastAsiaTheme="minorHAnsi"/>
                <w:sz w:val="16"/>
                <w:szCs w:val="16"/>
              </w:rPr>
            </w:pPr>
          </w:p>
        </w:tc>
        <w:tc>
          <w:tcPr>
            <w:tcW w:w="698" w:type="dxa"/>
            <w:vMerge/>
            <w:hideMark/>
          </w:tcPr>
          <w:p w14:paraId="61932FF9" w14:textId="77777777" w:rsidR="00EC1880" w:rsidRPr="009E077A" w:rsidRDefault="00EC1880" w:rsidP="00631D46">
            <w:pPr>
              <w:rPr>
                <w:rFonts w:eastAsiaTheme="minorHAnsi"/>
                <w:sz w:val="16"/>
                <w:szCs w:val="16"/>
              </w:rPr>
            </w:pPr>
          </w:p>
        </w:tc>
        <w:tc>
          <w:tcPr>
            <w:tcW w:w="615" w:type="dxa"/>
            <w:hideMark/>
          </w:tcPr>
          <w:p w14:paraId="66A4465C" w14:textId="77777777" w:rsidR="00EC1880" w:rsidRPr="009E077A" w:rsidRDefault="00EC1880" w:rsidP="00631D46">
            <w:pPr>
              <w:rPr>
                <w:rFonts w:eastAsiaTheme="minorHAnsi"/>
                <w:sz w:val="16"/>
                <w:szCs w:val="16"/>
              </w:rPr>
            </w:pPr>
            <w:r w:rsidRPr="009E077A">
              <w:rPr>
                <w:rFonts w:eastAsiaTheme="minorHAnsi"/>
                <w:sz w:val="16"/>
                <w:szCs w:val="16"/>
              </w:rPr>
              <w:t>Import</w:t>
            </w:r>
          </w:p>
        </w:tc>
        <w:tc>
          <w:tcPr>
            <w:tcW w:w="623" w:type="dxa"/>
            <w:hideMark/>
          </w:tcPr>
          <w:p w14:paraId="472C2EA2" w14:textId="77777777" w:rsidR="00EC1880" w:rsidRPr="009E077A" w:rsidRDefault="00EC1880" w:rsidP="00631D46">
            <w:pPr>
              <w:rPr>
                <w:rFonts w:eastAsiaTheme="minorHAnsi"/>
                <w:sz w:val="16"/>
                <w:szCs w:val="16"/>
              </w:rPr>
            </w:pPr>
            <w:r w:rsidRPr="009E077A">
              <w:rPr>
                <w:rFonts w:eastAsiaTheme="minorHAnsi"/>
                <w:sz w:val="16"/>
                <w:szCs w:val="16"/>
              </w:rPr>
              <w:t>Local</w:t>
            </w:r>
            <w:r w:rsidRPr="009E077A">
              <w:rPr>
                <w:rFonts w:eastAsiaTheme="minorHAnsi"/>
                <w:sz w:val="16"/>
                <w:szCs w:val="16"/>
                <w:vertAlign w:val="superscript"/>
              </w:rPr>
              <w:t>(A)</w:t>
            </w:r>
          </w:p>
        </w:tc>
        <w:tc>
          <w:tcPr>
            <w:tcW w:w="724" w:type="dxa"/>
            <w:vMerge/>
            <w:hideMark/>
          </w:tcPr>
          <w:p w14:paraId="0505D652" w14:textId="77777777" w:rsidR="00EC1880" w:rsidRPr="009E077A" w:rsidRDefault="00EC1880" w:rsidP="00631D46">
            <w:pPr>
              <w:rPr>
                <w:rFonts w:eastAsiaTheme="minorHAnsi"/>
                <w:sz w:val="16"/>
                <w:szCs w:val="16"/>
              </w:rPr>
            </w:pPr>
          </w:p>
        </w:tc>
        <w:tc>
          <w:tcPr>
            <w:tcW w:w="637" w:type="dxa"/>
            <w:vMerge/>
            <w:hideMark/>
          </w:tcPr>
          <w:p w14:paraId="4BFBB69E" w14:textId="77777777" w:rsidR="00EC1880" w:rsidRPr="009E077A" w:rsidRDefault="00EC1880" w:rsidP="00631D46">
            <w:pPr>
              <w:rPr>
                <w:rFonts w:eastAsiaTheme="minorHAnsi"/>
                <w:sz w:val="16"/>
                <w:szCs w:val="16"/>
              </w:rPr>
            </w:pPr>
          </w:p>
        </w:tc>
        <w:tc>
          <w:tcPr>
            <w:tcW w:w="594" w:type="dxa"/>
            <w:gridSpan w:val="2"/>
            <w:vMerge/>
            <w:hideMark/>
          </w:tcPr>
          <w:p w14:paraId="1299B965" w14:textId="77777777" w:rsidR="00EC1880" w:rsidRPr="009E077A" w:rsidRDefault="00EC1880" w:rsidP="00631D46">
            <w:pPr>
              <w:rPr>
                <w:rFonts w:eastAsiaTheme="minorHAnsi"/>
                <w:sz w:val="16"/>
                <w:szCs w:val="16"/>
              </w:rPr>
            </w:pPr>
          </w:p>
        </w:tc>
        <w:tc>
          <w:tcPr>
            <w:tcW w:w="1358" w:type="dxa"/>
            <w:vMerge/>
          </w:tcPr>
          <w:p w14:paraId="2E6A240B" w14:textId="77777777" w:rsidR="00EC1880" w:rsidRPr="009E077A" w:rsidRDefault="00EC1880" w:rsidP="00631D46">
            <w:pPr>
              <w:rPr>
                <w:rFonts w:eastAsiaTheme="minorHAnsi"/>
                <w:sz w:val="16"/>
                <w:szCs w:val="16"/>
              </w:rPr>
            </w:pPr>
          </w:p>
        </w:tc>
        <w:tc>
          <w:tcPr>
            <w:tcW w:w="1012" w:type="dxa"/>
            <w:vMerge/>
          </w:tcPr>
          <w:p w14:paraId="38F5975C" w14:textId="77777777" w:rsidR="00EC1880" w:rsidRPr="009E077A" w:rsidRDefault="00EC1880" w:rsidP="00631D46">
            <w:pPr>
              <w:rPr>
                <w:rFonts w:eastAsiaTheme="minorHAnsi"/>
                <w:sz w:val="16"/>
                <w:szCs w:val="16"/>
              </w:rPr>
            </w:pPr>
          </w:p>
        </w:tc>
        <w:tc>
          <w:tcPr>
            <w:tcW w:w="1138" w:type="dxa"/>
            <w:hideMark/>
          </w:tcPr>
          <w:p w14:paraId="40BC6456" w14:textId="77777777" w:rsidR="00EC1880" w:rsidRPr="009E077A" w:rsidRDefault="00EC1880" w:rsidP="00631D46">
            <w:pPr>
              <w:rPr>
                <w:rFonts w:eastAsiaTheme="minorHAnsi"/>
                <w:sz w:val="16"/>
                <w:szCs w:val="16"/>
              </w:rPr>
            </w:pPr>
            <w:r w:rsidRPr="009E077A">
              <w:rPr>
                <w:rFonts w:eastAsiaTheme="minorHAnsi"/>
                <w:sz w:val="16"/>
                <w:szCs w:val="16"/>
              </w:rPr>
              <w:t>Import</w:t>
            </w:r>
          </w:p>
        </w:tc>
        <w:tc>
          <w:tcPr>
            <w:tcW w:w="1013" w:type="dxa"/>
            <w:hideMark/>
          </w:tcPr>
          <w:p w14:paraId="16620EC3" w14:textId="77777777" w:rsidR="00EC1880" w:rsidRPr="009E077A" w:rsidRDefault="00EC1880" w:rsidP="00631D46">
            <w:pPr>
              <w:rPr>
                <w:rFonts w:eastAsiaTheme="minorHAnsi"/>
                <w:sz w:val="16"/>
                <w:szCs w:val="16"/>
              </w:rPr>
            </w:pPr>
            <w:r w:rsidRPr="009E077A">
              <w:rPr>
                <w:rFonts w:eastAsiaTheme="minorHAnsi"/>
                <w:sz w:val="16"/>
                <w:szCs w:val="16"/>
              </w:rPr>
              <w:t xml:space="preserve">Local </w:t>
            </w:r>
            <w:r w:rsidRPr="009E077A">
              <w:rPr>
                <w:rFonts w:eastAsiaTheme="minorHAnsi"/>
                <w:sz w:val="16"/>
                <w:szCs w:val="16"/>
                <w:vertAlign w:val="superscript"/>
              </w:rPr>
              <w:t>(A)</w:t>
            </w:r>
          </w:p>
        </w:tc>
        <w:tc>
          <w:tcPr>
            <w:tcW w:w="1012" w:type="dxa"/>
            <w:vMerge/>
            <w:hideMark/>
          </w:tcPr>
          <w:p w14:paraId="4ADD084F" w14:textId="77777777" w:rsidR="00EC1880" w:rsidRPr="009E077A" w:rsidRDefault="00EC1880" w:rsidP="00631D46">
            <w:pPr>
              <w:rPr>
                <w:rFonts w:eastAsiaTheme="minorHAnsi"/>
                <w:sz w:val="16"/>
                <w:szCs w:val="16"/>
              </w:rPr>
            </w:pPr>
          </w:p>
        </w:tc>
        <w:tc>
          <w:tcPr>
            <w:tcW w:w="1012" w:type="dxa"/>
            <w:vMerge/>
            <w:hideMark/>
          </w:tcPr>
          <w:p w14:paraId="1C94A4C1" w14:textId="77777777" w:rsidR="00EC1880" w:rsidRPr="009E077A" w:rsidRDefault="00EC1880" w:rsidP="00631D46">
            <w:pPr>
              <w:rPr>
                <w:rFonts w:eastAsiaTheme="minorHAnsi"/>
                <w:sz w:val="16"/>
                <w:szCs w:val="16"/>
              </w:rPr>
            </w:pPr>
          </w:p>
        </w:tc>
        <w:tc>
          <w:tcPr>
            <w:tcW w:w="1012" w:type="dxa"/>
            <w:vMerge/>
            <w:hideMark/>
          </w:tcPr>
          <w:p w14:paraId="0D8142BA" w14:textId="77777777" w:rsidR="00EC1880" w:rsidRPr="009E077A" w:rsidRDefault="00EC1880" w:rsidP="00631D46">
            <w:pPr>
              <w:rPr>
                <w:rFonts w:eastAsiaTheme="minorHAnsi"/>
                <w:sz w:val="16"/>
                <w:szCs w:val="16"/>
              </w:rPr>
            </w:pPr>
          </w:p>
        </w:tc>
      </w:tr>
      <w:tr w:rsidR="00EC1880" w:rsidRPr="009E077A" w14:paraId="2A5423A2" w14:textId="77777777" w:rsidTr="00631D46">
        <w:trPr>
          <w:gridAfter w:val="1"/>
          <w:wAfter w:w="12" w:type="dxa"/>
          <w:trHeight w:val="211"/>
        </w:trPr>
        <w:tc>
          <w:tcPr>
            <w:tcW w:w="1034" w:type="dxa"/>
            <w:hideMark/>
          </w:tcPr>
          <w:p w14:paraId="47951759"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897" w:type="dxa"/>
            <w:hideMark/>
          </w:tcPr>
          <w:p w14:paraId="3DAD7E82"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49" w:type="dxa"/>
            <w:hideMark/>
          </w:tcPr>
          <w:p w14:paraId="43DB1E83"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98" w:type="dxa"/>
            <w:hideMark/>
          </w:tcPr>
          <w:p w14:paraId="482E66E6"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15" w:type="dxa"/>
            <w:hideMark/>
          </w:tcPr>
          <w:p w14:paraId="372E6131"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23" w:type="dxa"/>
            <w:hideMark/>
          </w:tcPr>
          <w:p w14:paraId="09537443"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724" w:type="dxa"/>
            <w:hideMark/>
          </w:tcPr>
          <w:p w14:paraId="619FF18C"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37" w:type="dxa"/>
            <w:noWrap/>
            <w:hideMark/>
          </w:tcPr>
          <w:p w14:paraId="50028570"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594" w:type="dxa"/>
            <w:gridSpan w:val="2"/>
            <w:noWrap/>
            <w:hideMark/>
          </w:tcPr>
          <w:p w14:paraId="0BC60404"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358" w:type="dxa"/>
          </w:tcPr>
          <w:p w14:paraId="4694B743" w14:textId="77777777" w:rsidR="00EC1880" w:rsidRPr="009E077A" w:rsidRDefault="00EC1880" w:rsidP="00631D46">
            <w:pPr>
              <w:rPr>
                <w:rFonts w:eastAsiaTheme="minorHAnsi"/>
                <w:b/>
                <w:bCs/>
                <w:sz w:val="16"/>
                <w:szCs w:val="16"/>
              </w:rPr>
            </w:pPr>
          </w:p>
        </w:tc>
        <w:tc>
          <w:tcPr>
            <w:tcW w:w="1012" w:type="dxa"/>
          </w:tcPr>
          <w:p w14:paraId="52476CD1" w14:textId="77777777" w:rsidR="00EC1880" w:rsidRPr="009E077A" w:rsidRDefault="00EC1880" w:rsidP="00631D46">
            <w:pPr>
              <w:rPr>
                <w:rFonts w:eastAsiaTheme="minorHAnsi"/>
                <w:b/>
                <w:bCs/>
                <w:sz w:val="16"/>
                <w:szCs w:val="16"/>
              </w:rPr>
            </w:pPr>
          </w:p>
        </w:tc>
        <w:tc>
          <w:tcPr>
            <w:tcW w:w="1138" w:type="dxa"/>
            <w:hideMark/>
          </w:tcPr>
          <w:p w14:paraId="192661D9"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3" w:type="dxa"/>
            <w:hideMark/>
          </w:tcPr>
          <w:p w14:paraId="70848617"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2" w:type="dxa"/>
            <w:hideMark/>
          </w:tcPr>
          <w:p w14:paraId="27190C67"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2" w:type="dxa"/>
            <w:noWrap/>
            <w:hideMark/>
          </w:tcPr>
          <w:p w14:paraId="06FDA290"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012" w:type="dxa"/>
            <w:hideMark/>
          </w:tcPr>
          <w:p w14:paraId="4B522B4E"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r>
      <w:tr w:rsidR="00EC1880" w:rsidRPr="009E077A" w14:paraId="5EDDAE7C" w14:textId="77777777" w:rsidTr="00631D46">
        <w:trPr>
          <w:gridAfter w:val="1"/>
          <w:wAfter w:w="12" w:type="dxa"/>
          <w:trHeight w:val="211"/>
        </w:trPr>
        <w:tc>
          <w:tcPr>
            <w:tcW w:w="1034" w:type="dxa"/>
            <w:hideMark/>
          </w:tcPr>
          <w:p w14:paraId="78E7BE96"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897" w:type="dxa"/>
            <w:hideMark/>
          </w:tcPr>
          <w:p w14:paraId="6D877E4B"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49" w:type="dxa"/>
            <w:hideMark/>
          </w:tcPr>
          <w:p w14:paraId="0205028E"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98" w:type="dxa"/>
            <w:hideMark/>
          </w:tcPr>
          <w:p w14:paraId="153FA614"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15" w:type="dxa"/>
            <w:hideMark/>
          </w:tcPr>
          <w:p w14:paraId="45D3125A"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23" w:type="dxa"/>
            <w:hideMark/>
          </w:tcPr>
          <w:p w14:paraId="4D73E34E"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724" w:type="dxa"/>
            <w:hideMark/>
          </w:tcPr>
          <w:p w14:paraId="71E414A7"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37" w:type="dxa"/>
            <w:noWrap/>
            <w:hideMark/>
          </w:tcPr>
          <w:p w14:paraId="55F94B65"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594" w:type="dxa"/>
            <w:gridSpan w:val="2"/>
            <w:noWrap/>
            <w:hideMark/>
          </w:tcPr>
          <w:p w14:paraId="57CE3DED"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358" w:type="dxa"/>
          </w:tcPr>
          <w:p w14:paraId="1E2A9DF1" w14:textId="77777777" w:rsidR="00EC1880" w:rsidRPr="009E077A" w:rsidRDefault="00EC1880" w:rsidP="00631D46">
            <w:pPr>
              <w:rPr>
                <w:rFonts w:eastAsiaTheme="minorHAnsi"/>
                <w:b/>
                <w:bCs/>
                <w:sz w:val="16"/>
                <w:szCs w:val="16"/>
              </w:rPr>
            </w:pPr>
          </w:p>
        </w:tc>
        <w:tc>
          <w:tcPr>
            <w:tcW w:w="1012" w:type="dxa"/>
          </w:tcPr>
          <w:p w14:paraId="63F9EF28" w14:textId="77777777" w:rsidR="00EC1880" w:rsidRPr="009E077A" w:rsidRDefault="00EC1880" w:rsidP="00631D46">
            <w:pPr>
              <w:rPr>
                <w:rFonts w:eastAsiaTheme="minorHAnsi"/>
                <w:b/>
                <w:bCs/>
                <w:sz w:val="16"/>
                <w:szCs w:val="16"/>
              </w:rPr>
            </w:pPr>
          </w:p>
        </w:tc>
        <w:tc>
          <w:tcPr>
            <w:tcW w:w="1138" w:type="dxa"/>
            <w:hideMark/>
          </w:tcPr>
          <w:p w14:paraId="0658ABC0"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3" w:type="dxa"/>
            <w:hideMark/>
          </w:tcPr>
          <w:p w14:paraId="12C18C8A"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2" w:type="dxa"/>
            <w:hideMark/>
          </w:tcPr>
          <w:p w14:paraId="26394EEB"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2" w:type="dxa"/>
            <w:noWrap/>
            <w:hideMark/>
          </w:tcPr>
          <w:p w14:paraId="7F955D77"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012" w:type="dxa"/>
            <w:hideMark/>
          </w:tcPr>
          <w:p w14:paraId="202FA51B"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r>
      <w:tr w:rsidR="00EC1880" w:rsidRPr="009E077A" w14:paraId="06B690BE" w14:textId="77777777" w:rsidTr="00631D46">
        <w:trPr>
          <w:gridAfter w:val="1"/>
          <w:wAfter w:w="12" w:type="dxa"/>
          <w:trHeight w:val="211"/>
        </w:trPr>
        <w:tc>
          <w:tcPr>
            <w:tcW w:w="1034" w:type="dxa"/>
            <w:noWrap/>
            <w:hideMark/>
          </w:tcPr>
          <w:p w14:paraId="797BB54B"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897" w:type="dxa"/>
            <w:hideMark/>
          </w:tcPr>
          <w:p w14:paraId="19E6EDD1"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49" w:type="dxa"/>
            <w:hideMark/>
          </w:tcPr>
          <w:p w14:paraId="4B3E303C"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98" w:type="dxa"/>
            <w:noWrap/>
            <w:hideMark/>
          </w:tcPr>
          <w:p w14:paraId="2BCD4850"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615" w:type="dxa"/>
            <w:noWrap/>
            <w:hideMark/>
          </w:tcPr>
          <w:p w14:paraId="7D5BE8B8"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623" w:type="dxa"/>
            <w:noWrap/>
            <w:hideMark/>
          </w:tcPr>
          <w:p w14:paraId="49FBDBDF"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724" w:type="dxa"/>
            <w:noWrap/>
            <w:hideMark/>
          </w:tcPr>
          <w:p w14:paraId="5E2ECBC2"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637" w:type="dxa"/>
            <w:noWrap/>
            <w:hideMark/>
          </w:tcPr>
          <w:p w14:paraId="444BB1D6"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594" w:type="dxa"/>
            <w:gridSpan w:val="2"/>
            <w:noWrap/>
            <w:hideMark/>
          </w:tcPr>
          <w:p w14:paraId="26F228D9"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358" w:type="dxa"/>
          </w:tcPr>
          <w:p w14:paraId="3315D8F6" w14:textId="77777777" w:rsidR="00EC1880" w:rsidRPr="009E077A" w:rsidRDefault="00EC1880" w:rsidP="00631D46">
            <w:pPr>
              <w:rPr>
                <w:rFonts w:eastAsiaTheme="minorHAnsi"/>
                <w:sz w:val="16"/>
                <w:szCs w:val="16"/>
              </w:rPr>
            </w:pPr>
          </w:p>
        </w:tc>
        <w:tc>
          <w:tcPr>
            <w:tcW w:w="1012" w:type="dxa"/>
          </w:tcPr>
          <w:p w14:paraId="68311DD2" w14:textId="77777777" w:rsidR="00EC1880" w:rsidRPr="009E077A" w:rsidRDefault="00EC1880" w:rsidP="00631D46">
            <w:pPr>
              <w:rPr>
                <w:rFonts w:eastAsiaTheme="minorHAnsi"/>
                <w:sz w:val="16"/>
                <w:szCs w:val="16"/>
              </w:rPr>
            </w:pPr>
          </w:p>
        </w:tc>
        <w:tc>
          <w:tcPr>
            <w:tcW w:w="1138" w:type="dxa"/>
            <w:noWrap/>
            <w:hideMark/>
          </w:tcPr>
          <w:p w14:paraId="3F51F3EE"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1013" w:type="dxa"/>
            <w:noWrap/>
            <w:hideMark/>
          </w:tcPr>
          <w:p w14:paraId="4607C7DA"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1012" w:type="dxa"/>
            <w:noWrap/>
            <w:hideMark/>
          </w:tcPr>
          <w:p w14:paraId="338AE098"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1012" w:type="dxa"/>
            <w:noWrap/>
            <w:hideMark/>
          </w:tcPr>
          <w:p w14:paraId="71D6FE5C"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012" w:type="dxa"/>
            <w:noWrap/>
            <w:hideMark/>
          </w:tcPr>
          <w:p w14:paraId="5FE8F2C6" w14:textId="77777777" w:rsidR="00EC1880" w:rsidRPr="009E077A" w:rsidRDefault="00EC1880" w:rsidP="00631D46">
            <w:pPr>
              <w:rPr>
                <w:rFonts w:eastAsiaTheme="minorHAnsi"/>
                <w:sz w:val="16"/>
                <w:szCs w:val="16"/>
              </w:rPr>
            </w:pPr>
            <w:r w:rsidRPr="009E077A">
              <w:rPr>
                <w:rFonts w:eastAsiaTheme="minorHAnsi"/>
                <w:sz w:val="16"/>
                <w:szCs w:val="16"/>
              </w:rPr>
              <w:t> </w:t>
            </w:r>
          </w:p>
        </w:tc>
      </w:tr>
      <w:tr w:rsidR="00EC1880" w:rsidRPr="009E077A" w14:paraId="26723F38" w14:textId="77777777" w:rsidTr="00631D46">
        <w:trPr>
          <w:gridAfter w:val="1"/>
          <w:wAfter w:w="12" w:type="dxa"/>
          <w:trHeight w:val="211"/>
        </w:trPr>
        <w:tc>
          <w:tcPr>
            <w:tcW w:w="1034" w:type="dxa"/>
            <w:noWrap/>
            <w:hideMark/>
          </w:tcPr>
          <w:p w14:paraId="24DB7156"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897" w:type="dxa"/>
            <w:hideMark/>
          </w:tcPr>
          <w:p w14:paraId="1197BF72"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49" w:type="dxa"/>
            <w:hideMark/>
          </w:tcPr>
          <w:p w14:paraId="05982BAB"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98" w:type="dxa"/>
            <w:noWrap/>
            <w:hideMark/>
          </w:tcPr>
          <w:p w14:paraId="39CFFBE3"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615" w:type="dxa"/>
            <w:noWrap/>
            <w:hideMark/>
          </w:tcPr>
          <w:p w14:paraId="7AFF1937"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623" w:type="dxa"/>
            <w:noWrap/>
            <w:hideMark/>
          </w:tcPr>
          <w:p w14:paraId="27774672"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724" w:type="dxa"/>
            <w:noWrap/>
            <w:hideMark/>
          </w:tcPr>
          <w:p w14:paraId="25D659CF"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637" w:type="dxa"/>
            <w:noWrap/>
            <w:hideMark/>
          </w:tcPr>
          <w:p w14:paraId="2B401E3C"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594" w:type="dxa"/>
            <w:gridSpan w:val="2"/>
            <w:noWrap/>
            <w:hideMark/>
          </w:tcPr>
          <w:p w14:paraId="55D4BAF0"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358" w:type="dxa"/>
          </w:tcPr>
          <w:p w14:paraId="5D146C8A" w14:textId="77777777" w:rsidR="00EC1880" w:rsidRPr="009E077A" w:rsidRDefault="00EC1880" w:rsidP="00631D46">
            <w:pPr>
              <w:rPr>
                <w:rFonts w:eastAsiaTheme="minorHAnsi"/>
                <w:sz w:val="16"/>
                <w:szCs w:val="16"/>
              </w:rPr>
            </w:pPr>
          </w:p>
        </w:tc>
        <w:tc>
          <w:tcPr>
            <w:tcW w:w="1012" w:type="dxa"/>
          </w:tcPr>
          <w:p w14:paraId="7394E4CA" w14:textId="77777777" w:rsidR="00EC1880" w:rsidRPr="009E077A" w:rsidRDefault="00EC1880" w:rsidP="00631D46">
            <w:pPr>
              <w:rPr>
                <w:rFonts w:eastAsiaTheme="minorHAnsi"/>
                <w:sz w:val="16"/>
                <w:szCs w:val="16"/>
              </w:rPr>
            </w:pPr>
          </w:p>
        </w:tc>
        <w:tc>
          <w:tcPr>
            <w:tcW w:w="1138" w:type="dxa"/>
            <w:noWrap/>
            <w:hideMark/>
          </w:tcPr>
          <w:p w14:paraId="321A007C"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1013" w:type="dxa"/>
            <w:noWrap/>
            <w:hideMark/>
          </w:tcPr>
          <w:p w14:paraId="2A916C7D"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1012" w:type="dxa"/>
            <w:noWrap/>
            <w:hideMark/>
          </w:tcPr>
          <w:p w14:paraId="27FBD047" w14:textId="77777777" w:rsidR="00EC1880" w:rsidRPr="009E077A" w:rsidRDefault="00EC1880" w:rsidP="00631D46">
            <w:pPr>
              <w:rPr>
                <w:rFonts w:eastAsiaTheme="minorHAnsi"/>
                <w:sz w:val="16"/>
                <w:szCs w:val="16"/>
              </w:rPr>
            </w:pPr>
            <w:r w:rsidRPr="009E077A">
              <w:rPr>
                <w:rFonts w:eastAsiaTheme="minorHAnsi"/>
                <w:sz w:val="16"/>
                <w:szCs w:val="16"/>
              </w:rPr>
              <w:t> </w:t>
            </w:r>
          </w:p>
        </w:tc>
        <w:tc>
          <w:tcPr>
            <w:tcW w:w="1012" w:type="dxa"/>
            <w:noWrap/>
            <w:hideMark/>
          </w:tcPr>
          <w:p w14:paraId="0271F79B" w14:textId="77777777" w:rsidR="00EC1880" w:rsidRPr="009E077A" w:rsidRDefault="00EC1880" w:rsidP="00631D46">
            <w:pPr>
              <w:rPr>
                <w:rFonts w:eastAsiaTheme="minorHAnsi"/>
                <w:sz w:val="16"/>
                <w:szCs w:val="16"/>
              </w:rPr>
            </w:pPr>
            <w:r w:rsidRPr="009E077A">
              <w:rPr>
                <w:rFonts w:eastAsiaTheme="minorHAnsi"/>
                <w:sz w:val="16"/>
                <w:szCs w:val="16"/>
              </w:rPr>
              <w:t>0%</w:t>
            </w:r>
          </w:p>
        </w:tc>
        <w:tc>
          <w:tcPr>
            <w:tcW w:w="1012" w:type="dxa"/>
            <w:noWrap/>
            <w:hideMark/>
          </w:tcPr>
          <w:p w14:paraId="6934B78B" w14:textId="77777777" w:rsidR="00EC1880" w:rsidRPr="009E077A" w:rsidRDefault="00EC1880" w:rsidP="00631D46">
            <w:pPr>
              <w:rPr>
                <w:rFonts w:eastAsiaTheme="minorHAnsi"/>
                <w:sz w:val="16"/>
                <w:szCs w:val="16"/>
              </w:rPr>
            </w:pPr>
            <w:r w:rsidRPr="009E077A">
              <w:rPr>
                <w:rFonts w:eastAsiaTheme="minorHAnsi"/>
                <w:sz w:val="16"/>
                <w:szCs w:val="16"/>
              </w:rPr>
              <w:t> </w:t>
            </w:r>
          </w:p>
        </w:tc>
      </w:tr>
      <w:tr w:rsidR="00EC1880" w:rsidRPr="009E077A" w14:paraId="55ED5A59" w14:textId="77777777" w:rsidTr="00631D46">
        <w:trPr>
          <w:gridAfter w:val="1"/>
          <w:wAfter w:w="12" w:type="dxa"/>
          <w:trHeight w:val="220"/>
        </w:trPr>
        <w:tc>
          <w:tcPr>
            <w:tcW w:w="1034" w:type="dxa"/>
            <w:noWrap/>
            <w:hideMark/>
          </w:tcPr>
          <w:p w14:paraId="07F00B28"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897" w:type="dxa"/>
            <w:noWrap/>
            <w:hideMark/>
          </w:tcPr>
          <w:p w14:paraId="1EE8BFC5"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49" w:type="dxa"/>
            <w:noWrap/>
            <w:hideMark/>
          </w:tcPr>
          <w:p w14:paraId="6211B1EB"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98" w:type="dxa"/>
            <w:noWrap/>
            <w:hideMark/>
          </w:tcPr>
          <w:p w14:paraId="5BE37DE7"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15" w:type="dxa"/>
            <w:noWrap/>
            <w:hideMark/>
          </w:tcPr>
          <w:p w14:paraId="4161F896"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623" w:type="dxa"/>
            <w:noWrap/>
            <w:hideMark/>
          </w:tcPr>
          <w:p w14:paraId="668A5B05"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724" w:type="dxa"/>
            <w:noWrap/>
            <w:hideMark/>
          </w:tcPr>
          <w:p w14:paraId="64D2C86C" w14:textId="77777777" w:rsidR="00EC1880" w:rsidRPr="009E077A" w:rsidRDefault="00EC1880" w:rsidP="00631D46">
            <w:pPr>
              <w:rPr>
                <w:rFonts w:eastAsiaTheme="minorHAnsi"/>
                <w:b/>
                <w:bCs/>
                <w:sz w:val="16"/>
                <w:szCs w:val="16"/>
              </w:rPr>
            </w:pPr>
            <w:r w:rsidRPr="009E077A">
              <w:rPr>
                <w:rFonts w:eastAsiaTheme="minorHAnsi"/>
                <w:b/>
                <w:bCs/>
                <w:sz w:val="16"/>
                <w:szCs w:val="16"/>
              </w:rPr>
              <w:t>0%</w:t>
            </w:r>
          </w:p>
        </w:tc>
        <w:tc>
          <w:tcPr>
            <w:tcW w:w="637" w:type="dxa"/>
            <w:noWrap/>
            <w:hideMark/>
          </w:tcPr>
          <w:p w14:paraId="055FCFDF" w14:textId="77777777" w:rsidR="00EC1880" w:rsidRPr="009E077A" w:rsidRDefault="00EC1880" w:rsidP="00631D46">
            <w:pPr>
              <w:rPr>
                <w:rFonts w:eastAsiaTheme="minorHAnsi"/>
                <w:b/>
                <w:bCs/>
                <w:sz w:val="16"/>
                <w:szCs w:val="16"/>
              </w:rPr>
            </w:pPr>
            <w:r w:rsidRPr="009E077A">
              <w:rPr>
                <w:rFonts w:eastAsiaTheme="minorHAnsi"/>
                <w:b/>
                <w:bCs/>
                <w:sz w:val="16"/>
                <w:szCs w:val="16"/>
              </w:rPr>
              <w:t>0%</w:t>
            </w:r>
          </w:p>
        </w:tc>
        <w:tc>
          <w:tcPr>
            <w:tcW w:w="594" w:type="dxa"/>
            <w:gridSpan w:val="2"/>
            <w:noWrap/>
            <w:hideMark/>
          </w:tcPr>
          <w:p w14:paraId="47B6626C" w14:textId="77777777" w:rsidR="00EC1880" w:rsidRPr="009E077A" w:rsidRDefault="00EC1880" w:rsidP="00631D46">
            <w:pPr>
              <w:rPr>
                <w:rFonts w:eastAsiaTheme="minorHAnsi"/>
                <w:b/>
                <w:bCs/>
                <w:sz w:val="16"/>
                <w:szCs w:val="16"/>
              </w:rPr>
            </w:pPr>
            <w:r w:rsidRPr="009E077A">
              <w:rPr>
                <w:rFonts w:eastAsiaTheme="minorHAnsi"/>
                <w:b/>
                <w:bCs/>
                <w:sz w:val="16"/>
                <w:szCs w:val="16"/>
              </w:rPr>
              <w:t>0%</w:t>
            </w:r>
          </w:p>
        </w:tc>
        <w:tc>
          <w:tcPr>
            <w:tcW w:w="1358" w:type="dxa"/>
          </w:tcPr>
          <w:p w14:paraId="3AEA9CDB" w14:textId="77777777" w:rsidR="00EC1880" w:rsidRPr="009E077A" w:rsidRDefault="00EC1880" w:rsidP="00631D46">
            <w:pPr>
              <w:rPr>
                <w:rFonts w:eastAsiaTheme="minorHAnsi"/>
                <w:b/>
                <w:bCs/>
                <w:sz w:val="16"/>
                <w:szCs w:val="16"/>
              </w:rPr>
            </w:pPr>
          </w:p>
        </w:tc>
        <w:tc>
          <w:tcPr>
            <w:tcW w:w="1012" w:type="dxa"/>
          </w:tcPr>
          <w:p w14:paraId="55904C4F" w14:textId="77777777" w:rsidR="00EC1880" w:rsidRPr="009E077A" w:rsidRDefault="00EC1880" w:rsidP="00631D46">
            <w:pPr>
              <w:rPr>
                <w:rFonts w:eastAsiaTheme="minorHAnsi"/>
                <w:b/>
                <w:bCs/>
                <w:sz w:val="16"/>
                <w:szCs w:val="16"/>
              </w:rPr>
            </w:pPr>
          </w:p>
        </w:tc>
        <w:tc>
          <w:tcPr>
            <w:tcW w:w="1138" w:type="dxa"/>
            <w:noWrap/>
            <w:hideMark/>
          </w:tcPr>
          <w:p w14:paraId="1BCC48DF"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3" w:type="dxa"/>
            <w:noWrap/>
            <w:hideMark/>
          </w:tcPr>
          <w:p w14:paraId="07144225" w14:textId="77777777" w:rsidR="00EC1880" w:rsidRPr="009E077A" w:rsidRDefault="00EC1880" w:rsidP="00631D46">
            <w:pPr>
              <w:rPr>
                <w:rFonts w:eastAsiaTheme="minorHAnsi"/>
                <w:b/>
                <w:bCs/>
                <w:sz w:val="16"/>
                <w:szCs w:val="16"/>
              </w:rPr>
            </w:pPr>
            <w:r w:rsidRPr="009E077A">
              <w:rPr>
                <w:rFonts w:eastAsiaTheme="minorHAnsi"/>
                <w:b/>
                <w:bCs/>
                <w:sz w:val="16"/>
                <w:szCs w:val="16"/>
              </w:rPr>
              <w:t> </w:t>
            </w:r>
          </w:p>
        </w:tc>
        <w:tc>
          <w:tcPr>
            <w:tcW w:w="1012" w:type="dxa"/>
            <w:noWrap/>
            <w:hideMark/>
          </w:tcPr>
          <w:p w14:paraId="2F3A4296" w14:textId="77777777" w:rsidR="00EC1880" w:rsidRPr="009E077A" w:rsidRDefault="00EC1880" w:rsidP="00631D46">
            <w:pPr>
              <w:rPr>
                <w:rFonts w:eastAsiaTheme="minorHAnsi"/>
                <w:b/>
                <w:bCs/>
                <w:sz w:val="16"/>
                <w:szCs w:val="16"/>
              </w:rPr>
            </w:pPr>
            <w:r w:rsidRPr="009E077A">
              <w:rPr>
                <w:rFonts w:eastAsiaTheme="minorHAnsi"/>
                <w:b/>
                <w:bCs/>
                <w:sz w:val="16"/>
                <w:szCs w:val="16"/>
              </w:rPr>
              <w:t>0%</w:t>
            </w:r>
          </w:p>
        </w:tc>
        <w:tc>
          <w:tcPr>
            <w:tcW w:w="1012" w:type="dxa"/>
            <w:noWrap/>
            <w:hideMark/>
          </w:tcPr>
          <w:p w14:paraId="6919305C" w14:textId="77777777" w:rsidR="00EC1880" w:rsidRPr="009E077A" w:rsidRDefault="00EC1880" w:rsidP="00631D46">
            <w:pPr>
              <w:rPr>
                <w:rFonts w:eastAsiaTheme="minorHAnsi"/>
                <w:b/>
                <w:bCs/>
                <w:sz w:val="16"/>
                <w:szCs w:val="16"/>
              </w:rPr>
            </w:pPr>
            <w:r w:rsidRPr="009E077A">
              <w:rPr>
                <w:rFonts w:eastAsiaTheme="minorHAnsi"/>
                <w:b/>
                <w:bCs/>
                <w:sz w:val="16"/>
                <w:szCs w:val="16"/>
              </w:rPr>
              <w:t>0%</w:t>
            </w:r>
          </w:p>
        </w:tc>
        <w:tc>
          <w:tcPr>
            <w:tcW w:w="1012" w:type="dxa"/>
            <w:noWrap/>
            <w:hideMark/>
          </w:tcPr>
          <w:p w14:paraId="06611849" w14:textId="77777777" w:rsidR="00EC1880" w:rsidRPr="009E077A" w:rsidRDefault="00EC1880" w:rsidP="00631D46">
            <w:pPr>
              <w:rPr>
                <w:rFonts w:eastAsiaTheme="minorHAnsi"/>
                <w:b/>
                <w:bCs/>
                <w:sz w:val="16"/>
                <w:szCs w:val="16"/>
              </w:rPr>
            </w:pPr>
            <w:r w:rsidRPr="009E077A">
              <w:rPr>
                <w:rFonts w:eastAsiaTheme="minorHAnsi"/>
                <w:b/>
                <w:bCs/>
                <w:sz w:val="16"/>
                <w:szCs w:val="16"/>
              </w:rPr>
              <w:t>0</w:t>
            </w:r>
          </w:p>
        </w:tc>
      </w:tr>
    </w:tbl>
    <w:tbl>
      <w:tblPr>
        <w:tblpPr w:leftFromText="180" w:rightFromText="180" w:vertAnchor="text" w:horzAnchor="margin" w:tblpXSpec="center" w:tblpY="9"/>
        <w:tblW w:w="14400" w:type="dxa"/>
        <w:tblLook w:val="04A0" w:firstRow="1" w:lastRow="0" w:firstColumn="1" w:lastColumn="0" w:noHBand="0" w:noVBand="1"/>
      </w:tblPr>
      <w:tblGrid>
        <w:gridCol w:w="2400"/>
        <w:gridCol w:w="2249"/>
        <w:gridCol w:w="2551"/>
        <w:gridCol w:w="2249"/>
        <w:gridCol w:w="2551"/>
        <w:gridCol w:w="2400"/>
      </w:tblGrid>
      <w:tr w:rsidR="00EC1880" w:rsidRPr="00187FA6" w14:paraId="4731A436" w14:textId="77777777" w:rsidTr="00631D46">
        <w:trPr>
          <w:trHeight w:val="330"/>
        </w:trPr>
        <w:tc>
          <w:tcPr>
            <w:tcW w:w="2400" w:type="dxa"/>
            <w:vMerge w:val="restart"/>
            <w:tcBorders>
              <w:top w:val="single" w:sz="4" w:space="0" w:color="FF0000"/>
              <w:left w:val="single" w:sz="4" w:space="0" w:color="FF0000"/>
              <w:bottom w:val="single" w:sz="4" w:space="0" w:color="FF0000"/>
              <w:right w:val="nil"/>
            </w:tcBorders>
            <w:shd w:val="clear" w:color="auto" w:fill="auto"/>
            <w:noWrap/>
            <w:vAlign w:val="bottom"/>
            <w:hideMark/>
          </w:tcPr>
          <w:p w14:paraId="0DAFDA28" w14:textId="77777777" w:rsidR="00EC1880" w:rsidRPr="006000AC" w:rsidRDefault="00EC1880" w:rsidP="00631D46">
            <w:pPr>
              <w:spacing w:after="0"/>
              <w:jc w:val="center"/>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Employment type</w:t>
            </w:r>
          </w:p>
        </w:tc>
        <w:tc>
          <w:tcPr>
            <w:tcW w:w="4800" w:type="dxa"/>
            <w:gridSpan w:val="2"/>
            <w:tcBorders>
              <w:top w:val="single" w:sz="12" w:space="0" w:color="FF0000"/>
              <w:left w:val="single" w:sz="12" w:space="0" w:color="FF0000"/>
              <w:bottom w:val="single" w:sz="4" w:space="0" w:color="FF0000"/>
              <w:right w:val="single" w:sz="4" w:space="0" w:color="FF0000"/>
            </w:tcBorders>
            <w:shd w:val="clear" w:color="auto" w:fill="auto"/>
            <w:noWrap/>
            <w:vAlign w:val="bottom"/>
            <w:hideMark/>
          </w:tcPr>
          <w:p w14:paraId="2E50F17F" w14:textId="77777777" w:rsidR="00EC1880" w:rsidRPr="006000AC" w:rsidRDefault="00EC1880" w:rsidP="00631D46">
            <w:pPr>
              <w:spacing w:after="0"/>
              <w:jc w:val="center"/>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LIDP commitment</w:t>
            </w:r>
          </w:p>
        </w:tc>
        <w:tc>
          <w:tcPr>
            <w:tcW w:w="4800" w:type="dxa"/>
            <w:gridSpan w:val="2"/>
            <w:tcBorders>
              <w:top w:val="single" w:sz="12" w:space="0" w:color="00B050"/>
              <w:left w:val="single" w:sz="12" w:space="0" w:color="00B050"/>
              <w:bottom w:val="single" w:sz="4" w:space="0" w:color="FF0000"/>
              <w:right w:val="single" w:sz="12" w:space="0" w:color="00B050"/>
            </w:tcBorders>
            <w:shd w:val="clear" w:color="auto" w:fill="auto"/>
            <w:noWrap/>
            <w:vAlign w:val="bottom"/>
            <w:hideMark/>
          </w:tcPr>
          <w:p w14:paraId="724D5B1E" w14:textId="77777777" w:rsidR="00EC1880" w:rsidRPr="006000AC" w:rsidRDefault="00EC1880" w:rsidP="00631D46">
            <w:pPr>
              <w:spacing w:after="0"/>
              <w:jc w:val="center"/>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Achieved / secured</w:t>
            </w:r>
          </w:p>
        </w:tc>
        <w:tc>
          <w:tcPr>
            <w:tcW w:w="2400" w:type="dxa"/>
            <w:vMerge w:val="restart"/>
            <w:tcBorders>
              <w:top w:val="single" w:sz="4" w:space="0" w:color="808080"/>
              <w:left w:val="single" w:sz="12" w:space="0" w:color="00B050"/>
              <w:bottom w:val="single" w:sz="4" w:space="0" w:color="808080"/>
              <w:right w:val="nil"/>
            </w:tcBorders>
            <w:shd w:val="clear" w:color="auto" w:fill="auto"/>
            <w:vAlign w:val="center"/>
            <w:hideMark/>
          </w:tcPr>
          <w:p w14:paraId="1CAD80C4" w14:textId="77777777" w:rsidR="00EC1880" w:rsidRPr="006000AC" w:rsidRDefault="00EC1880" w:rsidP="00631D46">
            <w:pPr>
              <w:spacing w:after="0"/>
              <w:jc w:val="center"/>
              <w:rPr>
                <w:rFonts w:cs="Arial"/>
                <w:b/>
                <w:bCs/>
                <w:color w:val="000000"/>
                <w:sz w:val="16"/>
                <w:szCs w:val="16"/>
                <w:lang w:eastAsia="en-AU"/>
              </w:rPr>
            </w:pPr>
            <w:r w:rsidRPr="006000AC">
              <w:rPr>
                <w:rFonts w:cs="Arial"/>
                <w:b/>
                <w:bCs/>
                <w:color w:val="000000"/>
                <w:sz w:val="16"/>
                <w:szCs w:val="16"/>
                <w:lang w:eastAsia="en-AU"/>
              </w:rPr>
              <w:t>Progress / Comments</w:t>
            </w:r>
          </w:p>
        </w:tc>
      </w:tr>
      <w:tr w:rsidR="00EC1880" w:rsidRPr="00187FA6" w14:paraId="55319817" w14:textId="77777777" w:rsidTr="00631D46">
        <w:trPr>
          <w:trHeight w:val="315"/>
        </w:trPr>
        <w:tc>
          <w:tcPr>
            <w:tcW w:w="2400" w:type="dxa"/>
            <w:vMerge/>
            <w:tcBorders>
              <w:top w:val="single" w:sz="4" w:space="0" w:color="FF0000"/>
              <w:left w:val="single" w:sz="4" w:space="0" w:color="FF0000"/>
              <w:bottom w:val="single" w:sz="4" w:space="0" w:color="FF0000"/>
              <w:right w:val="nil"/>
            </w:tcBorders>
            <w:vAlign w:val="center"/>
            <w:hideMark/>
          </w:tcPr>
          <w:p w14:paraId="5675909F" w14:textId="77777777" w:rsidR="00EC1880" w:rsidRPr="006000AC" w:rsidRDefault="00EC1880" w:rsidP="00631D46">
            <w:pPr>
              <w:spacing w:after="0"/>
              <w:rPr>
                <w:rFonts w:ascii="Calibri" w:hAnsi="Calibri" w:cs="Calibri"/>
                <w:b/>
                <w:bCs/>
                <w:color w:val="000000"/>
                <w:sz w:val="16"/>
                <w:szCs w:val="16"/>
                <w:lang w:eastAsia="en-AU"/>
              </w:rPr>
            </w:pP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7739F7E7" w14:textId="77777777" w:rsidR="00EC1880" w:rsidRPr="006000AC" w:rsidRDefault="00EC1880" w:rsidP="00631D46">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Created</w:t>
            </w:r>
          </w:p>
        </w:tc>
        <w:tc>
          <w:tcPr>
            <w:tcW w:w="2551" w:type="dxa"/>
            <w:tcBorders>
              <w:top w:val="nil"/>
              <w:left w:val="nil"/>
              <w:bottom w:val="single" w:sz="4" w:space="0" w:color="FF0000"/>
              <w:right w:val="nil"/>
            </w:tcBorders>
            <w:shd w:val="clear" w:color="auto" w:fill="auto"/>
            <w:noWrap/>
            <w:vAlign w:val="bottom"/>
            <w:hideMark/>
          </w:tcPr>
          <w:p w14:paraId="05E85873" w14:textId="77777777" w:rsidR="00EC1880" w:rsidRPr="006000AC" w:rsidRDefault="00EC1880" w:rsidP="00631D46">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Retained</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3D95ED3F" w14:textId="77777777" w:rsidR="00EC1880" w:rsidRPr="006000AC" w:rsidRDefault="00EC1880" w:rsidP="00631D46">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Created</w:t>
            </w:r>
          </w:p>
        </w:tc>
        <w:tc>
          <w:tcPr>
            <w:tcW w:w="2551" w:type="dxa"/>
            <w:tcBorders>
              <w:top w:val="nil"/>
              <w:left w:val="nil"/>
              <w:bottom w:val="single" w:sz="4" w:space="0" w:color="FF0000"/>
              <w:right w:val="single" w:sz="12" w:space="0" w:color="00B050"/>
            </w:tcBorders>
            <w:shd w:val="clear" w:color="auto" w:fill="auto"/>
            <w:noWrap/>
            <w:vAlign w:val="bottom"/>
            <w:hideMark/>
          </w:tcPr>
          <w:p w14:paraId="3BBB6FF1" w14:textId="77777777" w:rsidR="00EC1880" w:rsidRPr="006000AC" w:rsidRDefault="00EC1880" w:rsidP="00631D46">
            <w:pPr>
              <w:spacing w:after="0"/>
              <w:rPr>
                <w:rFonts w:ascii="Calibri" w:hAnsi="Calibri" w:cs="Calibri"/>
                <w:b/>
                <w:bCs/>
                <w:color w:val="000000"/>
                <w:sz w:val="16"/>
                <w:szCs w:val="16"/>
                <w:lang w:eastAsia="en-AU"/>
              </w:rPr>
            </w:pPr>
            <w:r w:rsidRPr="006000AC">
              <w:rPr>
                <w:rFonts w:ascii="Calibri" w:hAnsi="Calibri" w:cs="Calibri"/>
                <w:b/>
                <w:bCs/>
                <w:color w:val="000000"/>
                <w:sz w:val="16"/>
                <w:szCs w:val="16"/>
                <w:lang w:eastAsia="en-AU"/>
              </w:rPr>
              <w:t>Retained</w:t>
            </w:r>
          </w:p>
        </w:tc>
        <w:tc>
          <w:tcPr>
            <w:tcW w:w="2400" w:type="dxa"/>
            <w:vMerge/>
            <w:tcBorders>
              <w:top w:val="single" w:sz="4" w:space="0" w:color="808080"/>
              <w:left w:val="single" w:sz="12" w:space="0" w:color="00B050"/>
              <w:bottom w:val="single" w:sz="4" w:space="0" w:color="808080"/>
              <w:right w:val="nil"/>
            </w:tcBorders>
            <w:vAlign w:val="center"/>
            <w:hideMark/>
          </w:tcPr>
          <w:p w14:paraId="20C2332A" w14:textId="77777777" w:rsidR="00EC1880" w:rsidRPr="006000AC" w:rsidRDefault="00EC1880" w:rsidP="00631D46">
            <w:pPr>
              <w:spacing w:after="0"/>
              <w:rPr>
                <w:rFonts w:cs="Arial"/>
                <w:b/>
                <w:bCs/>
                <w:color w:val="000000"/>
                <w:sz w:val="16"/>
                <w:szCs w:val="16"/>
                <w:lang w:eastAsia="en-AU"/>
              </w:rPr>
            </w:pPr>
          </w:p>
        </w:tc>
      </w:tr>
      <w:tr w:rsidR="00EC1880" w:rsidRPr="00187FA6" w14:paraId="6F45A7FC"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6AA48F48"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Apprentices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4619B0B2"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629C79F3"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27FF3E97"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0610DC22"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4FD9BD72"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EC1880" w:rsidRPr="00187FA6" w14:paraId="10FD9398"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5E4A6C20"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Trainees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6822F1F2"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FA8C774"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28F86E41"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5DAA8788"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721E5707"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EC1880" w:rsidRPr="00187FA6" w14:paraId="118815E7"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6B13DEFF"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Cadets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745EBFFD"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71F847B7"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5CE42C98"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388F9976"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77FF2053"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EC1880" w:rsidRPr="00187FA6" w14:paraId="35425656"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2CBCFB3D"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Standard Employees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68FF0F1A"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BF33E46"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5DA8D77F"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31601BB3"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4F135F78"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r w:rsidR="00EC1880" w:rsidRPr="00187FA6" w14:paraId="68BB2F8E" w14:textId="77777777" w:rsidTr="00631D46">
        <w:trPr>
          <w:trHeight w:val="330"/>
        </w:trPr>
        <w:tc>
          <w:tcPr>
            <w:tcW w:w="2400" w:type="dxa"/>
            <w:tcBorders>
              <w:top w:val="nil"/>
              <w:left w:val="single" w:sz="4" w:space="0" w:color="FF0000"/>
              <w:bottom w:val="single" w:sz="4" w:space="0" w:color="FF0000"/>
              <w:right w:val="nil"/>
            </w:tcBorders>
            <w:shd w:val="clear" w:color="000000" w:fill="F2F2F2"/>
            <w:vAlign w:val="center"/>
            <w:hideMark/>
          </w:tcPr>
          <w:p w14:paraId="4CF6EF9E" w14:textId="77777777" w:rsidR="00EC1880" w:rsidRPr="006000AC" w:rsidRDefault="00EC1880" w:rsidP="00631D46">
            <w:pPr>
              <w:spacing w:after="0"/>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Grand Total</w:t>
            </w:r>
          </w:p>
        </w:tc>
        <w:tc>
          <w:tcPr>
            <w:tcW w:w="2249" w:type="dxa"/>
            <w:tcBorders>
              <w:top w:val="nil"/>
              <w:left w:val="single" w:sz="12" w:space="0" w:color="FF0000"/>
              <w:bottom w:val="single" w:sz="12" w:space="0" w:color="FF0000"/>
              <w:right w:val="single" w:sz="4" w:space="0" w:color="FF0000"/>
            </w:tcBorders>
            <w:shd w:val="clear" w:color="000000" w:fill="F2F2F2"/>
            <w:noWrap/>
            <w:vAlign w:val="center"/>
            <w:hideMark/>
          </w:tcPr>
          <w:p w14:paraId="38535A17" w14:textId="77777777" w:rsidR="00EC1880" w:rsidRPr="006000AC" w:rsidRDefault="00EC1880" w:rsidP="00631D46">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551" w:type="dxa"/>
            <w:tcBorders>
              <w:top w:val="nil"/>
              <w:left w:val="nil"/>
              <w:bottom w:val="single" w:sz="12" w:space="0" w:color="FF0000"/>
              <w:right w:val="nil"/>
            </w:tcBorders>
            <w:shd w:val="clear" w:color="000000" w:fill="F2F2F2"/>
            <w:noWrap/>
            <w:vAlign w:val="center"/>
            <w:hideMark/>
          </w:tcPr>
          <w:p w14:paraId="70B3E817" w14:textId="77777777" w:rsidR="00EC1880" w:rsidRPr="006000AC" w:rsidRDefault="00EC1880" w:rsidP="00631D46">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249" w:type="dxa"/>
            <w:tcBorders>
              <w:top w:val="nil"/>
              <w:left w:val="single" w:sz="12" w:space="0" w:color="00B050"/>
              <w:bottom w:val="single" w:sz="12" w:space="0" w:color="00B050"/>
              <w:right w:val="single" w:sz="4" w:space="0" w:color="FF0000"/>
            </w:tcBorders>
            <w:shd w:val="clear" w:color="000000" w:fill="F2F2F2"/>
            <w:noWrap/>
            <w:vAlign w:val="center"/>
            <w:hideMark/>
          </w:tcPr>
          <w:p w14:paraId="40DB9BFD" w14:textId="77777777" w:rsidR="00EC1880" w:rsidRPr="006000AC" w:rsidRDefault="00EC1880" w:rsidP="00631D46">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551" w:type="dxa"/>
            <w:tcBorders>
              <w:top w:val="nil"/>
              <w:left w:val="nil"/>
              <w:bottom w:val="single" w:sz="12" w:space="0" w:color="00B050"/>
              <w:right w:val="single" w:sz="12" w:space="0" w:color="00B050"/>
            </w:tcBorders>
            <w:shd w:val="clear" w:color="000000" w:fill="F2F2F2"/>
            <w:noWrap/>
            <w:vAlign w:val="center"/>
            <w:hideMark/>
          </w:tcPr>
          <w:p w14:paraId="43FC0676" w14:textId="77777777" w:rsidR="00EC1880" w:rsidRPr="006000AC" w:rsidRDefault="00EC1880" w:rsidP="00631D46">
            <w:pPr>
              <w:spacing w:after="0"/>
              <w:jc w:val="center"/>
              <w:rPr>
                <w:rFonts w:ascii="Calibri" w:hAnsi="Calibri" w:cs="Calibri"/>
                <w:b/>
                <w:bCs/>
                <w:i/>
                <w:iCs/>
                <w:color w:val="000000"/>
                <w:sz w:val="16"/>
                <w:szCs w:val="16"/>
                <w:lang w:eastAsia="en-AU"/>
              </w:rPr>
            </w:pPr>
            <w:r w:rsidRPr="006000AC">
              <w:rPr>
                <w:rFonts w:ascii="Calibri" w:hAnsi="Calibri" w:cs="Calibri"/>
                <w:b/>
                <w:bCs/>
                <w:i/>
                <w:iCs/>
                <w:color w:val="000000"/>
                <w:sz w:val="16"/>
                <w:szCs w:val="16"/>
                <w:lang w:eastAsia="en-AU"/>
              </w:rPr>
              <w:t>0</w:t>
            </w:r>
          </w:p>
        </w:tc>
        <w:tc>
          <w:tcPr>
            <w:tcW w:w="2400" w:type="dxa"/>
            <w:tcBorders>
              <w:top w:val="nil"/>
              <w:left w:val="nil"/>
              <w:bottom w:val="single" w:sz="4" w:space="0" w:color="808080"/>
              <w:right w:val="nil"/>
            </w:tcBorders>
            <w:shd w:val="clear" w:color="auto" w:fill="auto"/>
            <w:noWrap/>
            <w:vAlign w:val="bottom"/>
            <w:hideMark/>
          </w:tcPr>
          <w:p w14:paraId="3690B6A2" w14:textId="77777777" w:rsidR="00EC1880" w:rsidRPr="006000AC" w:rsidRDefault="00EC1880" w:rsidP="00631D46">
            <w:pPr>
              <w:spacing w:after="0"/>
              <w:rPr>
                <w:rFonts w:ascii="Calibri" w:hAnsi="Calibri" w:cs="Calibri"/>
                <w:color w:val="000000"/>
                <w:sz w:val="16"/>
                <w:szCs w:val="16"/>
                <w:lang w:eastAsia="en-AU"/>
              </w:rPr>
            </w:pPr>
            <w:r w:rsidRPr="006000AC">
              <w:rPr>
                <w:rFonts w:ascii="Calibri" w:hAnsi="Calibri" w:cs="Calibri"/>
                <w:color w:val="000000"/>
                <w:sz w:val="16"/>
                <w:szCs w:val="16"/>
                <w:lang w:eastAsia="en-AU"/>
              </w:rPr>
              <w:t> </w:t>
            </w:r>
          </w:p>
        </w:tc>
      </w:tr>
    </w:tbl>
    <w:p w14:paraId="47275A40" w14:textId="77777777" w:rsidR="00FF5280" w:rsidRPr="00FF5280" w:rsidRDefault="00FF5280" w:rsidP="00FF5280"/>
    <w:p w14:paraId="4772E558" w14:textId="77777777" w:rsidR="00370ADF" w:rsidRDefault="00370ADF" w:rsidP="00D96C1E">
      <w:pPr>
        <w:rPr>
          <w:noProof/>
          <w:lang w:eastAsia="en-AU"/>
        </w:rPr>
      </w:pPr>
    </w:p>
    <w:p w14:paraId="5D99057F" w14:textId="77777777" w:rsidR="00370ADF" w:rsidRDefault="00370ADF" w:rsidP="00D96C1E">
      <w:pPr>
        <w:rPr>
          <w:noProof/>
          <w:lang w:eastAsia="en-AU"/>
        </w:rPr>
        <w:sectPr w:rsidR="00370ADF" w:rsidSect="00370ADF">
          <w:pgSz w:w="16838" w:h="11906" w:orient="landscape"/>
          <w:pgMar w:top="1440" w:right="1440" w:bottom="1440" w:left="1440" w:header="708" w:footer="137" w:gutter="0"/>
          <w:cols w:space="708"/>
          <w:titlePg/>
          <w:docGrid w:linePitch="360"/>
        </w:sectPr>
      </w:pPr>
    </w:p>
    <w:p w14:paraId="29FEBF70" w14:textId="5F9C57CF" w:rsidR="00A00B17" w:rsidRDefault="00A00B17" w:rsidP="009A671B">
      <w:pPr>
        <w:rPr>
          <w:noProof/>
          <w:lang w:eastAsia="en-AU"/>
        </w:rPr>
      </w:pPr>
      <w:bookmarkStart w:id="76" w:name="_Hlk528682226"/>
      <w:r>
        <w:rPr>
          <w:noProof/>
          <w:lang w:eastAsia="en-AU"/>
        </w:rPr>
        <w:lastRenderedPageBreak/>
        <w:t xml:space="preserve">For further information or </w:t>
      </w:r>
      <w:r w:rsidR="00B9188E">
        <w:rPr>
          <w:noProof/>
          <w:lang w:eastAsia="en-AU"/>
        </w:rPr>
        <w:t>help</w:t>
      </w:r>
      <w:r>
        <w:rPr>
          <w:noProof/>
          <w:lang w:eastAsia="en-AU"/>
        </w:rPr>
        <w:t>ance on the Local Jobs First policy and processes please contact:</w:t>
      </w:r>
    </w:p>
    <w:p w14:paraId="66B5EC33" w14:textId="4F3798C2" w:rsidR="00A00B17" w:rsidRDefault="00A00B17" w:rsidP="00A00B17">
      <w:pPr>
        <w:rPr>
          <w:noProof/>
          <w:lang w:eastAsia="en-AU"/>
        </w:rPr>
      </w:pPr>
      <w:r>
        <w:rPr>
          <w:noProof/>
          <w:lang w:eastAsia="en-AU"/>
        </w:rPr>
        <w:t>Department of</w:t>
      </w:r>
      <w:r w:rsidR="0065282D">
        <w:rPr>
          <w:noProof/>
          <w:lang w:eastAsia="en-AU"/>
        </w:rPr>
        <w:t xml:space="preserve"> Jobs, Precincts and Re</w:t>
      </w:r>
      <w:r w:rsidR="006F1ACC">
        <w:rPr>
          <w:noProof/>
          <w:lang w:eastAsia="en-AU"/>
        </w:rPr>
        <w:t>gions</w:t>
      </w:r>
    </w:p>
    <w:p w14:paraId="6C333B1D" w14:textId="77777777" w:rsidR="00A00B17" w:rsidRDefault="00A00B17" w:rsidP="00A00B17">
      <w:pPr>
        <w:rPr>
          <w:noProof/>
          <w:lang w:eastAsia="en-AU"/>
        </w:rPr>
      </w:pPr>
      <w:r>
        <w:rPr>
          <w:noProof/>
          <w:lang w:eastAsia="en-AU"/>
        </w:rPr>
        <w:t>A: 121 Exhibition St, Melbourne, VIC, 3000</w:t>
      </w:r>
    </w:p>
    <w:p w14:paraId="046FB888" w14:textId="77777777" w:rsidR="00A00B17" w:rsidRDefault="00A00B17" w:rsidP="00A00B17">
      <w:pPr>
        <w:pBdr>
          <w:bottom w:val="single" w:sz="6" w:space="1" w:color="auto"/>
        </w:pBdr>
        <w:rPr>
          <w:noProof/>
          <w:lang w:eastAsia="en-AU"/>
        </w:rPr>
      </w:pPr>
      <w:r>
        <w:rPr>
          <w:noProof/>
          <w:lang w:eastAsia="en-AU"/>
        </w:rPr>
        <w:t xml:space="preserve">E: </w:t>
      </w:r>
      <w:hyperlink r:id="rId41" w:history="1">
        <w:r w:rsidR="000F615B" w:rsidRPr="000212B7">
          <w:rPr>
            <w:rStyle w:val="Hyperlink"/>
            <w:noProof/>
            <w:lang w:eastAsia="en-AU"/>
          </w:rPr>
          <w:t>localjobsfirst@ecodev.vic.gov.au</w:t>
        </w:r>
      </w:hyperlink>
      <w:r>
        <w:rPr>
          <w:noProof/>
          <w:lang w:eastAsia="en-AU"/>
        </w:rPr>
        <w:t xml:space="preserve"> </w:t>
      </w:r>
    </w:p>
    <w:p w14:paraId="4D06E996" w14:textId="77777777" w:rsidR="00A00B17" w:rsidRDefault="00A00B17" w:rsidP="00A00B17">
      <w:pPr>
        <w:pBdr>
          <w:bottom w:val="single" w:sz="6" w:space="1" w:color="auto"/>
        </w:pBdr>
        <w:rPr>
          <w:noProof/>
          <w:lang w:eastAsia="en-AU"/>
        </w:rPr>
      </w:pPr>
      <w:r>
        <w:rPr>
          <w:noProof/>
          <w:lang w:eastAsia="en-AU"/>
        </w:rPr>
        <w:t xml:space="preserve">Ph: </w:t>
      </w:r>
      <w:r w:rsidRPr="0097590C">
        <w:rPr>
          <w:rFonts w:cs="Arial"/>
        </w:rPr>
        <w:t>13 22 15</w:t>
      </w:r>
    </w:p>
    <w:p w14:paraId="1D3BF177" w14:textId="77777777" w:rsidR="00A00B17" w:rsidRDefault="00A00B17" w:rsidP="00A00B17">
      <w:pPr>
        <w:pBdr>
          <w:bottom w:val="single" w:sz="6" w:space="1" w:color="auto"/>
        </w:pBdr>
        <w:rPr>
          <w:noProof/>
          <w:lang w:eastAsia="en-AU"/>
        </w:rPr>
      </w:pPr>
    </w:p>
    <w:p w14:paraId="1FAB3122" w14:textId="77777777" w:rsidR="00A00B17" w:rsidRDefault="00A00B17" w:rsidP="00A00B17">
      <w:pPr>
        <w:spacing w:before="0" w:after="0"/>
      </w:pPr>
    </w:p>
    <w:p w14:paraId="0588A319" w14:textId="4581C026" w:rsidR="00A00B17" w:rsidRDefault="00A00B17" w:rsidP="00A00B17">
      <w:pPr>
        <w:spacing w:before="0" w:after="0"/>
      </w:pPr>
      <w:r w:rsidRPr="00E02831">
        <w:t>Authorised by the</w:t>
      </w:r>
      <w:r>
        <w:t xml:space="preserve"> Hon </w:t>
      </w:r>
      <w:r w:rsidR="008823A0">
        <w:t xml:space="preserve">Martin </w:t>
      </w:r>
      <w:proofErr w:type="spellStart"/>
      <w:r w:rsidR="008823A0">
        <w:t>Pakula</w:t>
      </w:r>
      <w:proofErr w:type="spellEnd"/>
      <w:r w:rsidR="001D0BB1">
        <w:t xml:space="preserve"> MP</w:t>
      </w:r>
      <w:r>
        <w:t xml:space="preserve">, </w:t>
      </w:r>
      <w:r w:rsidR="007B3488">
        <w:t>Minister for Jobs, Innovation and Trade</w:t>
      </w:r>
    </w:p>
    <w:p w14:paraId="65E59CF8" w14:textId="43759889" w:rsidR="00A00B17" w:rsidRDefault="00971BE4" w:rsidP="00A00B17">
      <w:pPr>
        <w:spacing w:before="0" w:after="0"/>
      </w:pPr>
      <w:r>
        <w:t>May</w:t>
      </w:r>
      <w:r w:rsidR="008823A0">
        <w:t xml:space="preserve"> 2020</w:t>
      </w:r>
    </w:p>
    <w:p w14:paraId="34C3BA59" w14:textId="77777777" w:rsidR="00A00B17" w:rsidRPr="00E02831" w:rsidRDefault="00A00B17" w:rsidP="00A00B17">
      <w:pPr>
        <w:spacing w:before="0" w:after="0"/>
      </w:pPr>
    </w:p>
    <w:p w14:paraId="53D0C385" w14:textId="70C2AE31" w:rsidR="00A00B17" w:rsidRDefault="007B3488" w:rsidP="00A00B17">
      <w:pPr>
        <w:spacing w:before="0" w:after="0"/>
      </w:pPr>
      <w:r>
        <w:t>Department of Jobs, Precincts and Regions</w:t>
      </w:r>
      <w:r w:rsidR="00A00B17" w:rsidRPr="00E02831">
        <w:br/>
        <w:t>1 Spring</w:t>
      </w:r>
      <w:r w:rsidR="00A00B17">
        <w:t xml:space="preserve"> Street Melbourne Victoria 3000</w:t>
      </w:r>
    </w:p>
    <w:p w14:paraId="0AE9A155" w14:textId="77777777" w:rsidR="00A00B17" w:rsidRPr="00E02831" w:rsidRDefault="00A00B17" w:rsidP="00A00B17">
      <w:pPr>
        <w:spacing w:before="0" w:after="0"/>
      </w:pPr>
    </w:p>
    <w:p w14:paraId="3FDEEF74" w14:textId="77777777" w:rsidR="00A00B17" w:rsidRDefault="00A00B17" w:rsidP="00A00B17">
      <w:pPr>
        <w:spacing w:before="0" w:after="0"/>
      </w:pPr>
      <w:r w:rsidRPr="00E02831">
        <w:t xml:space="preserve">© Copyright State of Victoria, </w:t>
      </w:r>
      <w:r w:rsidRPr="00E02831">
        <w:br/>
      </w:r>
    </w:p>
    <w:p w14:paraId="66950A1B" w14:textId="654CD618" w:rsidR="00A00B17" w:rsidRDefault="007B3488" w:rsidP="00A00B17">
      <w:pPr>
        <w:spacing w:before="0" w:after="0"/>
      </w:pPr>
      <w:r>
        <w:t>Department of Jobs, Precincts and Regions</w:t>
      </w:r>
      <w:r w:rsidR="00A00B17">
        <w:t xml:space="preserve"> </w:t>
      </w:r>
      <w:r w:rsidR="00DB6CDD">
        <w:t>2020</w:t>
      </w:r>
    </w:p>
    <w:p w14:paraId="7EB1AD42" w14:textId="77777777" w:rsidR="00A00B17" w:rsidRDefault="00A00B17" w:rsidP="00A00B17">
      <w:pPr>
        <w:spacing w:before="0" w:after="0"/>
      </w:pPr>
    </w:p>
    <w:p w14:paraId="0150BC0F" w14:textId="77777777" w:rsidR="00A00B17" w:rsidRPr="00E02831" w:rsidRDefault="00A00B17" w:rsidP="00A00B17">
      <w:pPr>
        <w:spacing w:before="0" w:after="0"/>
      </w:pPr>
      <w:r w:rsidRPr="00E02831">
        <w:t>Except for any logos, emblems, trademarks, artwork and photography this document is made available under the terms of the Creative Commons Attribution 3.0 Australia license.</w:t>
      </w:r>
    </w:p>
    <w:p w14:paraId="114B4153" w14:textId="77777777" w:rsidR="00A00B17" w:rsidRDefault="00A00B17" w:rsidP="00A00B17">
      <w:pPr>
        <w:spacing w:before="0" w:after="0"/>
      </w:pPr>
    </w:p>
    <w:p w14:paraId="0F15D7A3" w14:textId="77777777" w:rsidR="00A00B17" w:rsidRDefault="00A00B17" w:rsidP="00A00B17">
      <w:pPr>
        <w:spacing w:before="0" w:after="0"/>
      </w:pPr>
      <w:r w:rsidRPr="00E02831">
        <w:t>This document is also available in an accessible format at</w:t>
      </w:r>
      <w:r>
        <w:t xml:space="preserve"> </w:t>
      </w:r>
      <w:hyperlink r:id="rId42" w:history="1">
        <w:r w:rsidRPr="00AB725B">
          <w:rPr>
            <w:rStyle w:val="Hyperlink"/>
          </w:rPr>
          <w:t>www.localjobsfirst.vic.gov.au</w:t>
        </w:r>
      </w:hyperlink>
    </w:p>
    <w:p w14:paraId="53FE35F5" w14:textId="77777777" w:rsidR="00A00B17" w:rsidRPr="00B14DDB" w:rsidRDefault="00A00B17" w:rsidP="00A00B17"/>
    <w:bookmarkEnd w:id="76"/>
    <w:p w14:paraId="5A68E0DD" w14:textId="77777777" w:rsidR="002A7F01" w:rsidRPr="00E02831" w:rsidRDefault="002A7F01" w:rsidP="00070516"/>
    <w:p w14:paraId="0487732D" w14:textId="77777777" w:rsidR="004371F6" w:rsidRPr="00B14DDB" w:rsidRDefault="004371F6" w:rsidP="00B14DDB"/>
    <w:sectPr w:rsidR="004371F6" w:rsidRPr="00B14DDB" w:rsidSect="00370ADF">
      <w:pgSz w:w="11906" w:h="16838"/>
      <w:pgMar w:top="1440" w:right="1440" w:bottom="1440" w:left="1440"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6018" w14:textId="77777777" w:rsidR="006D680F" w:rsidRDefault="006D680F" w:rsidP="00D96C1E">
      <w:r>
        <w:separator/>
      </w:r>
    </w:p>
    <w:p w14:paraId="2AC34991" w14:textId="77777777" w:rsidR="006D680F" w:rsidRDefault="006D680F" w:rsidP="00D96C1E"/>
  </w:endnote>
  <w:endnote w:type="continuationSeparator" w:id="0">
    <w:p w14:paraId="4FD34F45" w14:textId="77777777" w:rsidR="006D680F" w:rsidRDefault="006D680F" w:rsidP="00D96C1E">
      <w:r>
        <w:continuationSeparator/>
      </w:r>
    </w:p>
    <w:p w14:paraId="7894F80F" w14:textId="77777777" w:rsidR="006D680F" w:rsidRDefault="006D680F"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09CA" w14:textId="77777777" w:rsidR="00DE4B66" w:rsidRDefault="00DE4B66">
    <w:pPr>
      <w:pStyle w:val="Footer"/>
    </w:pPr>
    <w:r>
      <w:rPr>
        <w:noProof/>
      </w:rPr>
      <w:drawing>
        <wp:anchor distT="0" distB="0" distL="114300" distR="114300" simplePos="0" relativeHeight="251660288" behindDoc="0" locked="0" layoutInCell="1" allowOverlap="1" wp14:anchorId="285C240F" wp14:editId="71E009B2">
          <wp:simplePos x="0" y="0"/>
          <wp:positionH relativeFrom="column">
            <wp:posOffset>395288</wp:posOffset>
          </wp:positionH>
          <wp:positionV relativeFrom="paragraph">
            <wp:posOffset>-1007427</wp:posOffset>
          </wp:positionV>
          <wp:extent cx="3438525" cy="580973"/>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87201" cy="589197"/>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1312" behindDoc="0" locked="0" layoutInCell="1" allowOverlap="1" wp14:anchorId="3AE0DEFC" wp14:editId="5FD743FC">
          <wp:simplePos x="0" y="0"/>
          <wp:positionH relativeFrom="column">
            <wp:posOffset>-14605</wp:posOffset>
          </wp:positionH>
          <wp:positionV relativeFrom="paragraph">
            <wp:posOffset>-1049973</wp:posOffset>
          </wp:positionV>
          <wp:extent cx="3443605" cy="542925"/>
          <wp:effectExtent l="0" t="0" r="4445" b="9525"/>
          <wp:wrapThrough wrapText="bothSides">
            <wp:wrapPolygon edited="0">
              <wp:start x="0" y="0"/>
              <wp:lineTo x="0" y="2274"/>
              <wp:lineTo x="1195" y="21221"/>
              <wp:lineTo x="3107" y="21221"/>
              <wp:lineTo x="8484" y="21221"/>
              <wp:lineTo x="21389" y="15158"/>
              <wp:lineTo x="21508" y="8337"/>
              <wp:lineTo x="21508" y="4547"/>
              <wp:lineTo x="1553" y="0"/>
              <wp:lineTo x="0" y="0"/>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605" cy="5429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057FD9A" wp14:editId="2AA8DBBB">
          <wp:simplePos x="0" y="0"/>
          <wp:positionH relativeFrom="column">
            <wp:posOffset>-6985</wp:posOffset>
          </wp:positionH>
          <wp:positionV relativeFrom="paragraph">
            <wp:posOffset>-1664335</wp:posOffset>
          </wp:positionV>
          <wp:extent cx="2533650" cy="718820"/>
          <wp:effectExtent l="38100" t="514350" r="38100" b="519430"/>
          <wp:wrapThrough wrapText="bothSides">
            <wp:wrapPolygon edited="0">
              <wp:start x="21250" y="-845"/>
              <wp:lineTo x="16257" y="-9154"/>
              <wp:lineTo x="15147" y="-872"/>
              <wp:lineTo x="10154" y="-9182"/>
              <wp:lineTo x="9045" y="-899"/>
              <wp:lineTo x="4051" y="-9209"/>
              <wp:lineTo x="2942" y="-927"/>
              <wp:lineTo x="1473" y="-3371"/>
              <wp:lineTo x="176" y="-1731"/>
              <wp:lineTo x="-370" y="3690"/>
              <wp:lineTo x="-333" y="20843"/>
              <wp:lineTo x="254" y="21821"/>
              <wp:lineTo x="16747" y="22047"/>
              <wp:lineTo x="21605" y="20637"/>
              <wp:lineTo x="23306" y="2577"/>
              <wp:lineTo x="21837" y="133"/>
              <wp:lineTo x="21250" y="-845"/>
            </wp:wrapPolygon>
          </wp:wrapThrough>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20083578">
                    <a:off x="0" y="0"/>
                    <a:ext cx="2533650" cy="718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026628" wp14:editId="1615E27A">
          <wp:simplePos x="0" y="0"/>
          <wp:positionH relativeFrom="column">
            <wp:posOffset>-14605</wp:posOffset>
          </wp:positionH>
          <wp:positionV relativeFrom="paragraph">
            <wp:posOffset>-1050290</wp:posOffset>
          </wp:positionV>
          <wp:extent cx="3443605" cy="542925"/>
          <wp:effectExtent l="0" t="0" r="4445" b="9525"/>
          <wp:wrapThrough wrapText="bothSides">
            <wp:wrapPolygon edited="0">
              <wp:start x="0" y="0"/>
              <wp:lineTo x="0" y="2274"/>
              <wp:lineTo x="1195" y="21221"/>
              <wp:lineTo x="3107" y="21221"/>
              <wp:lineTo x="8484" y="21221"/>
              <wp:lineTo x="21389" y="15158"/>
              <wp:lineTo x="21508" y="8337"/>
              <wp:lineTo x="21508" y="4547"/>
              <wp:lineTo x="1553" y="0"/>
              <wp:lineTo x="0" y="0"/>
            </wp:wrapPolygon>
          </wp:wrapThrough>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6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09E22E8" wp14:editId="2DAE0E27">
          <wp:simplePos x="0" y="0"/>
          <wp:positionH relativeFrom="column">
            <wp:posOffset>923925</wp:posOffset>
          </wp:positionH>
          <wp:positionV relativeFrom="paragraph">
            <wp:posOffset>-897890</wp:posOffset>
          </wp:positionV>
          <wp:extent cx="2295525" cy="581025"/>
          <wp:effectExtent l="0" t="0" r="9525" b="9525"/>
          <wp:wrapThrough wrapText="bothSides">
            <wp:wrapPolygon edited="0">
              <wp:start x="0" y="0"/>
              <wp:lineTo x="0" y="21246"/>
              <wp:lineTo x="21510" y="21246"/>
              <wp:lineTo x="21510" y="0"/>
              <wp:lineTo x="0" y="0"/>
            </wp:wrapPolygon>
          </wp:wrapThrough>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581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961A8EA" wp14:editId="0299DC13">
          <wp:simplePos x="0" y="0"/>
          <wp:positionH relativeFrom="column">
            <wp:posOffset>156210</wp:posOffset>
          </wp:positionH>
          <wp:positionV relativeFrom="paragraph">
            <wp:posOffset>-1318895</wp:posOffset>
          </wp:positionV>
          <wp:extent cx="2533650" cy="718820"/>
          <wp:effectExtent l="38100" t="514350" r="38100" b="519430"/>
          <wp:wrapThrough wrapText="bothSides">
            <wp:wrapPolygon edited="0">
              <wp:start x="21250" y="-845"/>
              <wp:lineTo x="16257" y="-9154"/>
              <wp:lineTo x="15147" y="-872"/>
              <wp:lineTo x="10154" y="-9182"/>
              <wp:lineTo x="9045" y="-899"/>
              <wp:lineTo x="4051" y="-9209"/>
              <wp:lineTo x="2942" y="-927"/>
              <wp:lineTo x="1473" y="-3371"/>
              <wp:lineTo x="176" y="-1731"/>
              <wp:lineTo x="-370" y="3690"/>
              <wp:lineTo x="-333" y="20843"/>
              <wp:lineTo x="254" y="21821"/>
              <wp:lineTo x="16747" y="22047"/>
              <wp:lineTo x="21605" y="20637"/>
              <wp:lineTo x="23306" y="2577"/>
              <wp:lineTo x="21837" y="133"/>
              <wp:lineTo x="21250" y="-845"/>
            </wp:wrapPolygon>
          </wp:wrapThrough>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20083578">
                    <a:off x="0" y="0"/>
                    <a:ext cx="2533650" cy="718820"/>
                  </a:xfrm>
                  <a:prstGeom prst="rect">
                    <a:avLst/>
                  </a:prstGeom>
                </pic:spPr>
              </pic:pic>
            </a:graphicData>
          </a:graphic>
          <wp14:sizeRelH relativeFrom="page">
            <wp14:pctWidth>0</wp14:pctWidth>
          </wp14:sizeRelH>
          <wp14:sizeRelV relativeFrom="page">
            <wp14:pctHeight>0</wp14:pctHeight>
          </wp14:sizeRelV>
        </wp:anchor>
      </w:drawing>
    </w:r>
    <w:r>
      <w:rPr>
        <w:noProof/>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7D0" w14:textId="6AA0A51B" w:rsidR="00DE4B66" w:rsidRDefault="00DE4B66" w:rsidP="00370ADF">
    <w:pPr>
      <w:pStyle w:val="Footer"/>
      <w:tabs>
        <w:tab w:val="clear" w:pos="4320"/>
        <w:tab w:val="clear" w:pos="8640"/>
        <w:tab w:val="left" w:pos="482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97994085"/>
      <w:docPartObj>
        <w:docPartGallery w:val="Page Numbers (Bottom of Page)"/>
        <w:docPartUnique/>
      </w:docPartObj>
    </w:sdtPr>
    <w:sdtEndPr>
      <w:rPr>
        <w:sz w:val="18"/>
        <w:szCs w:val="20"/>
      </w:rPr>
    </w:sdtEndPr>
    <w:sdtContent>
      <w:sdt>
        <w:sdtPr>
          <w:rPr>
            <w:sz w:val="16"/>
            <w:szCs w:val="16"/>
          </w:rPr>
          <w:id w:val="-726373178"/>
          <w:docPartObj>
            <w:docPartGallery w:val="Page Numbers (Top of Page)"/>
            <w:docPartUnique/>
          </w:docPartObj>
        </w:sdtPr>
        <w:sdtEndPr>
          <w:rPr>
            <w:sz w:val="18"/>
            <w:szCs w:val="20"/>
          </w:rPr>
        </w:sdtEndPr>
        <w:sdtContent>
          <w:p w14:paraId="00E91F1E" w14:textId="31DFC107" w:rsidR="00DE4B66" w:rsidRPr="00DF6B5E" w:rsidRDefault="00DE4B66" w:rsidP="00DF6B5E">
            <w:pPr>
              <w:pStyle w:val="Footer"/>
              <w:spacing w:before="0" w:after="0"/>
              <w:rPr>
                <w:sz w:val="16"/>
                <w:szCs w:val="16"/>
              </w:rPr>
            </w:pPr>
          </w:p>
          <w:p w14:paraId="178D8B4E" w14:textId="2BFF44CA" w:rsidR="00DE4B66" w:rsidRPr="00DA31A6" w:rsidRDefault="00DE4B66" w:rsidP="00DF6B5E">
            <w:pPr>
              <w:pStyle w:val="Footer"/>
              <w:spacing w:before="0" w:after="0"/>
              <w:rPr>
                <w:sz w:val="16"/>
                <w:szCs w:val="16"/>
              </w:rPr>
            </w:pPr>
            <w:r w:rsidRPr="004F337B">
              <w:rPr>
                <w:rStyle w:val="FootnoteTextChar"/>
              </w:rPr>
              <w:t xml:space="preserve">Local Jobs First Policy Agency Guidelines </w:t>
            </w:r>
            <w:r>
              <w:rPr>
                <w:rStyle w:val="FootnoteTextChar"/>
              </w:rPr>
              <w:t xml:space="preserve">– </w:t>
            </w:r>
            <w:r w:rsidR="00971BE4">
              <w:rPr>
                <w:rStyle w:val="FootnoteTextChar"/>
              </w:rPr>
              <w:t xml:space="preserve">May </w:t>
            </w:r>
            <w:r>
              <w:rPr>
                <w:rStyle w:val="FootnoteTextChar"/>
              </w:rPr>
              <w:t xml:space="preserve">2020 </w:t>
            </w:r>
            <w:r>
              <w:rPr>
                <w:rStyle w:val="FootnoteTextChar"/>
              </w:rPr>
              <w:tab/>
            </w:r>
            <w:r>
              <w:rPr>
                <w:sz w:val="16"/>
                <w:szCs w:val="16"/>
              </w:rPr>
              <w:tab/>
            </w: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p>
          <w:p w14:paraId="2C25DDB8" w14:textId="6F3EE1D5" w:rsidR="00DE4B66" w:rsidRPr="00133F06" w:rsidRDefault="00DE4B66" w:rsidP="00A62CCC">
            <w:pPr>
              <w:tabs>
                <w:tab w:val="left" w:pos="3690"/>
              </w:tabs>
            </w:pPr>
            <w:r>
              <w:tab/>
            </w:r>
          </w:p>
        </w:sdtContent>
      </w:sdt>
    </w:sdtContent>
  </w:sdt>
  <w:p w14:paraId="43B7A007" w14:textId="77777777" w:rsidR="00DE4B66" w:rsidRDefault="00DE4B66"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AC54" w14:textId="77777777" w:rsidR="006D680F" w:rsidRDefault="006D680F" w:rsidP="00D96C1E">
      <w:r>
        <w:separator/>
      </w:r>
    </w:p>
    <w:p w14:paraId="75C8FE42" w14:textId="77777777" w:rsidR="006D680F" w:rsidRDefault="006D680F" w:rsidP="00D96C1E"/>
  </w:footnote>
  <w:footnote w:type="continuationSeparator" w:id="0">
    <w:p w14:paraId="39B72B44" w14:textId="77777777" w:rsidR="006D680F" w:rsidRDefault="006D680F" w:rsidP="00D96C1E">
      <w:r>
        <w:continuationSeparator/>
      </w:r>
    </w:p>
    <w:p w14:paraId="4303B1B6" w14:textId="77777777" w:rsidR="006D680F" w:rsidRDefault="006D680F"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8CC8" w14:textId="77777777" w:rsidR="00DE4B66" w:rsidRDefault="00DE4B66">
    <w:pPr>
      <w:pStyle w:val="Header"/>
    </w:pPr>
    <w:r w:rsidRPr="0047003A">
      <w:rPr>
        <w:rStyle w:val="TitleChar"/>
      </w:rPr>
      <w:t xml:space="preserve"> </w:t>
    </w:r>
    <w:r w:rsidRPr="0047003A">
      <w:rPr>
        <w:rStyle w:val="TitleChar"/>
      </w:rPr>
      <w:drawing>
        <wp:anchor distT="0" distB="0" distL="114300" distR="114300" simplePos="0" relativeHeight="251653120" behindDoc="1" locked="0" layoutInCell="1" allowOverlap="1" wp14:anchorId="68CAF56B" wp14:editId="4D35E9EE">
          <wp:simplePos x="0" y="0"/>
          <wp:positionH relativeFrom="column">
            <wp:posOffset>-914400</wp:posOffset>
          </wp:positionH>
          <wp:positionV relativeFrom="paragraph">
            <wp:posOffset>-446405</wp:posOffset>
          </wp:positionV>
          <wp:extent cx="7558745" cy="10690225"/>
          <wp:effectExtent l="0" t="0" r="10795"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rotWithShape="1">
                  <a:blip r:embed="rId1" cstate="print">
                    <a:extLst>
                      <a:ext uri="{28A0092B-C50C-407E-A947-70E740481C1C}">
                        <a14:useLocalDpi xmlns:a14="http://schemas.microsoft.com/office/drawing/2010/main" val="0"/>
                      </a:ext>
                    </a:extLst>
                  </a:blip>
                  <a:srcRect l="122" t="172" r="-122" b="-172"/>
                  <a:stretch/>
                </pic:blipFill>
                <pic:spPr bwMode="auto">
                  <a:xfrm>
                    <a:off x="0" y="0"/>
                    <a:ext cx="7559040" cy="106906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13DE" w14:textId="77777777" w:rsidR="00DE4B66" w:rsidRDefault="00DE4B66" w:rsidP="00644924">
    <w:r>
      <w:rPr>
        <w:noProof/>
        <w:lang w:val="en-GB" w:eastAsia="en-GB"/>
      </w:rPr>
      <w:drawing>
        <wp:anchor distT="0" distB="0" distL="114300" distR="114300" simplePos="0" relativeHeight="251654144" behindDoc="1" locked="0" layoutInCell="1" allowOverlap="1" wp14:anchorId="639C67D1" wp14:editId="0247AF7F">
          <wp:simplePos x="0" y="0"/>
          <wp:positionH relativeFrom="column">
            <wp:posOffset>-914400</wp:posOffset>
          </wp:positionH>
          <wp:positionV relativeFrom="paragraph">
            <wp:posOffset>-460508</wp:posOffset>
          </wp:positionV>
          <wp:extent cx="7560000" cy="1069200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433D" w14:textId="01D1DC1B" w:rsidR="00DE4B66" w:rsidRPr="00644924" w:rsidRDefault="00DE4B66" w:rsidP="00644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CBC"/>
    <w:multiLevelType w:val="hybridMultilevel"/>
    <w:tmpl w:val="365E449E"/>
    <w:lvl w:ilvl="0" w:tplc="0C09000F">
      <w:start w:val="1"/>
      <w:numFmt w:val="decimal"/>
      <w:lvlText w:val="%1."/>
      <w:lvlJc w:val="left"/>
      <w:pPr>
        <w:ind w:left="502" w:hanging="360"/>
      </w:pPr>
      <w:rPr>
        <w:rFonts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494B92"/>
    <w:multiLevelType w:val="hybridMultilevel"/>
    <w:tmpl w:val="5EA20580"/>
    <w:lvl w:ilvl="0" w:tplc="3C748EF0">
      <w:start w:val="1"/>
      <w:numFmt w:val="decimal"/>
      <w:lvlText w:val="%1."/>
      <w:lvlJc w:val="left"/>
      <w:pPr>
        <w:ind w:left="862" w:hanging="360"/>
      </w:pPr>
      <w:rPr>
        <w:rFonts w:hint="default"/>
        <w:b w:val="0"/>
        <w:color w:val="53565A"/>
        <w:sz w:val="18"/>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15FB6BEE"/>
    <w:multiLevelType w:val="hybridMultilevel"/>
    <w:tmpl w:val="91669438"/>
    <w:lvl w:ilvl="0" w:tplc="4FE0B890">
      <w:start w:val="1"/>
      <w:numFmt w:val="decimal"/>
      <w:lvlText w:val="%1."/>
      <w:lvlJc w:val="left"/>
      <w:pPr>
        <w:ind w:left="720" w:hanging="360"/>
      </w:pPr>
      <w:rPr>
        <w:rFonts w:asciiTheme="minorHAnsi" w:hAnsiTheme="minorHAnsi" w:cstheme="minorHAnsi" w:hint="default"/>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5D5"/>
    <w:multiLevelType w:val="hybridMultilevel"/>
    <w:tmpl w:val="F4D8C3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E47B74"/>
    <w:multiLevelType w:val="hybridMultilevel"/>
    <w:tmpl w:val="AD8EB5C0"/>
    <w:lvl w:ilvl="0" w:tplc="0ED0BDD6">
      <w:start w:val="1"/>
      <w:numFmt w:val="decimal"/>
      <w:lvlText w:val="%1."/>
      <w:lvlJc w:val="left"/>
      <w:pPr>
        <w:ind w:left="360" w:hanging="360"/>
      </w:pPr>
      <w:rPr>
        <w:rFonts w:hint="default"/>
        <w:b w:val="0"/>
        <w:color w:val="53565A"/>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8E286D"/>
    <w:multiLevelType w:val="hybridMultilevel"/>
    <w:tmpl w:val="86BC6590"/>
    <w:lvl w:ilvl="0" w:tplc="4FE0B890">
      <w:start w:val="1"/>
      <w:numFmt w:val="decimal"/>
      <w:lvlText w:val="%1."/>
      <w:lvlJc w:val="left"/>
      <w:pPr>
        <w:ind w:left="502" w:hanging="360"/>
      </w:pPr>
      <w:rPr>
        <w:rFonts w:asciiTheme="minorHAnsi" w:hAnsiTheme="minorHAnsi" w:cstheme="minorHAnsi"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E56672D"/>
    <w:multiLevelType w:val="hybridMultilevel"/>
    <w:tmpl w:val="203281EE"/>
    <w:lvl w:ilvl="0" w:tplc="EA241D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80C5B"/>
    <w:multiLevelType w:val="hybridMultilevel"/>
    <w:tmpl w:val="64F20D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AAB756D"/>
    <w:multiLevelType w:val="hybridMultilevel"/>
    <w:tmpl w:val="2AAA0EAE"/>
    <w:lvl w:ilvl="0" w:tplc="CC1E161E">
      <w:start w:val="1"/>
      <w:numFmt w:val="decimal"/>
      <w:lvlText w:val="%1."/>
      <w:lvlJc w:val="left"/>
      <w:pPr>
        <w:ind w:left="502" w:hanging="360"/>
      </w:pPr>
      <w:rPr>
        <w:rFonts w:hint="default"/>
        <w:b w:val="0"/>
        <w:color w:val="53565A"/>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42A579A1"/>
    <w:multiLevelType w:val="hybridMultilevel"/>
    <w:tmpl w:val="D1AA03C2"/>
    <w:lvl w:ilvl="0" w:tplc="0C09000F">
      <w:start w:val="1"/>
      <w:numFmt w:val="decimal"/>
      <w:lvlText w:val="%1."/>
      <w:lvlJc w:val="left"/>
      <w:pPr>
        <w:ind w:left="502" w:hanging="360"/>
      </w:pPr>
      <w:rPr>
        <w:rFonts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BBD62F5"/>
    <w:multiLevelType w:val="hybridMultilevel"/>
    <w:tmpl w:val="86BC6590"/>
    <w:lvl w:ilvl="0" w:tplc="4FE0B890">
      <w:start w:val="1"/>
      <w:numFmt w:val="decimal"/>
      <w:lvlText w:val="%1."/>
      <w:lvlJc w:val="left"/>
      <w:pPr>
        <w:ind w:left="502" w:hanging="360"/>
      </w:pPr>
      <w:rPr>
        <w:rFonts w:asciiTheme="minorHAnsi" w:hAnsiTheme="minorHAnsi" w:cstheme="minorHAnsi"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E805CEE"/>
    <w:multiLevelType w:val="hybridMultilevel"/>
    <w:tmpl w:val="E0EA2132"/>
    <w:lvl w:ilvl="0" w:tplc="CC1E161E">
      <w:start w:val="1"/>
      <w:numFmt w:val="decimal"/>
      <w:lvlText w:val="%1."/>
      <w:lvlJc w:val="left"/>
      <w:pPr>
        <w:ind w:left="502" w:hanging="360"/>
      </w:pPr>
      <w:rPr>
        <w:rFonts w:hint="default"/>
        <w:b w:val="0"/>
        <w:color w:val="53565A"/>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EC8116F"/>
    <w:multiLevelType w:val="hybridMultilevel"/>
    <w:tmpl w:val="EE12E866"/>
    <w:lvl w:ilvl="0" w:tplc="0C09000F">
      <w:start w:val="1"/>
      <w:numFmt w:val="decimal"/>
      <w:lvlText w:val="%1."/>
      <w:lvlJc w:val="left"/>
      <w:pPr>
        <w:ind w:left="502" w:hanging="360"/>
      </w:pPr>
      <w:rPr>
        <w:rFonts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ED3CD5"/>
    <w:multiLevelType w:val="hybridMultilevel"/>
    <w:tmpl w:val="86BC6590"/>
    <w:lvl w:ilvl="0" w:tplc="4FE0B890">
      <w:start w:val="1"/>
      <w:numFmt w:val="decimal"/>
      <w:lvlText w:val="%1."/>
      <w:lvlJc w:val="left"/>
      <w:pPr>
        <w:ind w:left="502" w:hanging="360"/>
      </w:pPr>
      <w:rPr>
        <w:rFonts w:asciiTheme="minorHAnsi" w:hAnsiTheme="minorHAnsi" w:cstheme="minorHAnsi"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Light"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2546DD"/>
    <w:multiLevelType w:val="hybridMultilevel"/>
    <w:tmpl w:val="9FC4C0C4"/>
    <w:lvl w:ilvl="0" w:tplc="0C090001">
      <w:start w:val="1"/>
      <w:numFmt w:val="bullet"/>
      <w:lvlText w:val=""/>
      <w:lvlJc w:val="left"/>
      <w:pPr>
        <w:ind w:left="3957" w:hanging="360"/>
      </w:pPr>
      <w:rPr>
        <w:rFonts w:ascii="Symbol" w:hAnsi="Symbol" w:hint="default"/>
      </w:rPr>
    </w:lvl>
    <w:lvl w:ilvl="1" w:tplc="0C090003">
      <w:start w:val="1"/>
      <w:numFmt w:val="bullet"/>
      <w:lvlText w:val="o"/>
      <w:lvlJc w:val="left"/>
      <w:pPr>
        <w:ind w:left="4677" w:hanging="360"/>
      </w:pPr>
      <w:rPr>
        <w:rFonts w:ascii="Courier New" w:hAnsi="Courier New" w:cs="Courier New" w:hint="default"/>
      </w:rPr>
    </w:lvl>
    <w:lvl w:ilvl="2" w:tplc="0C090005" w:tentative="1">
      <w:start w:val="1"/>
      <w:numFmt w:val="bullet"/>
      <w:lvlText w:val=""/>
      <w:lvlJc w:val="left"/>
      <w:pPr>
        <w:ind w:left="5397" w:hanging="360"/>
      </w:pPr>
      <w:rPr>
        <w:rFonts w:ascii="Wingdings" w:hAnsi="Wingdings" w:hint="default"/>
      </w:rPr>
    </w:lvl>
    <w:lvl w:ilvl="3" w:tplc="0C090001" w:tentative="1">
      <w:start w:val="1"/>
      <w:numFmt w:val="bullet"/>
      <w:lvlText w:val=""/>
      <w:lvlJc w:val="left"/>
      <w:pPr>
        <w:ind w:left="6117" w:hanging="360"/>
      </w:pPr>
      <w:rPr>
        <w:rFonts w:ascii="Symbol" w:hAnsi="Symbol" w:hint="default"/>
      </w:rPr>
    </w:lvl>
    <w:lvl w:ilvl="4" w:tplc="0C090003" w:tentative="1">
      <w:start w:val="1"/>
      <w:numFmt w:val="bullet"/>
      <w:lvlText w:val="o"/>
      <w:lvlJc w:val="left"/>
      <w:pPr>
        <w:ind w:left="6837" w:hanging="360"/>
      </w:pPr>
      <w:rPr>
        <w:rFonts w:ascii="Courier New" w:hAnsi="Courier New" w:cs="Courier New" w:hint="default"/>
      </w:rPr>
    </w:lvl>
    <w:lvl w:ilvl="5" w:tplc="0C090005" w:tentative="1">
      <w:start w:val="1"/>
      <w:numFmt w:val="bullet"/>
      <w:lvlText w:val=""/>
      <w:lvlJc w:val="left"/>
      <w:pPr>
        <w:ind w:left="7557" w:hanging="360"/>
      </w:pPr>
      <w:rPr>
        <w:rFonts w:ascii="Wingdings" w:hAnsi="Wingdings" w:hint="default"/>
      </w:rPr>
    </w:lvl>
    <w:lvl w:ilvl="6" w:tplc="0C090001" w:tentative="1">
      <w:start w:val="1"/>
      <w:numFmt w:val="bullet"/>
      <w:lvlText w:val=""/>
      <w:lvlJc w:val="left"/>
      <w:pPr>
        <w:ind w:left="8277" w:hanging="360"/>
      </w:pPr>
      <w:rPr>
        <w:rFonts w:ascii="Symbol" w:hAnsi="Symbol" w:hint="default"/>
      </w:rPr>
    </w:lvl>
    <w:lvl w:ilvl="7" w:tplc="0C090003" w:tentative="1">
      <w:start w:val="1"/>
      <w:numFmt w:val="bullet"/>
      <w:lvlText w:val="o"/>
      <w:lvlJc w:val="left"/>
      <w:pPr>
        <w:ind w:left="8997" w:hanging="360"/>
      </w:pPr>
      <w:rPr>
        <w:rFonts w:ascii="Courier New" w:hAnsi="Courier New" w:cs="Courier New" w:hint="default"/>
      </w:rPr>
    </w:lvl>
    <w:lvl w:ilvl="8" w:tplc="0C090005" w:tentative="1">
      <w:start w:val="1"/>
      <w:numFmt w:val="bullet"/>
      <w:lvlText w:val=""/>
      <w:lvlJc w:val="left"/>
      <w:pPr>
        <w:ind w:left="9717" w:hanging="360"/>
      </w:pPr>
      <w:rPr>
        <w:rFonts w:ascii="Wingdings" w:hAnsi="Wingdings" w:hint="default"/>
      </w:rPr>
    </w:lvl>
  </w:abstractNum>
  <w:abstractNum w:abstractNumId="19" w15:restartNumberingAfterBreak="0">
    <w:nsid w:val="63782DB0"/>
    <w:multiLevelType w:val="hybridMultilevel"/>
    <w:tmpl w:val="EC6469E0"/>
    <w:lvl w:ilvl="0" w:tplc="0C090001">
      <w:start w:val="1"/>
      <w:numFmt w:val="bullet"/>
      <w:lvlText w:val=""/>
      <w:lvlJc w:val="left"/>
      <w:pPr>
        <w:ind w:left="720" w:hanging="360"/>
      </w:pPr>
      <w:rPr>
        <w:rFonts w:ascii="Symbol" w:hAnsi="Symbol" w:hint="default"/>
        <w:b w:val="0"/>
        <w:color w:val="53565A"/>
        <w:sz w:val="18"/>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014B92"/>
    <w:multiLevelType w:val="hybridMultilevel"/>
    <w:tmpl w:val="EAD21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Light"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0542F2"/>
    <w:multiLevelType w:val="multilevel"/>
    <w:tmpl w:val="D63E91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519191A"/>
    <w:multiLevelType w:val="hybridMultilevel"/>
    <w:tmpl w:val="71680FAA"/>
    <w:lvl w:ilvl="0" w:tplc="CC1E161E">
      <w:start w:val="1"/>
      <w:numFmt w:val="decimal"/>
      <w:lvlText w:val="%1."/>
      <w:lvlJc w:val="left"/>
      <w:pPr>
        <w:ind w:left="360" w:hanging="360"/>
      </w:pPr>
      <w:rPr>
        <w:rFonts w:hint="default"/>
        <w:b w:val="0"/>
        <w:color w:val="53565A"/>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62C4C8C"/>
    <w:multiLevelType w:val="hybridMultilevel"/>
    <w:tmpl w:val="CEAC19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9447FEE"/>
    <w:multiLevelType w:val="hybridMultilevel"/>
    <w:tmpl w:val="66122F42"/>
    <w:lvl w:ilvl="0" w:tplc="CC1E161E">
      <w:start w:val="1"/>
      <w:numFmt w:val="decimal"/>
      <w:lvlText w:val="%1."/>
      <w:lvlJc w:val="left"/>
      <w:pPr>
        <w:ind w:left="720" w:hanging="360"/>
      </w:pPr>
      <w:rPr>
        <w:rFonts w:hint="default"/>
        <w:b w:val="0"/>
        <w:color w:val="53565A"/>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722B64"/>
    <w:multiLevelType w:val="hybridMultilevel"/>
    <w:tmpl w:val="C4AA3AC0"/>
    <w:lvl w:ilvl="0" w:tplc="836C6188">
      <w:start w:val="1"/>
      <w:numFmt w:val="bullet"/>
      <w:pStyle w:val="dotpoints"/>
      <w:lvlText w:val=""/>
      <w:lvlJc w:val="left"/>
      <w:pPr>
        <w:ind w:left="-1146"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294" w:hanging="360"/>
      </w:pPr>
      <w:rPr>
        <w:rFonts w:ascii="Wingdings" w:hAnsi="Wingdings" w:hint="default"/>
      </w:rPr>
    </w:lvl>
    <w:lvl w:ilvl="3" w:tplc="0C090001" w:tentative="1">
      <w:start w:val="1"/>
      <w:numFmt w:val="bullet"/>
      <w:lvlText w:val=""/>
      <w:lvlJc w:val="left"/>
      <w:pPr>
        <w:ind w:left="1014" w:hanging="360"/>
      </w:pPr>
      <w:rPr>
        <w:rFonts w:ascii="Symbol" w:hAnsi="Symbol" w:hint="default"/>
      </w:rPr>
    </w:lvl>
    <w:lvl w:ilvl="4" w:tplc="0C090003" w:tentative="1">
      <w:start w:val="1"/>
      <w:numFmt w:val="bullet"/>
      <w:lvlText w:val="o"/>
      <w:lvlJc w:val="left"/>
      <w:pPr>
        <w:ind w:left="1734" w:hanging="360"/>
      </w:pPr>
      <w:rPr>
        <w:rFonts w:ascii="Courier New" w:hAnsi="Courier New" w:cs="Courier New" w:hint="default"/>
      </w:rPr>
    </w:lvl>
    <w:lvl w:ilvl="5" w:tplc="0C090005" w:tentative="1">
      <w:start w:val="1"/>
      <w:numFmt w:val="bullet"/>
      <w:lvlText w:val=""/>
      <w:lvlJc w:val="left"/>
      <w:pPr>
        <w:ind w:left="2454" w:hanging="360"/>
      </w:pPr>
      <w:rPr>
        <w:rFonts w:ascii="Wingdings" w:hAnsi="Wingdings" w:hint="default"/>
      </w:rPr>
    </w:lvl>
    <w:lvl w:ilvl="6" w:tplc="0C090001" w:tentative="1">
      <w:start w:val="1"/>
      <w:numFmt w:val="bullet"/>
      <w:lvlText w:val=""/>
      <w:lvlJc w:val="left"/>
      <w:pPr>
        <w:ind w:left="3174" w:hanging="360"/>
      </w:pPr>
      <w:rPr>
        <w:rFonts w:ascii="Symbol" w:hAnsi="Symbol" w:hint="default"/>
      </w:rPr>
    </w:lvl>
    <w:lvl w:ilvl="7" w:tplc="0C090003" w:tentative="1">
      <w:start w:val="1"/>
      <w:numFmt w:val="bullet"/>
      <w:lvlText w:val="o"/>
      <w:lvlJc w:val="left"/>
      <w:pPr>
        <w:ind w:left="3894" w:hanging="360"/>
      </w:pPr>
      <w:rPr>
        <w:rFonts w:ascii="Courier New" w:hAnsi="Courier New" w:cs="Courier New" w:hint="default"/>
      </w:rPr>
    </w:lvl>
    <w:lvl w:ilvl="8" w:tplc="0C090005" w:tentative="1">
      <w:start w:val="1"/>
      <w:numFmt w:val="bullet"/>
      <w:lvlText w:val=""/>
      <w:lvlJc w:val="left"/>
      <w:pPr>
        <w:ind w:left="4614" w:hanging="360"/>
      </w:pPr>
      <w:rPr>
        <w:rFonts w:ascii="Wingdings" w:hAnsi="Wingdings" w:hint="default"/>
      </w:rPr>
    </w:lvl>
  </w:abstractNum>
  <w:abstractNum w:abstractNumId="26" w15:restartNumberingAfterBreak="0">
    <w:nsid w:val="7AA55CB8"/>
    <w:multiLevelType w:val="hybridMultilevel"/>
    <w:tmpl w:val="9A6C97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AAA1A5F"/>
    <w:multiLevelType w:val="hybridMultilevel"/>
    <w:tmpl w:val="7B2E26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1"/>
  </w:num>
  <w:num w:numId="3">
    <w:abstractNumId w:val="10"/>
  </w:num>
  <w:num w:numId="4">
    <w:abstractNumId w:val="17"/>
  </w:num>
  <w:num w:numId="5">
    <w:abstractNumId w:val="20"/>
  </w:num>
  <w:num w:numId="6">
    <w:abstractNumId w:val="27"/>
  </w:num>
  <w:num w:numId="7">
    <w:abstractNumId w:val="25"/>
  </w:num>
  <w:num w:numId="8">
    <w:abstractNumId w:val="2"/>
  </w:num>
  <w:num w:numId="9">
    <w:abstractNumId w:val="18"/>
  </w:num>
  <w:num w:numId="10">
    <w:abstractNumId w:val="23"/>
  </w:num>
  <w:num w:numId="11">
    <w:abstractNumId w:val="1"/>
  </w:num>
  <w:num w:numId="12">
    <w:abstractNumId w:val="26"/>
  </w:num>
  <w:num w:numId="13">
    <w:abstractNumId w:val="3"/>
  </w:num>
  <w:num w:numId="14">
    <w:abstractNumId w:val="7"/>
  </w:num>
  <w:num w:numId="15">
    <w:abstractNumId w:val="6"/>
  </w:num>
  <w:num w:numId="16">
    <w:abstractNumId w:val="8"/>
  </w:num>
  <w:num w:numId="17">
    <w:abstractNumId w:val="4"/>
  </w:num>
  <w:num w:numId="18">
    <w:abstractNumId w:val="22"/>
  </w:num>
  <w:num w:numId="19">
    <w:abstractNumId w:val="5"/>
  </w:num>
  <w:num w:numId="20">
    <w:abstractNumId w:val="24"/>
  </w:num>
  <w:num w:numId="21">
    <w:abstractNumId w:val="19"/>
  </w:num>
  <w:num w:numId="22">
    <w:abstractNumId w:val="9"/>
  </w:num>
  <w:num w:numId="23">
    <w:abstractNumId w:val="21"/>
  </w:num>
  <w:num w:numId="24">
    <w:abstractNumId w:val="21"/>
  </w:num>
  <w:num w:numId="25">
    <w:abstractNumId w:val="21"/>
  </w:num>
  <w:num w:numId="26">
    <w:abstractNumId w:val="21"/>
  </w:num>
  <w:num w:numId="27">
    <w:abstractNumId w:val="0"/>
  </w:num>
  <w:num w:numId="28">
    <w:abstractNumId w:val="14"/>
  </w:num>
  <w:num w:numId="29">
    <w:abstractNumId w:val="13"/>
  </w:num>
  <w:num w:numId="30">
    <w:abstractNumId w:val="11"/>
  </w:num>
  <w:num w:numId="31">
    <w:abstractNumId w:val="12"/>
  </w:num>
  <w:num w:numId="32">
    <w:abstractNumId w:val="16"/>
  </w:num>
  <w:num w:numId="3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CE"/>
    <w:rsid w:val="000006F3"/>
    <w:rsid w:val="00001BC7"/>
    <w:rsid w:val="00002075"/>
    <w:rsid w:val="000029CD"/>
    <w:rsid w:val="00005325"/>
    <w:rsid w:val="00005AF1"/>
    <w:rsid w:val="00006132"/>
    <w:rsid w:val="0000762E"/>
    <w:rsid w:val="00007650"/>
    <w:rsid w:val="00012198"/>
    <w:rsid w:val="00015AFC"/>
    <w:rsid w:val="00015FE1"/>
    <w:rsid w:val="00016369"/>
    <w:rsid w:val="00021710"/>
    <w:rsid w:val="00021B93"/>
    <w:rsid w:val="00021DE0"/>
    <w:rsid w:val="00022129"/>
    <w:rsid w:val="00023896"/>
    <w:rsid w:val="0002556B"/>
    <w:rsid w:val="0002578D"/>
    <w:rsid w:val="00025C16"/>
    <w:rsid w:val="000314CF"/>
    <w:rsid w:val="00034053"/>
    <w:rsid w:val="000347E6"/>
    <w:rsid w:val="00035E6D"/>
    <w:rsid w:val="00042034"/>
    <w:rsid w:val="0004322F"/>
    <w:rsid w:val="00044DC5"/>
    <w:rsid w:val="00046733"/>
    <w:rsid w:val="00046B11"/>
    <w:rsid w:val="00047DFB"/>
    <w:rsid w:val="000503A5"/>
    <w:rsid w:val="000528A8"/>
    <w:rsid w:val="00052B36"/>
    <w:rsid w:val="00053FCD"/>
    <w:rsid w:val="000547FC"/>
    <w:rsid w:val="00060302"/>
    <w:rsid w:val="00060333"/>
    <w:rsid w:val="00060EFA"/>
    <w:rsid w:val="00061B82"/>
    <w:rsid w:val="00063E26"/>
    <w:rsid w:val="00065AB1"/>
    <w:rsid w:val="000664EC"/>
    <w:rsid w:val="00067E72"/>
    <w:rsid w:val="00070516"/>
    <w:rsid w:val="00071D30"/>
    <w:rsid w:val="00072CB5"/>
    <w:rsid w:val="00072E9F"/>
    <w:rsid w:val="00074428"/>
    <w:rsid w:val="000749AC"/>
    <w:rsid w:val="00075660"/>
    <w:rsid w:val="000809CD"/>
    <w:rsid w:val="000827C5"/>
    <w:rsid w:val="000829B2"/>
    <w:rsid w:val="00082D96"/>
    <w:rsid w:val="00083F3A"/>
    <w:rsid w:val="000846F2"/>
    <w:rsid w:val="000858C9"/>
    <w:rsid w:val="00086288"/>
    <w:rsid w:val="00086565"/>
    <w:rsid w:val="000905D1"/>
    <w:rsid w:val="00091A30"/>
    <w:rsid w:val="00094855"/>
    <w:rsid w:val="00095EE3"/>
    <w:rsid w:val="00096925"/>
    <w:rsid w:val="00096A4D"/>
    <w:rsid w:val="00097B72"/>
    <w:rsid w:val="000A3CE3"/>
    <w:rsid w:val="000A5063"/>
    <w:rsid w:val="000B250A"/>
    <w:rsid w:val="000B2980"/>
    <w:rsid w:val="000B2BD7"/>
    <w:rsid w:val="000B3855"/>
    <w:rsid w:val="000B3A9C"/>
    <w:rsid w:val="000B501E"/>
    <w:rsid w:val="000B5CE2"/>
    <w:rsid w:val="000B697F"/>
    <w:rsid w:val="000B6C00"/>
    <w:rsid w:val="000C0988"/>
    <w:rsid w:val="000C1D9B"/>
    <w:rsid w:val="000C2059"/>
    <w:rsid w:val="000C3DA9"/>
    <w:rsid w:val="000D029C"/>
    <w:rsid w:val="000D2543"/>
    <w:rsid w:val="000D2B9D"/>
    <w:rsid w:val="000D50AE"/>
    <w:rsid w:val="000D7942"/>
    <w:rsid w:val="000D7D04"/>
    <w:rsid w:val="000E0A04"/>
    <w:rsid w:val="000E13B3"/>
    <w:rsid w:val="000E26D6"/>
    <w:rsid w:val="000E61C5"/>
    <w:rsid w:val="000E6A21"/>
    <w:rsid w:val="000E73C7"/>
    <w:rsid w:val="000E7B1F"/>
    <w:rsid w:val="000F0296"/>
    <w:rsid w:val="000F12D1"/>
    <w:rsid w:val="000F2972"/>
    <w:rsid w:val="000F35B0"/>
    <w:rsid w:val="000F4B94"/>
    <w:rsid w:val="000F615B"/>
    <w:rsid w:val="000F7643"/>
    <w:rsid w:val="00100776"/>
    <w:rsid w:val="00103882"/>
    <w:rsid w:val="00103E08"/>
    <w:rsid w:val="00104F29"/>
    <w:rsid w:val="0010628E"/>
    <w:rsid w:val="00106B24"/>
    <w:rsid w:val="00107640"/>
    <w:rsid w:val="00110696"/>
    <w:rsid w:val="001107CF"/>
    <w:rsid w:val="00111DB7"/>
    <w:rsid w:val="00112294"/>
    <w:rsid w:val="001134B1"/>
    <w:rsid w:val="00114D5E"/>
    <w:rsid w:val="001159AA"/>
    <w:rsid w:val="00115A8A"/>
    <w:rsid w:val="00117BA2"/>
    <w:rsid w:val="00117FBA"/>
    <w:rsid w:val="001200A6"/>
    <w:rsid w:val="00122AAF"/>
    <w:rsid w:val="00122F0C"/>
    <w:rsid w:val="001230ED"/>
    <w:rsid w:val="001237D0"/>
    <w:rsid w:val="00123C2B"/>
    <w:rsid w:val="00124A17"/>
    <w:rsid w:val="00124C31"/>
    <w:rsid w:val="00126263"/>
    <w:rsid w:val="001266CB"/>
    <w:rsid w:val="001312F3"/>
    <w:rsid w:val="00133F06"/>
    <w:rsid w:val="00135B6F"/>
    <w:rsid w:val="001416A1"/>
    <w:rsid w:val="001417FE"/>
    <w:rsid w:val="00142A3A"/>
    <w:rsid w:val="00150700"/>
    <w:rsid w:val="00151490"/>
    <w:rsid w:val="001521F3"/>
    <w:rsid w:val="00152B45"/>
    <w:rsid w:val="00153C49"/>
    <w:rsid w:val="0015454C"/>
    <w:rsid w:val="00154A90"/>
    <w:rsid w:val="001555DB"/>
    <w:rsid w:val="00156515"/>
    <w:rsid w:val="00156D3E"/>
    <w:rsid w:val="00157AD2"/>
    <w:rsid w:val="00162799"/>
    <w:rsid w:val="001629FD"/>
    <w:rsid w:val="00162CEF"/>
    <w:rsid w:val="00163AA6"/>
    <w:rsid w:val="00164461"/>
    <w:rsid w:val="00164987"/>
    <w:rsid w:val="00166869"/>
    <w:rsid w:val="001675B5"/>
    <w:rsid w:val="00167CD4"/>
    <w:rsid w:val="00170FF8"/>
    <w:rsid w:val="001710F0"/>
    <w:rsid w:val="00171EC2"/>
    <w:rsid w:val="0017334F"/>
    <w:rsid w:val="00174990"/>
    <w:rsid w:val="00175AE1"/>
    <w:rsid w:val="00175DE9"/>
    <w:rsid w:val="001774D2"/>
    <w:rsid w:val="00177B77"/>
    <w:rsid w:val="0018098D"/>
    <w:rsid w:val="00180DAB"/>
    <w:rsid w:val="00181199"/>
    <w:rsid w:val="00181767"/>
    <w:rsid w:val="001856B3"/>
    <w:rsid w:val="001858C2"/>
    <w:rsid w:val="001869FD"/>
    <w:rsid w:val="00186B61"/>
    <w:rsid w:val="00187A90"/>
    <w:rsid w:val="00187CBA"/>
    <w:rsid w:val="00190A16"/>
    <w:rsid w:val="00191987"/>
    <w:rsid w:val="001928FB"/>
    <w:rsid w:val="00192EAE"/>
    <w:rsid w:val="00193497"/>
    <w:rsid w:val="00195941"/>
    <w:rsid w:val="00195C6F"/>
    <w:rsid w:val="001966FB"/>
    <w:rsid w:val="001974A5"/>
    <w:rsid w:val="001A1387"/>
    <w:rsid w:val="001A2354"/>
    <w:rsid w:val="001A31A4"/>
    <w:rsid w:val="001A3ED9"/>
    <w:rsid w:val="001A5180"/>
    <w:rsid w:val="001A653B"/>
    <w:rsid w:val="001A710A"/>
    <w:rsid w:val="001B0C04"/>
    <w:rsid w:val="001B13DB"/>
    <w:rsid w:val="001B14A2"/>
    <w:rsid w:val="001B27E6"/>
    <w:rsid w:val="001B2F2F"/>
    <w:rsid w:val="001B5061"/>
    <w:rsid w:val="001B5E02"/>
    <w:rsid w:val="001C13AD"/>
    <w:rsid w:val="001C4192"/>
    <w:rsid w:val="001C6CAA"/>
    <w:rsid w:val="001C767B"/>
    <w:rsid w:val="001D053E"/>
    <w:rsid w:val="001D0553"/>
    <w:rsid w:val="001D0660"/>
    <w:rsid w:val="001D0BB1"/>
    <w:rsid w:val="001D0E01"/>
    <w:rsid w:val="001D32CE"/>
    <w:rsid w:val="001D3EBC"/>
    <w:rsid w:val="001D45E2"/>
    <w:rsid w:val="001D4767"/>
    <w:rsid w:val="001D4B14"/>
    <w:rsid w:val="001D56DB"/>
    <w:rsid w:val="001D77D8"/>
    <w:rsid w:val="001D7C85"/>
    <w:rsid w:val="001E03A8"/>
    <w:rsid w:val="001E1E0C"/>
    <w:rsid w:val="001E334B"/>
    <w:rsid w:val="001E3CD5"/>
    <w:rsid w:val="001E436C"/>
    <w:rsid w:val="001E4659"/>
    <w:rsid w:val="001E7C96"/>
    <w:rsid w:val="001F088E"/>
    <w:rsid w:val="001F0A49"/>
    <w:rsid w:val="001F0A66"/>
    <w:rsid w:val="001F1841"/>
    <w:rsid w:val="001F424A"/>
    <w:rsid w:val="001F4358"/>
    <w:rsid w:val="001F54FF"/>
    <w:rsid w:val="001F58FA"/>
    <w:rsid w:val="001F65BD"/>
    <w:rsid w:val="001F6FFF"/>
    <w:rsid w:val="001F76F6"/>
    <w:rsid w:val="001F7FE5"/>
    <w:rsid w:val="00205765"/>
    <w:rsid w:val="00206FE6"/>
    <w:rsid w:val="00207822"/>
    <w:rsid w:val="00210692"/>
    <w:rsid w:val="0021262D"/>
    <w:rsid w:val="002138FB"/>
    <w:rsid w:val="00216790"/>
    <w:rsid w:val="0022061D"/>
    <w:rsid w:val="002218D5"/>
    <w:rsid w:val="00221C40"/>
    <w:rsid w:val="002224C9"/>
    <w:rsid w:val="00222AAE"/>
    <w:rsid w:val="002243BC"/>
    <w:rsid w:val="002251A4"/>
    <w:rsid w:val="00227B5E"/>
    <w:rsid w:val="00227C4E"/>
    <w:rsid w:val="00232BA4"/>
    <w:rsid w:val="002335FB"/>
    <w:rsid w:val="002343BB"/>
    <w:rsid w:val="00234607"/>
    <w:rsid w:val="00234989"/>
    <w:rsid w:val="00240644"/>
    <w:rsid w:val="00241D1B"/>
    <w:rsid w:val="0024297F"/>
    <w:rsid w:val="00242A8B"/>
    <w:rsid w:val="0024302C"/>
    <w:rsid w:val="00243182"/>
    <w:rsid w:val="002431A0"/>
    <w:rsid w:val="002434DD"/>
    <w:rsid w:val="0024377E"/>
    <w:rsid w:val="00244657"/>
    <w:rsid w:val="002534D7"/>
    <w:rsid w:val="002541E8"/>
    <w:rsid w:val="002547F5"/>
    <w:rsid w:val="00256435"/>
    <w:rsid w:val="0025689E"/>
    <w:rsid w:val="00260D95"/>
    <w:rsid w:val="0026222E"/>
    <w:rsid w:val="002646D0"/>
    <w:rsid w:val="00266FF9"/>
    <w:rsid w:val="00270CB2"/>
    <w:rsid w:val="00274BA4"/>
    <w:rsid w:val="002753E3"/>
    <w:rsid w:val="00275C41"/>
    <w:rsid w:val="00276460"/>
    <w:rsid w:val="00277A1E"/>
    <w:rsid w:val="0028416B"/>
    <w:rsid w:val="002848F0"/>
    <w:rsid w:val="00285A20"/>
    <w:rsid w:val="00292254"/>
    <w:rsid w:val="00292646"/>
    <w:rsid w:val="0029266E"/>
    <w:rsid w:val="00293026"/>
    <w:rsid w:val="00294079"/>
    <w:rsid w:val="00294DCD"/>
    <w:rsid w:val="00294E74"/>
    <w:rsid w:val="002956CC"/>
    <w:rsid w:val="002A0FCB"/>
    <w:rsid w:val="002A2961"/>
    <w:rsid w:val="002A45FF"/>
    <w:rsid w:val="002A468D"/>
    <w:rsid w:val="002A47B9"/>
    <w:rsid w:val="002A56CF"/>
    <w:rsid w:val="002A597C"/>
    <w:rsid w:val="002A5A36"/>
    <w:rsid w:val="002A72B2"/>
    <w:rsid w:val="002A7F01"/>
    <w:rsid w:val="002B09CD"/>
    <w:rsid w:val="002B0A79"/>
    <w:rsid w:val="002B1A6E"/>
    <w:rsid w:val="002B2291"/>
    <w:rsid w:val="002B3103"/>
    <w:rsid w:val="002B38ED"/>
    <w:rsid w:val="002B5841"/>
    <w:rsid w:val="002B609F"/>
    <w:rsid w:val="002B69D5"/>
    <w:rsid w:val="002C0785"/>
    <w:rsid w:val="002C2F1F"/>
    <w:rsid w:val="002C371D"/>
    <w:rsid w:val="002C4576"/>
    <w:rsid w:val="002C5998"/>
    <w:rsid w:val="002C5F38"/>
    <w:rsid w:val="002C63C5"/>
    <w:rsid w:val="002C6AAC"/>
    <w:rsid w:val="002D33EC"/>
    <w:rsid w:val="002D521F"/>
    <w:rsid w:val="002D5397"/>
    <w:rsid w:val="002E04F8"/>
    <w:rsid w:val="002E3C2C"/>
    <w:rsid w:val="002E5382"/>
    <w:rsid w:val="002E5472"/>
    <w:rsid w:val="002E63A2"/>
    <w:rsid w:val="002E7A11"/>
    <w:rsid w:val="002F1332"/>
    <w:rsid w:val="002F151B"/>
    <w:rsid w:val="002F4E3D"/>
    <w:rsid w:val="002F5265"/>
    <w:rsid w:val="002F7480"/>
    <w:rsid w:val="00300D80"/>
    <w:rsid w:val="00300EA8"/>
    <w:rsid w:val="0030151F"/>
    <w:rsid w:val="003018CA"/>
    <w:rsid w:val="00302ADF"/>
    <w:rsid w:val="00305BC4"/>
    <w:rsid w:val="00310E4F"/>
    <w:rsid w:val="00311094"/>
    <w:rsid w:val="00311BC7"/>
    <w:rsid w:val="00311E13"/>
    <w:rsid w:val="00312DAB"/>
    <w:rsid w:val="00317F20"/>
    <w:rsid w:val="003219ED"/>
    <w:rsid w:val="00322106"/>
    <w:rsid w:val="00322AE7"/>
    <w:rsid w:val="00323FFF"/>
    <w:rsid w:val="00324261"/>
    <w:rsid w:val="003265E5"/>
    <w:rsid w:val="00327A50"/>
    <w:rsid w:val="00330165"/>
    <w:rsid w:val="00331CC5"/>
    <w:rsid w:val="003332D7"/>
    <w:rsid w:val="00333C5E"/>
    <w:rsid w:val="0033469A"/>
    <w:rsid w:val="00334A5D"/>
    <w:rsid w:val="00334EDA"/>
    <w:rsid w:val="003377EF"/>
    <w:rsid w:val="00340AE2"/>
    <w:rsid w:val="003426D6"/>
    <w:rsid w:val="003430C4"/>
    <w:rsid w:val="00347435"/>
    <w:rsid w:val="0034747B"/>
    <w:rsid w:val="0035048D"/>
    <w:rsid w:val="00350D38"/>
    <w:rsid w:val="00351206"/>
    <w:rsid w:val="003514E9"/>
    <w:rsid w:val="003517F7"/>
    <w:rsid w:val="00351B63"/>
    <w:rsid w:val="00353D54"/>
    <w:rsid w:val="00353D57"/>
    <w:rsid w:val="00355871"/>
    <w:rsid w:val="003603BD"/>
    <w:rsid w:val="00361F5E"/>
    <w:rsid w:val="003628E3"/>
    <w:rsid w:val="00363528"/>
    <w:rsid w:val="003636C3"/>
    <w:rsid w:val="00366497"/>
    <w:rsid w:val="00367721"/>
    <w:rsid w:val="00370ADF"/>
    <w:rsid w:val="003716D8"/>
    <w:rsid w:val="00373787"/>
    <w:rsid w:val="00374805"/>
    <w:rsid w:val="00375C8E"/>
    <w:rsid w:val="00375F08"/>
    <w:rsid w:val="003800AB"/>
    <w:rsid w:val="00380191"/>
    <w:rsid w:val="00380616"/>
    <w:rsid w:val="00381007"/>
    <w:rsid w:val="0038297E"/>
    <w:rsid w:val="00383BF3"/>
    <w:rsid w:val="00384697"/>
    <w:rsid w:val="00387AB4"/>
    <w:rsid w:val="00387ED4"/>
    <w:rsid w:val="00390DED"/>
    <w:rsid w:val="00391092"/>
    <w:rsid w:val="003910DD"/>
    <w:rsid w:val="00391A43"/>
    <w:rsid w:val="00394064"/>
    <w:rsid w:val="00395EF0"/>
    <w:rsid w:val="0039713B"/>
    <w:rsid w:val="0039768B"/>
    <w:rsid w:val="003A1B03"/>
    <w:rsid w:val="003A445E"/>
    <w:rsid w:val="003A62BD"/>
    <w:rsid w:val="003A7A35"/>
    <w:rsid w:val="003A7BF6"/>
    <w:rsid w:val="003A7ED3"/>
    <w:rsid w:val="003B1873"/>
    <w:rsid w:val="003B2234"/>
    <w:rsid w:val="003B256C"/>
    <w:rsid w:val="003B31C0"/>
    <w:rsid w:val="003B37BD"/>
    <w:rsid w:val="003B4262"/>
    <w:rsid w:val="003B4EB0"/>
    <w:rsid w:val="003B4F2D"/>
    <w:rsid w:val="003B5750"/>
    <w:rsid w:val="003B5802"/>
    <w:rsid w:val="003C0A36"/>
    <w:rsid w:val="003C1144"/>
    <w:rsid w:val="003C2441"/>
    <w:rsid w:val="003C2462"/>
    <w:rsid w:val="003C2CD8"/>
    <w:rsid w:val="003D04C1"/>
    <w:rsid w:val="003D0FEF"/>
    <w:rsid w:val="003D1828"/>
    <w:rsid w:val="003D1F28"/>
    <w:rsid w:val="003D43A4"/>
    <w:rsid w:val="003D44AD"/>
    <w:rsid w:val="003D55F3"/>
    <w:rsid w:val="003D5F83"/>
    <w:rsid w:val="003D7538"/>
    <w:rsid w:val="003E19DA"/>
    <w:rsid w:val="003E1D9F"/>
    <w:rsid w:val="003E2984"/>
    <w:rsid w:val="003E3110"/>
    <w:rsid w:val="003E4B29"/>
    <w:rsid w:val="003E5505"/>
    <w:rsid w:val="003E55B0"/>
    <w:rsid w:val="003E5E54"/>
    <w:rsid w:val="003E610F"/>
    <w:rsid w:val="003E690A"/>
    <w:rsid w:val="003E746F"/>
    <w:rsid w:val="003F0609"/>
    <w:rsid w:val="003F1E15"/>
    <w:rsid w:val="003F4395"/>
    <w:rsid w:val="003F59AA"/>
    <w:rsid w:val="00401020"/>
    <w:rsid w:val="0040112F"/>
    <w:rsid w:val="00402208"/>
    <w:rsid w:val="0040227C"/>
    <w:rsid w:val="004024A3"/>
    <w:rsid w:val="004037EF"/>
    <w:rsid w:val="004055E2"/>
    <w:rsid w:val="00405C41"/>
    <w:rsid w:val="00407795"/>
    <w:rsid w:val="00411DE6"/>
    <w:rsid w:val="00412227"/>
    <w:rsid w:val="0041248D"/>
    <w:rsid w:val="00415175"/>
    <w:rsid w:val="004179A8"/>
    <w:rsid w:val="00421383"/>
    <w:rsid w:val="00421E8D"/>
    <w:rsid w:val="00422F1C"/>
    <w:rsid w:val="00426DB5"/>
    <w:rsid w:val="0042737C"/>
    <w:rsid w:val="004273F8"/>
    <w:rsid w:val="00430A85"/>
    <w:rsid w:val="00431CED"/>
    <w:rsid w:val="004331F3"/>
    <w:rsid w:val="00435FCF"/>
    <w:rsid w:val="004361F1"/>
    <w:rsid w:val="0043627C"/>
    <w:rsid w:val="004371F6"/>
    <w:rsid w:val="00437765"/>
    <w:rsid w:val="00440DF0"/>
    <w:rsid w:val="0044132A"/>
    <w:rsid w:val="00441A85"/>
    <w:rsid w:val="0044485E"/>
    <w:rsid w:val="004477B6"/>
    <w:rsid w:val="0045334A"/>
    <w:rsid w:val="00457AE1"/>
    <w:rsid w:val="004602BE"/>
    <w:rsid w:val="004621A0"/>
    <w:rsid w:val="00464D56"/>
    <w:rsid w:val="00465C2E"/>
    <w:rsid w:val="00466136"/>
    <w:rsid w:val="0047003A"/>
    <w:rsid w:val="00472592"/>
    <w:rsid w:val="00472764"/>
    <w:rsid w:val="0047323A"/>
    <w:rsid w:val="0047359E"/>
    <w:rsid w:val="00474502"/>
    <w:rsid w:val="004745B6"/>
    <w:rsid w:val="00474A33"/>
    <w:rsid w:val="00474CDC"/>
    <w:rsid w:val="004771E0"/>
    <w:rsid w:val="00482BEC"/>
    <w:rsid w:val="0048310A"/>
    <w:rsid w:val="0048419D"/>
    <w:rsid w:val="00485810"/>
    <w:rsid w:val="00487C6E"/>
    <w:rsid w:val="00490945"/>
    <w:rsid w:val="0049354A"/>
    <w:rsid w:val="00496708"/>
    <w:rsid w:val="00497024"/>
    <w:rsid w:val="00497B41"/>
    <w:rsid w:val="004A0184"/>
    <w:rsid w:val="004A147F"/>
    <w:rsid w:val="004A33FE"/>
    <w:rsid w:val="004A3C5B"/>
    <w:rsid w:val="004A42FC"/>
    <w:rsid w:val="004A6192"/>
    <w:rsid w:val="004A7CA3"/>
    <w:rsid w:val="004B3C74"/>
    <w:rsid w:val="004B3D2E"/>
    <w:rsid w:val="004B3FC2"/>
    <w:rsid w:val="004B443A"/>
    <w:rsid w:val="004B5783"/>
    <w:rsid w:val="004B732B"/>
    <w:rsid w:val="004C0399"/>
    <w:rsid w:val="004C3B06"/>
    <w:rsid w:val="004C4750"/>
    <w:rsid w:val="004C481F"/>
    <w:rsid w:val="004C5942"/>
    <w:rsid w:val="004C5A90"/>
    <w:rsid w:val="004D1C95"/>
    <w:rsid w:val="004D5D4C"/>
    <w:rsid w:val="004D63ED"/>
    <w:rsid w:val="004D653B"/>
    <w:rsid w:val="004D7CC9"/>
    <w:rsid w:val="004E02A5"/>
    <w:rsid w:val="004E56D0"/>
    <w:rsid w:val="004E7327"/>
    <w:rsid w:val="004E7812"/>
    <w:rsid w:val="004F1078"/>
    <w:rsid w:val="004F1E91"/>
    <w:rsid w:val="004F337B"/>
    <w:rsid w:val="004F5A20"/>
    <w:rsid w:val="004F62D5"/>
    <w:rsid w:val="004F6BA3"/>
    <w:rsid w:val="004F6BE4"/>
    <w:rsid w:val="004F77BF"/>
    <w:rsid w:val="005001F0"/>
    <w:rsid w:val="005008D7"/>
    <w:rsid w:val="00502746"/>
    <w:rsid w:val="0050471C"/>
    <w:rsid w:val="00504821"/>
    <w:rsid w:val="0050687C"/>
    <w:rsid w:val="00506A93"/>
    <w:rsid w:val="005104E6"/>
    <w:rsid w:val="00510B37"/>
    <w:rsid w:val="00511564"/>
    <w:rsid w:val="005118B4"/>
    <w:rsid w:val="00514C88"/>
    <w:rsid w:val="00515908"/>
    <w:rsid w:val="005163FE"/>
    <w:rsid w:val="00516DFD"/>
    <w:rsid w:val="005173B0"/>
    <w:rsid w:val="00521288"/>
    <w:rsid w:val="00522FD0"/>
    <w:rsid w:val="005237A5"/>
    <w:rsid w:val="005237E3"/>
    <w:rsid w:val="005249EB"/>
    <w:rsid w:val="00525C79"/>
    <w:rsid w:val="00527253"/>
    <w:rsid w:val="005276EB"/>
    <w:rsid w:val="005300A5"/>
    <w:rsid w:val="00533D58"/>
    <w:rsid w:val="00534914"/>
    <w:rsid w:val="00536CD8"/>
    <w:rsid w:val="00537F3D"/>
    <w:rsid w:val="00540738"/>
    <w:rsid w:val="00542BA2"/>
    <w:rsid w:val="00542E99"/>
    <w:rsid w:val="00543254"/>
    <w:rsid w:val="005436C3"/>
    <w:rsid w:val="00545670"/>
    <w:rsid w:val="00545913"/>
    <w:rsid w:val="00545FC3"/>
    <w:rsid w:val="00546D47"/>
    <w:rsid w:val="00547E1B"/>
    <w:rsid w:val="005508AC"/>
    <w:rsid w:val="00551273"/>
    <w:rsid w:val="00552736"/>
    <w:rsid w:val="00553A4A"/>
    <w:rsid w:val="00555463"/>
    <w:rsid w:val="0055630B"/>
    <w:rsid w:val="00556437"/>
    <w:rsid w:val="00562C46"/>
    <w:rsid w:val="00563360"/>
    <w:rsid w:val="005644AD"/>
    <w:rsid w:val="005649D4"/>
    <w:rsid w:val="005652F8"/>
    <w:rsid w:val="005656A1"/>
    <w:rsid w:val="00565814"/>
    <w:rsid w:val="00566441"/>
    <w:rsid w:val="005668F5"/>
    <w:rsid w:val="00566BDD"/>
    <w:rsid w:val="00570DB9"/>
    <w:rsid w:val="005738AA"/>
    <w:rsid w:val="00573A65"/>
    <w:rsid w:val="00576E9E"/>
    <w:rsid w:val="00580795"/>
    <w:rsid w:val="00580CFF"/>
    <w:rsid w:val="00583307"/>
    <w:rsid w:val="00584E02"/>
    <w:rsid w:val="00585115"/>
    <w:rsid w:val="0058517D"/>
    <w:rsid w:val="00585758"/>
    <w:rsid w:val="00585AD2"/>
    <w:rsid w:val="00587362"/>
    <w:rsid w:val="00587529"/>
    <w:rsid w:val="00587DDB"/>
    <w:rsid w:val="0059035D"/>
    <w:rsid w:val="00591895"/>
    <w:rsid w:val="005923A4"/>
    <w:rsid w:val="00593E5E"/>
    <w:rsid w:val="00594167"/>
    <w:rsid w:val="00595901"/>
    <w:rsid w:val="00595B42"/>
    <w:rsid w:val="00595CC2"/>
    <w:rsid w:val="005962A2"/>
    <w:rsid w:val="00597498"/>
    <w:rsid w:val="005A0456"/>
    <w:rsid w:val="005A1156"/>
    <w:rsid w:val="005A1FEB"/>
    <w:rsid w:val="005A2F49"/>
    <w:rsid w:val="005A4F90"/>
    <w:rsid w:val="005A5648"/>
    <w:rsid w:val="005A6EFC"/>
    <w:rsid w:val="005A7019"/>
    <w:rsid w:val="005A718C"/>
    <w:rsid w:val="005B022C"/>
    <w:rsid w:val="005B0813"/>
    <w:rsid w:val="005B129D"/>
    <w:rsid w:val="005B48B4"/>
    <w:rsid w:val="005B52B3"/>
    <w:rsid w:val="005B5DFD"/>
    <w:rsid w:val="005C3156"/>
    <w:rsid w:val="005C3BE3"/>
    <w:rsid w:val="005C3D15"/>
    <w:rsid w:val="005C4123"/>
    <w:rsid w:val="005C764A"/>
    <w:rsid w:val="005D0877"/>
    <w:rsid w:val="005D1207"/>
    <w:rsid w:val="005D1253"/>
    <w:rsid w:val="005D2501"/>
    <w:rsid w:val="005D303C"/>
    <w:rsid w:val="005D4B13"/>
    <w:rsid w:val="005D67DA"/>
    <w:rsid w:val="005E046C"/>
    <w:rsid w:val="005E0807"/>
    <w:rsid w:val="005E25BA"/>
    <w:rsid w:val="005E3D51"/>
    <w:rsid w:val="005E4E7D"/>
    <w:rsid w:val="005E5E60"/>
    <w:rsid w:val="005E64FB"/>
    <w:rsid w:val="005F62AA"/>
    <w:rsid w:val="005F655D"/>
    <w:rsid w:val="006004AA"/>
    <w:rsid w:val="00602285"/>
    <w:rsid w:val="00602712"/>
    <w:rsid w:val="00604524"/>
    <w:rsid w:val="00604C31"/>
    <w:rsid w:val="00604D7C"/>
    <w:rsid w:val="00606B49"/>
    <w:rsid w:val="006079A8"/>
    <w:rsid w:val="00610E97"/>
    <w:rsid w:val="00610F89"/>
    <w:rsid w:val="00612283"/>
    <w:rsid w:val="00612951"/>
    <w:rsid w:val="006164C5"/>
    <w:rsid w:val="00617284"/>
    <w:rsid w:val="00617565"/>
    <w:rsid w:val="0061776F"/>
    <w:rsid w:val="006208DB"/>
    <w:rsid w:val="00622172"/>
    <w:rsid w:val="00622BE5"/>
    <w:rsid w:val="00624CF7"/>
    <w:rsid w:val="00625114"/>
    <w:rsid w:val="00625131"/>
    <w:rsid w:val="00627137"/>
    <w:rsid w:val="006301A8"/>
    <w:rsid w:val="006315A5"/>
    <w:rsid w:val="00631D46"/>
    <w:rsid w:val="00632461"/>
    <w:rsid w:val="00636236"/>
    <w:rsid w:val="00641952"/>
    <w:rsid w:val="006427DA"/>
    <w:rsid w:val="006445F1"/>
    <w:rsid w:val="00644924"/>
    <w:rsid w:val="00645A26"/>
    <w:rsid w:val="0064636E"/>
    <w:rsid w:val="006468C7"/>
    <w:rsid w:val="0065047F"/>
    <w:rsid w:val="0065282D"/>
    <w:rsid w:val="00652B87"/>
    <w:rsid w:val="00653F74"/>
    <w:rsid w:val="0065424F"/>
    <w:rsid w:val="0065760A"/>
    <w:rsid w:val="00657B2A"/>
    <w:rsid w:val="006623FE"/>
    <w:rsid w:val="00662E20"/>
    <w:rsid w:val="006649D8"/>
    <w:rsid w:val="006655ED"/>
    <w:rsid w:val="006664B6"/>
    <w:rsid w:val="00666AED"/>
    <w:rsid w:val="006709D1"/>
    <w:rsid w:val="00671ADE"/>
    <w:rsid w:val="00675077"/>
    <w:rsid w:val="00675D62"/>
    <w:rsid w:val="00677E57"/>
    <w:rsid w:val="0068020B"/>
    <w:rsid w:val="00683F61"/>
    <w:rsid w:val="00685EFB"/>
    <w:rsid w:val="00685F92"/>
    <w:rsid w:val="00687148"/>
    <w:rsid w:val="006905F9"/>
    <w:rsid w:val="006907AB"/>
    <w:rsid w:val="00693BC2"/>
    <w:rsid w:val="00693FAD"/>
    <w:rsid w:val="00696044"/>
    <w:rsid w:val="00696640"/>
    <w:rsid w:val="006976BF"/>
    <w:rsid w:val="006A19BD"/>
    <w:rsid w:val="006A1B71"/>
    <w:rsid w:val="006A29A4"/>
    <w:rsid w:val="006A2FFA"/>
    <w:rsid w:val="006A32D5"/>
    <w:rsid w:val="006A3769"/>
    <w:rsid w:val="006A4675"/>
    <w:rsid w:val="006A4825"/>
    <w:rsid w:val="006A6607"/>
    <w:rsid w:val="006B1CF3"/>
    <w:rsid w:val="006B5D74"/>
    <w:rsid w:val="006B6465"/>
    <w:rsid w:val="006B778A"/>
    <w:rsid w:val="006B7932"/>
    <w:rsid w:val="006C0F74"/>
    <w:rsid w:val="006C489A"/>
    <w:rsid w:val="006C7DEC"/>
    <w:rsid w:val="006C7EB3"/>
    <w:rsid w:val="006D15D1"/>
    <w:rsid w:val="006D1627"/>
    <w:rsid w:val="006D2CA2"/>
    <w:rsid w:val="006D40C3"/>
    <w:rsid w:val="006D46ED"/>
    <w:rsid w:val="006D4C96"/>
    <w:rsid w:val="006D680F"/>
    <w:rsid w:val="006D7228"/>
    <w:rsid w:val="006E206F"/>
    <w:rsid w:val="006E38C0"/>
    <w:rsid w:val="006E5C49"/>
    <w:rsid w:val="006E63D2"/>
    <w:rsid w:val="006E6885"/>
    <w:rsid w:val="006F01F2"/>
    <w:rsid w:val="006F064E"/>
    <w:rsid w:val="006F0E7E"/>
    <w:rsid w:val="006F0ECE"/>
    <w:rsid w:val="006F14B8"/>
    <w:rsid w:val="006F1AA2"/>
    <w:rsid w:val="006F1ACC"/>
    <w:rsid w:val="006F3F95"/>
    <w:rsid w:val="006F5241"/>
    <w:rsid w:val="006F588D"/>
    <w:rsid w:val="006F6135"/>
    <w:rsid w:val="006F6E52"/>
    <w:rsid w:val="006F6EEA"/>
    <w:rsid w:val="00700B64"/>
    <w:rsid w:val="00701534"/>
    <w:rsid w:val="007024BF"/>
    <w:rsid w:val="00702A26"/>
    <w:rsid w:val="00703F1B"/>
    <w:rsid w:val="00704AF9"/>
    <w:rsid w:val="00705C04"/>
    <w:rsid w:val="0070782E"/>
    <w:rsid w:val="00707F05"/>
    <w:rsid w:val="00710763"/>
    <w:rsid w:val="00710D87"/>
    <w:rsid w:val="00711BC6"/>
    <w:rsid w:val="0071270F"/>
    <w:rsid w:val="0071345F"/>
    <w:rsid w:val="007146B6"/>
    <w:rsid w:val="00716177"/>
    <w:rsid w:val="00716FB4"/>
    <w:rsid w:val="00720471"/>
    <w:rsid w:val="00722E9E"/>
    <w:rsid w:val="0072425B"/>
    <w:rsid w:val="00724531"/>
    <w:rsid w:val="00724B99"/>
    <w:rsid w:val="007260EE"/>
    <w:rsid w:val="0072773B"/>
    <w:rsid w:val="00730369"/>
    <w:rsid w:val="007329DA"/>
    <w:rsid w:val="007337C3"/>
    <w:rsid w:val="0073403E"/>
    <w:rsid w:val="00734911"/>
    <w:rsid w:val="0073565E"/>
    <w:rsid w:val="00735B94"/>
    <w:rsid w:val="00736752"/>
    <w:rsid w:val="007400EE"/>
    <w:rsid w:val="00740629"/>
    <w:rsid w:val="0074218C"/>
    <w:rsid w:val="007431E7"/>
    <w:rsid w:val="007437CB"/>
    <w:rsid w:val="007444DD"/>
    <w:rsid w:val="007461D0"/>
    <w:rsid w:val="007465AF"/>
    <w:rsid w:val="00746AD4"/>
    <w:rsid w:val="00747161"/>
    <w:rsid w:val="00747C75"/>
    <w:rsid w:val="00753BE1"/>
    <w:rsid w:val="00753DE6"/>
    <w:rsid w:val="00754032"/>
    <w:rsid w:val="00754F32"/>
    <w:rsid w:val="00757795"/>
    <w:rsid w:val="00762313"/>
    <w:rsid w:val="007639C5"/>
    <w:rsid w:val="007639F2"/>
    <w:rsid w:val="007646AA"/>
    <w:rsid w:val="0076703E"/>
    <w:rsid w:val="00770803"/>
    <w:rsid w:val="007711F6"/>
    <w:rsid w:val="00771777"/>
    <w:rsid w:val="00772199"/>
    <w:rsid w:val="00772EEC"/>
    <w:rsid w:val="0077464D"/>
    <w:rsid w:val="00774AB3"/>
    <w:rsid w:val="00774EBF"/>
    <w:rsid w:val="00775947"/>
    <w:rsid w:val="00777CFB"/>
    <w:rsid w:val="00780857"/>
    <w:rsid w:val="00780D48"/>
    <w:rsid w:val="0078155E"/>
    <w:rsid w:val="00782DF4"/>
    <w:rsid w:val="00783236"/>
    <w:rsid w:val="007837A6"/>
    <w:rsid w:val="007853A1"/>
    <w:rsid w:val="007865F6"/>
    <w:rsid w:val="00787201"/>
    <w:rsid w:val="007877C8"/>
    <w:rsid w:val="00787E26"/>
    <w:rsid w:val="00792638"/>
    <w:rsid w:val="00793BB8"/>
    <w:rsid w:val="00793E72"/>
    <w:rsid w:val="007944BA"/>
    <w:rsid w:val="007A0490"/>
    <w:rsid w:val="007A1088"/>
    <w:rsid w:val="007A157F"/>
    <w:rsid w:val="007A17E9"/>
    <w:rsid w:val="007A1F8C"/>
    <w:rsid w:val="007A36F8"/>
    <w:rsid w:val="007A3EE5"/>
    <w:rsid w:val="007A583D"/>
    <w:rsid w:val="007B063D"/>
    <w:rsid w:val="007B279C"/>
    <w:rsid w:val="007B3488"/>
    <w:rsid w:val="007B35BF"/>
    <w:rsid w:val="007B4719"/>
    <w:rsid w:val="007B6EC3"/>
    <w:rsid w:val="007C2E88"/>
    <w:rsid w:val="007C35AF"/>
    <w:rsid w:val="007C4461"/>
    <w:rsid w:val="007C567D"/>
    <w:rsid w:val="007C5F47"/>
    <w:rsid w:val="007C69AA"/>
    <w:rsid w:val="007C78A3"/>
    <w:rsid w:val="007D23B6"/>
    <w:rsid w:val="007D2A81"/>
    <w:rsid w:val="007D2F0D"/>
    <w:rsid w:val="007D5510"/>
    <w:rsid w:val="007D61EE"/>
    <w:rsid w:val="007E00BD"/>
    <w:rsid w:val="007E01B3"/>
    <w:rsid w:val="007E068B"/>
    <w:rsid w:val="007E249A"/>
    <w:rsid w:val="007E2C2F"/>
    <w:rsid w:val="007E3282"/>
    <w:rsid w:val="007E6417"/>
    <w:rsid w:val="007F0D03"/>
    <w:rsid w:val="007F1411"/>
    <w:rsid w:val="007F24F3"/>
    <w:rsid w:val="007F2C56"/>
    <w:rsid w:val="007F2DDC"/>
    <w:rsid w:val="007F58B0"/>
    <w:rsid w:val="007F5CBC"/>
    <w:rsid w:val="007F76BA"/>
    <w:rsid w:val="007F7DB0"/>
    <w:rsid w:val="00801C90"/>
    <w:rsid w:val="008027EC"/>
    <w:rsid w:val="00803CB1"/>
    <w:rsid w:val="00804F32"/>
    <w:rsid w:val="00805E7C"/>
    <w:rsid w:val="008067C7"/>
    <w:rsid w:val="008103DA"/>
    <w:rsid w:val="00814677"/>
    <w:rsid w:val="00814984"/>
    <w:rsid w:val="008151D9"/>
    <w:rsid w:val="00820316"/>
    <w:rsid w:val="00820460"/>
    <w:rsid w:val="00820907"/>
    <w:rsid w:val="0082093B"/>
    <w:rsid w:val="00820A95"/>
    <w:rsid w:val="0082166A"/>
    <w:rsid w:val="00821D06"/>
    <w:rsid w:val="00826256"/>
    <w:rsid w:val="00834C52"/>
    <w:rsid w:val="00836918"/>
    <w:rsid w:val="00842A4B"/>
    <w:rsid w:val="00844C78"/>
    <w:rsid w:val="00845924"/>
    <w:rsid w:val="00846DE7"/>
    <w:rsid w:val="0084736F"/>
    <w:rsid w:val="00850CB4"/>
    <w:rsid w:val="00850CBC"/>
    <w:rsid w:val="008517D2"/>
    <w:rsid w:val="00851C6A"/>
    <w:rsid w:val="00851C9A"/>
    <w:rsid w:val="00851CCA"/>
    <w:rsid w:val="00852EDC"/>
    <w:rsid w:val="00854677"/>
    <w:rsid w:val="00855D60"/>
    <w:rsid w:val="00855D99"/>
    <w:rsid w:val="008571B4"/>
    <w:rsid w:val="008573E3"/>
    <w:rsid w:val="008609A6"/>
    <w:rsid w:val="0086248A"/>
    <w:rsid w:val="00862F8F"/>
    <w:rsid w:val="00864B2F"/>
    <w:rsid w:val="00865235"/>
    <w:rsid w:val="0086658D"/>
    <w:rsid w:val="0087121B"/>
    <w:rsid w:val="008727F2"/>
    <w:rsid w:val="008730BD"/>
    <w:rsid w:val="00875D96"/>
    <w:rsid w:val="00877208"/>
    <w:rsid w:val="0088104B"/>
    <w:rsid w:val="008823A0"/>
    <w:rsid w:val="00883AC1"/>
    <w:rsid w:val="008844F5"/>
    <w:rsid w:val="00887E23"/>
    <w:rsid w:val="00892BE8"/>
    <w:rsid w:val="00892F06"/>
    <w:rsid w:val="00894872"/>
    <w:rsid w:val="008953EE"/>
    <w:rsid w:val="00895BAE"/>
    <w:rsid w:val="008A0B05"/>
    <w:rsid w:val="008A18EB"/>
    <w:rsid w:val="008A43AF"/>
    <w:rsid w:val="008A4F78"/>
    <w:rsid w:val="008A51EA"/>
    <w:rsid w:val="008A78B4"/>
    <w:rsid w:val="008B015C"/>
    <w:rsid w:val="008B0ACB"/>
    <w:rsid w:val="008B1F2F"/>
    <w:rsid w:val="008B5E10"/>
    <w:rsid w:val="008B7017"/>
    <w:rsid w:val="008C0B7E"/>
    <w:rsid w:val="008C59CA"/>
    <w:rsid w:val="008D1187"/>
    <w:rsid w:val="008D1DDF"/>
    <w:rsid w:val="008D461B"/>
    <w:rsid w:val="008D7ACE"/>
    <w:rsid w:val="008E013B"/>
    <w:rsid w:val="008E1EB9"/>
    <w:rsid w:val="008E287D"/>
    <w:rsid w:val="008E34C0"/>
    <w:rsid w:val="008E3656"/>
    <w:rsid w:val="008E45EE"/>
    <w:rsid w:val="008E4A82"/>
    <w:rsid w:val="008E6C9A"/>
    <w:rsid w:val="008F24BA"/>
    <w:rsid w:val="008F29A4"/>
    <w:rsid w:val="008F2AE1"/>
    <w:rsid w:val="008F3351"/>
    <w:rsid w:val="008F4616"/>
    <w:rsid w:val="008F646E"/>
    <w:rsid w:val="008F788B"/>
    <w:rsid w:val="00903B40"/>
    <w:rsid w:val="00903D71"/>
    <w:rsid w:val="009040FF"/>
    <w:rsid w:val="00904114"/>
    <w:rsid w:val="009049C4"/>
    <w:rsid w:val="009065C1"/>
    <w:rsid w:val="00907F21"/>
    <w:rsid w:val="0091151B"/>
    <w:rsid w:val="009119FD"/>
    <w:rsid w:val="00913117"/>
    <w:rsid w:val="00914857"/>
    <w:rsid w:val="00914B4D"/>
    <w:rsid w:val="00914C81"/>
    <w:rsid w:val="00914E64"/>
    <w:rsid w:val="009166F8"/>
    <w:rsid w:val="00920957"/>
    <w:rsid w:val="009209B0"/>
    <w:rsid w:val="00920BCD"/>
    <w:rsid w:val="00921A00"/>
    <w:rsid w:val="00922564"/>
    <w:rsid w:val="00923E12"/>
    <w:rsid w:val="00925355"/>
    <w:rsid w:val="00925B6F"/>
    <w:rsid w:val="0092612C"/>
    <w:rsid w:val="00927311"/>
    <w:rsid w:val="00927715"/>
    <w:rsid w:val="00930748"/>
    <w:rsid w:val="0093205D"/>
    <w:rsid w:val="0093227A"/>
    <w:rsid w:val="00935C32"/>
    <w:rsid w:val="00937E8B"/>
    <w:rsid w:val="00937FAE"/>
    <w:rsid w:val="009412EC"/>
    <w:rsid w:val="00942086"/>
    <w:rsid w:val="00943B8B"/>
    <w:rsid w:val="00944503"/>
    <w:rsid w:val="0094603F"/>
    <w:rsid w:val="00947E12"/>
    <w:rsid w:val="009505D8"/>
    <w:rsid w:val="00952180"/>
    <w:rsid w:val="0095282E"/>
    <w:rsid w:val="00953DD3"/>
    <w:rsid w:val="00954885"/>
    <w:rsid w:val="00954BB8"/>
    <w:rsid w:val="009608D6"/>
    <w:rsid w:val="0096128B"/>
    <w:rsid w:val="00961C45"/>
    <w:rsid w:val="00961E35"/>
    <w:rsid w:val="00963F7E"/>
    <w:rsid w:val="00964A0C"/>
    <w:rsid w:val="00965A99"/>
    <w:rsid w:val="00965E6E"/>
    <w:rsid w:val="00965FE3"/>
    <w:rsid w:val="00971BE4"/>
    <w:rsid w:val="00972EB5"/>
    <w:rsid w:val="009736CF"/>
    <w:rsid w:val="00974135"/>
    <w:rsid w:val="009745FF"/>
    <w:rsid w:val="00975634"/>
    <w:rsid w:val="00975F0E"/>
    <w:rsid w:val="00977F50"/>
    <w:rsid w:val="00977FA1"/>
    <w:rsid w:val="00977FF2"/>
    <w:rsid w:val="00981541"/>
    <w:rsid w:val="00983485"/>
    <w:rsid w:val="00983FCB"/>
    <w:rsid w:val="009845B9"/>
    <w:rsid w:val="009877BE"/>
    <w:rsid w:val="0099181E"/>
    <w:rsid w:val="00991981"/>
    <w:rsid w:val="00992050"/>
    <w:rsid w:val="009960AA"/>
    <w:rsid w:val="00996503"/>
    <w:rsid w:val="00997A34"/>
    <w:rsid w:val="009A04B1"/>
    <w:rsid w:val="009A117A"/>
    <w:rsid w:val="009A1BC9"/>
    <w:rsid w:val="009A28E6"/>
    <w:rsid w:val="009A3957"/>
    <w:rsid w:val="009A4284"/>
    <w:rsid w:val="009A46F0"/>
    <w:rsid w:val="009A6377"/>
    <w:rsid w:val="009A671B"/>
    <w:rsid w:val="009A7729"/>
    <w:rsid w:val="009B079D"/>
    <w:rsid w:val="009B453B"/>
    <w:rsid w:val="009B5909"/>
    <w:rsid w:val="009B6875"/>
    <w:rsid w:val="009C1109"/>
    <w:rsid w:val="009C2479"/>
    <w:rsid w:val="009C2EAA"/>
    <w:rsid w:val="009C2F36"/>
    <w:rsid w:val="009C2F58"/>
    <w:rsid w:val="009C3338"/>
    <w:rsid w:val="009C4431"/>
    <w:rsid w:val="009C62D2"/>
    <w:rsid w:val="009C6F45"/>
    <w:rsid w:val="009C7BC7"/>
    <w:rsid w:val="009D3A35"/>
    <w:rsid w:val="009D41CE"/>
    <w:rsid w:val="009D44FC"/>
    <w:rsid w:val="009E0C04"/>
    <w:rsid w:val="009E2ACC"/>
    <w:rsid w:val="009E4BD0"/>
    <w:rsid w:val="009E4CB1"/>
    <w:rsid w:val="009E56E7"/>
    <w:rsid w:val="009E692C"/>
    <w:rsid w:val="009E6FC3"/>
    <w:rsid w:val="009E7215"/>
    <w:rsid w:val="009F0360"/>
    <w:rsid w:val="009F0D18"/>
    <w:rsid w:val="009F2ECC"/>
    <w:rsid w:val="009F3529"/>
    <w:rsid w:val="009F3DA7"/>
    <w:rsid w:val="009F50DA"/>
    <w:rsid w:val="009F6218"/>
    <w:rsid w:val="009F78C5"/>
    <w:rsid w:val="00A00B17"/>
    <w:rsid w:val="00A01109"/>
    <w:rsid w:val="00A013D3"/>
    <w:rsid w:val="00A01777"/>
    <w:rsid w:val="00A0178F"/>
    <w:rsid w:val="00A03319"/>
    <w:rsid w:val="00A03C2C"/>
    <w:rsid w:val="00A04C46"/>
    <w:rsid w:val="00A0687D"/>
    <w:rsid w:val="00A108CD"/>
    <w:rsid w:val="00A11752"/>
    <w:rsid w:val="00A13EA5"/>
    <w:rsid w:val="00A1590C"/>
    <w:rsid w:val="00A20A66"/>
    <w:rsid w:val="00A22F97"/>
    <w:rsid w:val="00A23FE7"/>
    <w:rsid w:val="00A25427"/>
    <w:rsid w:val="00A2555B"/>
    <w:rsid w:val="00A25B0E"/>
    <w:rsid w:val="00A304C1"/>
    <w:rsid w:val="00A304F6"/>
    <w:rsid w:val="00A31944"/>
    <w:rsid w:val="00A31F03"/>
    <w:rsid w:val="00A33D49"/>
    <w:rsid w:val="00A34096"/>
    <w:rsid w:val="00A346A6"/>
    <w:rsid w:val="00A35A91"/>
    <w:rsid w:val="00A366DA"/>
    <w:rsid w:val="00A41A0F"/>
    <w:rsid w:val="00A41D2E"/>
    <w:rsid w:val="00A44086"/>
    <w:rsid w:val="00A465E3"/>
    <w:rsid w:val="00A51772"/>
    <w:rsid w:val="00A51B2C"/>
    <w:rsid w:val="00A52815"/>
    <w:rsid w:val="00A529EA"/>
    <w:rsid w:val="00A529ED"/>
    <w:rsid w:val="00A53470"/>
    <w:rsid w:val="00A54151"/>
    <w:rsid w:val="00A542E2"/>
    <w:rsid w:val="00A54B0B"/>
    <w:rsid w:val="00A5718E"/>
    <w:rsid w:val="00A605AB"/>
    <w:rsid w:val="00A6155D"/>
    <w:rsid w:val="00A618BB"/>
    <w:rsid w:val="00A6196F"/>
    <w:rsid w:val="00A6253D"/>
    <w:rsid w:val="00A62CCC"/>
    <w:rsid w:val="00A62DBE"/>
    <w:rsid w:val="00A644FF"/>
    <w:rsid w:val="00A64C61"/>
    <w:rsid w:val="00A64C6E"/>
    <w:rsid w:val="00A65FB0"/>
    <w:rsid w:val="00A7003D"/>
    <w:rsid w:val="00A71056"/>
    <w:rsid w:val="00A713AB"/>
    <w:rsid w:val="00A718F5"/>
    <w:rsid w:val="00A734EF"/>
    <w:rsid w:val="00A7385E"/>
    <w:rsid w:val="00A73F91"/>
    <w:rsid w:val="00A7461A"/>
    <w:rsid w:val="00A74D13"/>
    <w:rsid w:val="00A74E6C"/>
    <w:rsid w:val="00A75599"/>
    <w:rsid w:val="00A77591"/>
    <w:rsid w:val="00A77BDB"/>
    <w:rsid w:val="00A81193"/>
    <w:rsid w:val="00A827D1"/>
    <w:rsid w:val="00A93333"/>
    <w:rsid w:val="00A94CD5"/>
    <w:rsid w:val="00A95D99"/>
    <w:rsid w:val="00A96C1A"/>
    <w:rsid w:val="00AA1C79"/>
    <w:rsid w:val="00AA386A"/>
    <w:rsid w:val="00AA439D"/>
    <w:rsid w:val="00AA44D7"/>
    <w:rsid w:val="00AA4FBF"/>
    <w:rsid w:val="00AA5222"/>
    <w:rsid w:val="00AB0161"/>
    <w:rsid w:val="00AB01EB"/>
    <w:rsid w:val="00AB08DF"/>
    <w:rsid w:val="00AB1D65"/>
    <w:rsid w:val="00AB2E25"/>
    <w:rsid w:val="00AB4066"/>
    <w:rsid w:val="00AB41F1"/>
    <w:rsid w:val="00AB5552"/>
    <w:rsid w:val="00AB5B69"/>
    <w:rsid w:val="00AB624A"/>
    <w:rsid w:val="00AC03C8"/>
    <w:rsid w:val="00AC117F"/>
    <w:rsid w:val="00AC1E78"/>
    <w:rsid w:val="00AC4CC4"/>
    <w:rsid w:val="00AC6527"/>
    <w:rsid w:val="00AC7489"/>
    <w:rsid w:val="00AD0814"/>
    <w:rsid w:val="00AD0A63"/>
    <w:rsid w:val="00AD211E"/>
    <w:rsid w:val="00AD7309"/>
    <w:rsid w:val="00AE172D"/>
    <w:rsid w:val="00AE1846"/>
    <w:rsid w:val="00AE6758"/>
    <w:rsid w:val="00AF152C"/>
    <w:rsid w:val="00AF2A0D"/>
    <w:rsid w:val="00AF2C42"/>
    <w:rsid w:val="00AF5054"/>
    <w:rsid w:val="00AF644A"/>
    <w:rsid w:val="00AF64BC"/>
    <w:rsid w:val="00AF705E"/>
    <w:rsid w:val="00AF7D2D"/>
    <w:rsid w:val="00B00E18"/>
    <w:rsid w:val="00B025BE"/>
    <w:rsid w:val="00B03D59"/>
    <w:rsid w:val="00B0488D"/>
    <w:rsid w:val="00B04D7D"/>
    <w:rsid w:val="00B05C19"/>
    <w:rsid w:val="00B07C4A"/>
    <w:rsid w:val="00B102D3"/>
    <w:rsid w:val="00B1057F"/>
    <w:rsid w:val="00B10F82"/>
    <w:rsid w:val="00B11C24"/>
    <w:rsid w:val="00B11F94"/>
    <w:rsid w:val="00B14394"/>
    <w:rsid w:val="00B14DDB"/>
    <w:rsid w:val="00B15058"/>
    <w:rsid w:val="00B16450"/>
    <w:rsid w:val="00B204F1"/>
    <w:rsid w:val="00B21B2E"/>
    <w:rsid w:val="00B21F9B"/>
    <w:rsid w:val="00B222E8"/>
    <w:rsid w:val="00B2237B"/>
    <w:rsid w:val="00B22FEC"/>
    <w:rsid w:val="00B2570C"/>
    <w:rsid w:val="00B30DE3"/>
    <w:rsid w:val="00B33D08"/>
    <w:rsid w:val="00B349EC"/>
    <w:rsid w:val="00B351F2"/>
    <w:rsid w:val="00B37AC5"/>
    <w:rsid w:val="00B40AAB"/>
    <w:rsid w:val="00B41672"/>
    <w:rsid w:val="00B4181D"/>
    <w:rsid w:val="00B41AE9"/>
    <w:rsid w:val="00B41B87"/>
    <w:rsid w:val="00B46988"/>
    <w:rsid w:val="00B4733C"/>
    <w:rsid w:val="00B477DE"/>
    <w:rsid w:val="00B5046E"/>
    <w:rsid w:val="00B5110A"/>
    <w:rsid w:val="00B51C98"/>
    <w:rsid w:val="00B52314"/>
    <w:rsid w:val="00B5557E"/>
    <w:rsid w:val="00B55D75"/>
    <w:rsid w:val="00B562CF"/>
    <w:rsid w:val="00B6053A"/>
    <w:rsid w:val="00B6066E"/>
    <w:rsid w:val="00B6152C"/>
    <w:rsid w:val="00B615B1"/>
    <w:rsid w:val="00B6184D"/>
    <w:rsid w:val="00B627A3"/>
    <w:rsid w:val="00B62A2A"/>
    <w:rsid w:val="00B632FD"/>
    <w:rsid w:val="00B63B43"/>
    <w:rsid w:val="00B64220"/>
    <w:rsid w:val="00B650BC"/>
    <w:rsid w:val="00B66091"/>
    <w:rsid w:val="00B6763B"/>
    <w:rsid w:val="00B71016"/>
    <w:rsid w:val="00B753BC"/>
    <w:rsid w:val="00B76E57"/>
    <w:rsid w:val="00B770F3"/>
    <w:rsid w:val="00B80459"/>
    <w:rsid w:val="00B80925"/>
    <w:rsid w:val="00B81656"/>
    <w:rsid w:val="00B82B2A"/>
    <w:rsid w:val="00B83FEC"/>
    <w:rsid w:val="00B849E7"/>
    <w:rsid w:val="00B863CD"/>
    <w:rsid w:val="00B900E0"/>
    <w:rsid w:val="00B9188E"/>
    <w:rsid w:val="00B9216D"/>
    <w:rsid w:val="00B938A7"/>
    <w:rsid w:val="00B93B0D"/>
    <w:rsid w:val="00B93FD6"/>
    <w:rsid w:val="00B961AF"/>
    <w:rsid w:val="00B97128"/>
    <w:rsid w:val="00B973EE"/>
    <w:rsid w:val="00B977FB"/>
    <w:rsid w:val="00BA0493"/>
    <w:rsid w:val="00BA390F"/>
    <w:rsid w:val="00BA457F"/>
    <w:rsid w:val="00BA626F"/>
    <w:rsid w:val="00BA6D03"/>
    <w:rsid w:val="00BA70A6"/>
    <w:rsid w:val="00BB7625"/>
    <w:rsid w:val="00BC012E"/>
    <w:rsid w:val="00BC093D"/>
    <w:rsid w:val="00BC13B0"/>
    <w:rsid w:val="00BC2D1D"/>
    <w:rsid w:val="00BC3429"/>
    <w:rsid w:val="00BC38AE"/>
    <w:rsid w:val="00BC4A9C"/>
    <w:rsid w:val="00BC4ABE"/>
    <w:rsid w:val="00BC4B89"/>
    <w:rsid w:val="00BC6037"/>
    <w:rsid w:val="00BD14F9"/>
    <w:rsid w:val="00BD1974"/>
    <w:rsid w:val="00BD3A86"/>
    <w:rsid w:val="00BD4F55"/>
    <w:rsid w:val="00BD5D2A"/>
    <w:rsid w:val="00BD7D29"/>
    <w:rsid w:val="00BE131F"/>
    <w:rsid w:val="00BE181E"/>
    <w:rsid w:val="00BE26EB"/>
    <w:rsid w:val="00BE35B0"/>
    <w:rsid w:val="00BE45A4"/>
    <w:rsid w:val="00BE4E32"/>
    <w:rsid w:val="00BE6760"/>
    <w:rsid w:val="00BE74A9"/>
    <w:rsid w:val="00BF2844"/>
    <w:rsid w:val="00BF2BA6"/>
    <w:rsid w:val="00BF5180"/>
    <w:rsid w:val="00BF533D"/>
    <w:rsid w:val="00BF685D"/>
    <w:rsid w:val="00BF6E4C"/>
    <w:rsid w:val="00C02488"/>
    <w:rsid w:val="00C0609D"/>
    <w:rsid w:val="00C0622A"/>
    <w:rsid w:val="00C106C6"/>
    <w:rsid w:val="00C11555"/>
    <w:rsid w:val="00C11590"/>
    <w:rsid w:val="00C11EFB"/>
    <w:rsid w:val="00C122E4"/>
    <w:rsid w:val="00C13B36"/>
    <w:rsid w:val="00C13FD1"/>
    <w:rsid w:val="00C1407E"/>
    <w:rsid w:val="00C14CF9"/>
    <w:rsid w:val="00C16677"/>
    <w:rsid w:val="00C17C61"/>
    <w:rsid w:val="00C21E58"/>
    <w:rsid w:val="00C3009A"/>
    <w:rsid w:val="00C3492F"/>
    <w:rsid w:val="00C35F52"/>
    <w:rsid w:val="00C377CC"/>
    <w:rsid w:val="00C40187"/>
    <w:rsid w:val="00C4110C"/>
    <w:rsid w:val="00C416AF"/>
    <w:rsid w:val="00C41E9E"/>
    <w:rsid w:val="00C43ABB"/>
    <w:rsid w:val="00C43C8C"/>
    <w:rsid w:val="00C45BCD"/>
    <w:rsid w:val="00C45F68"/>
    <w:rsid w:val="00C479D2"/>
    <w:rsid w:val="00C5137B"/>
    <w:rsid w:val="00C51573"/>
    <w:rsid w:val="00C52B66"/>
    <w:rsid w:val="00C533B1"/>
    <w:rsid w:val="00C5555E"/>
    <w:rsid w:val="00C55604"/>
    <w:rsid w:val="00C56259"/>
    <w:rsid w:val="00C57CEA"/>
    <w:rsid w:val="00C6172F"/>
    <w:rsid w:val="00C61788"/>
    <w:rsid w:val="00C61D28"/>
    <w:rsid w:val="00C650BE"/>
    <w:rsid w:val="00C6732C"/>
    <w:rsid w:val="00C67845"/>
    <w:rsid w:val="00C67ED1"/>
    <w:rsid w:val="00C7023D"/>
    <w:rsid w:val="00C707A3"/>
    <w:rsid w:val="00C70919"/>
    <w:rsid w:val="00C7117E"/>
    <w:rsid w:val="00C713C2"/>
    <w:rsid w:val="00C7248D"/>
    <w:rsid w:val="00C73282"/>
    <w:rsid w:val="00C73FA2"/>
    <w:rsid w:val="00C75B6B"/>
    <w:rsid w:val="00C80E10"/>
    <w:rsid w:val="00C814E4"/>
    <w:rsid w:val="00C81695"/>
    <w:rsid w:val="00C829C6"/>
    <w:rsid w:val="00C83DA1"/>
    <w:rsid w:val="00C83E7A"/>
    <w:rsid w:val="00C86205"/>
    <w:rsid w:val="00C90D89"/>
    <w:rsid w:val="00C91908"/>
    <w:rsid w:val="00C9365D"/>
    <w:rsid w:val="00C93C55"/>
    <w:rsid w:val="00C94807"/>
    <w:rsid w:val="00C95C21"/>
    <w:rsid w:val="00CA0F3E"/>
    <w:rsid w:val="00CA223D"/>
    <w:rsid w:val="00CA299A"/>
    <w:rsid w:val="00CA4B5A"/>
    <w:rsid w:val="00CA59D5"/>
    <w:rsid w:val="00CA668A"/>
    <w:rsid w:val="00CB07D1"/>
    <w:rsid w:val="00CB4A0F"/>
    <w:rsid w:val="00CC1BAD"/>
    <w:rsid w:val="00CC1CD1"/>
    <w:rsid w:val="00CC2C71"/>
    <w:rsid w:val="00CC30E3"/>
    <w:rsid w:val="00CC45AB"/>
    <w:rsid w:val="00CC5031"/>
    <w:rsid w:val="00CC59FE"/>
    <w:rsid w:val="00CC6CC3"/>
    <w:rsid w:val="00CC72D9"/>
    <w:rsid w:val="00CD2171"/>
    <w:rsid w:val="00CD39AF"/>
    <w:rsid w:val="00CD3FBD"/>
    <w:rsid w:val="00CD4AD1"/>
    <w:rsid w:val="00CD55F6"/>
    <w:rsid w:val="00CD56BD"/>
    <w:rsid w:val="00CD5E4B"/>
    <w:rsid w:val="00CD6136"/>
    <w:rsid w:val="00CD7B3C"/>
    <w:rsid w:val="00CD7E6A"/>
    <w:rsid w:val="00CE037E"/>
    <w:rsid w:val="00CE1D15"/>
    <w:rsid w:val="00CE3795"/>
    <w:rsid w:val="00CE478E"/>
    <w:rsid w:val="00CE50C6"/>
    <w:rsid w:val="00CE520B"/>
    <w:rsid w:val="00CE541D"/>
    <w:rsid w:val="00CE5AFE"/>
    <w:rsid w:val="00CE64B3"/>
    <w:rsid w:val="00CE7817"/>
    <w:rsid w:val="00CE7A6D"/>
    <w:rsid w:val="00CF0F90"/>
    <w:rsid w:val="00CF27A0"/>
    <w:rsid w:val="00CF2939"/>
    <w:rsid w:val="00CF29F9"/>
    <w:rsid w:val="00CF3855"/>
    <w:rsid w:val="00CF4F4D"/>
    <w:rsid w:val="00CF6EB4"/>
    <w:rsid w:val="00D047E0"/>
    <w:rsid w:val="00D04B26"/>
    <w:rsid w:val="00D0537A"/>
    <w:rsid w:val="00D07798"/>
    <w:rsid w:val="00D07877"/>
    <w:rsid w:val="00D07B4F"/>
    <w:rsid w:val="00D10477"/>
    <w:rsid w:val="00D1168A"/>
    <w:rsid w:val="00D119EE"/>
    <w:rsid w:val="00D120F8"/>
    <w:rsid w:val="00D12AE0"/>
    <w:rsid w:val="00D13242"/>
    <w:rsid w:val="00D14337"/>
    <w:rsid w:val="00D14A8C"/>
    <w:rsid w:val="00D170E6"/>
    <w:rsid w:val="00D2045F"/>
    <w:rsid w:val="00D2065C"/>
    <w:rsid w:val="00D219C0"/>
    <w:rsid w:val="00D22F7A"/>
    <w:rsid w:val="00D25ABE"/>
    <w:rsid w:val="00D3018A"/>
    <w:rsid w:val="00D305DC"/>
    <w:rsid w:val="00D3134A"/>
    <w:rsid w:val="00D3749C"/>
    <w:rsid w:val="00D41C29"/>
    <w:rsid w:val="00D42E8C"/>
    <w:rsid w:val="00D43A7C"/>
    <w:rsid w:val="00D4464B"/>
    <w:rsid w:val="00D44E05"/>
    <w:rsid w:val="00D45F72"/>
    <w:rsid w:val="00D463A0"/>
    <w:rsid w:val="00D47B9A"/>
    <w:rsid w:val="00D50E2C"/>
    <w:rsid w:val="00D53896"/>
    <w:rsid w:val="00D53E8C"/>
    <w:rsid w:val="00D55492"/>
    <w:rsid w:val="00D5736A"/>
    <w:rsid w:val="00D57531"/>
    <w:rsid w:val="00D608A6"/>
    <w:rsid w:val="00D6114B"/>
    <w:rsid w:val="00D637D7"/>
    <w:rsid w:val="00D651F4"/>
    <w:rsid w:val="00D717D1"/>
    <w:rsid w:val="00D719B0"/>
    <w:rsid w:val="00D729FA"/>
    <w:rsid w:val="00D74E52"/>
    <w:rsid w:val="00D7539C"/>
    <w:rsid w:val="00D76844"/>
    <w:rsid w:val="00D76E2F"/>
    <w:rsid w:val="00D77383"/>
    <w:rsid w:val="00D77A04"/>
    <w:rsid w:val="00D77DAD"/>
    <w:rsid w:val="00D77E42"/>
    <w:rsid w:val="00D81A7A"/>
    <w:rsid w:val="00D831C9"/>
    <w:rsid w:val="00D8542D"/>
    <w:rsid w:val="00D85B94"/>
    <w:rsid w:val="00D86D18"/>
    <w:rsid w:val="00D87037"/>
    <w:rsid w:val="00D9095A"/>
    <w:rsid w:val="00D90BAA"/>
    <w:rsid w:val="00D91A26"/>
    <w:rsid w:val="00D927C4"/>
    <w:rsid w:val="00D92D7E"/>
    <w:rsid w:val="00D93BBF"/>
    <w:rsid w:val="00D94FFD"/>
    <w:rsid w:val="00D96551"/>
    <w:rsid w:val="00D96C1E"/>
    <w:rsid w:val="00DA0941"/>
    <w:rsid w:val="00DA0DB5"/>
    <w:rsid w:val="00DA1F3B"/>
    <w:rsid w:val="00DA27F3"/>
    <w:rsid w:val="00DA2E6E"/>
    <w:rsid w:val="00DA31A6"/>
    <w:rsid w:val="00DA4324"/>
    <w:rsid w:val="00DA64CA"/>
    <w:rsid w:val="00DA6AD2"/>
    <w:rsid w:val="00DA6EFC"/>
    <w:rsid w:val="00DA7478"/>
    <w:rsid w:val="00DB0DED"/>
    <w:rsid w:val="00DB12D2"/>
    <w:rsid w:val="00DB157B"/>
    <w:rsid w:val="00DB1E27"/>
    <w:rsid w:val="00DB26D5"/>
    <w:rsid w:val="00DB4250"/>
    <w:rsid w:val="00DB4AB7"/>
    <w:rsid w:val="00DB54C1"/>
    <w:rsid w:val="00DB6CDD"/>
    <w:rsid w:val="00DB6D46"/>
    <w:rsid w:val="00DC0657"/>
    <w:rsid w:val="00DC2447"/>
    <w:rsid w:val="00DC4912"/>
    <w:rsid w:val="00DC4E49"/>
    <w:rsid w:val="00DC51CA"/>
    <w:rsid w:val="00DC5F15"/>
    <w:rsid w:val="00DC72CB"/>
    <w:rsid w:val="00DC765C"/>
    <w:rsid w:val="00DD4EEA"/>
    <w:rsid w:val="00DD56EA"/>
    <w:rsid w:val="00DD633A"/>
    <w:rsid w:val="00DE0932"/>
    <w:rsid w:val="00DE41F8"/>
    <w:rsid w:val="00DE4B66"/>
    <w:rsid w:val="00DE561E"/>
    <w:rsid w:val="00DE5D59"/>
    <w:rsid w:val="00DE604D"/>
    <w:rsid w:val="00DE623C"/>
    <w:rsid w:val="00DE6DBF"/>
    <w:rsid w:val="00DF5221"/>
    <w:rsid w:val="00DF5857"/>
    <w:rsid w:val="00DF6190"/>
    <w:rsid w:val="00DF6449"/>
    <w:rsid w:val="00DF6B5E"/>
    <w:rsid w:val="00DF7F82"/>
    <w:rsid w:val="00E017A7"/>
    <w:rsid w:val="00E02831"/>
    <w:rsid w:val="00E03000"/>
    <w:rsid w:val="00E03C7A"/>
    <w:rsid w:val="00E047E4"/>
    <w:rsid w:val="00E06123"/>
    <w:rsid w:val="00E06D21"/>
    <w:rsid w:val="00E10C62"/>
    <w:rsid w:val="00E11C6E"/>
    <w:rsid w:val="00E141B6"/>
    <w:rsid w:val="00E14FAE"/>
    <w:rsid w:val="00E1651E"/>
    <w:rsid w:val="00E16526"/>
    <w:rsid w:val="00E17844"/>
    <w:rsid w:val="00E20281"/>
    <w:rsid w:val="00E2142B"/>
    <w:rsid w:val="00E21447"/>
    <w:rsid w:val="00E21C3F"/>
    <w:rsid w:val="00E21F27"/>
    <w:rsid w:val="00E22A18"/>
    <w:rsid w:val="00E25444"/>
    <w:rsid w:val="00E25735"/>
    <w:rsid w:val="00E27B15"/>
    <w:rsid w:val="00E3192B"/>
    <w:rsid w:val="00E31C02"/>
    <w:rsid w:val="00E31E09"/>
    <w:rsid w:val="00E322A9"/>
    <w:rsid w:val="00E3385C"/>
    <w:rsid w:val="00E354A3"/>
    <w:rsid w:val="00E37E2C"/>
    <w:rsid w:val="00E40621"/>
    <w:rsid w:val="00E40971"/>
    <w:rsid w:val="00E41363"/>
    <w:rsid w:val="00E42BBF"/>
    <w:rsid w:val="00E444F4"/>
    <w:rsid w:val="00E4524B"/>
    <w:rsid w:val="00E45D83"/>
    <w:rsid w:val="00E5070A"/>
    <w:rsid w:val="00E51DA6"/>
    <w:rsid w:val="00E53845"/>
    <w:rsid w:val="00E53BB8"/>
    <w:rsid w:val="00E53DB9"/>
    <w:rsid w:val="00E55611"/>
    <w:rsid w:val="00E5567F"/>
    <w:rsid w:val="00E556C4"/>
    <w:rsid w:val="00E571C5"/>
    <w:rsid w:val="00E57C8F"/>
    <w:rsid w:val="00E62043"/>
    <w:rsid w:val="00E639C8"/>
    <w:rsid w:val="00E64C23"/>
    <w:rsid w:val="00E65750"/>
    <w:rsid w:val="00E7273F"/>
    <w:rsid w:val="00E72A0D"/>
    <w:rsid w:val="00E73A93"/>
    <w:rsid w:val="00E74115"/>
    <w:rsid w:val="00E74380"/>
    <w:rsid w:val="00E76FFC"/>
    <w:rsid w:val="00E77591"/>
    <w:rsid w:val="00E77879"/>
    <w:rsid w:val="00E77B54"/>
    <w:rsid w:val="00E77CC2"/>
    <w:rsid w:val="00E806E9"/>
    <w:rsid w:val="00E8079E"/>
    <w:rsid w:val="00E80827"/>
    <w:rsid w:val="00E8305C"/>
    <w:rsid w:val="00E83A84"/>
    <w:rsid w:val="00E85CDC"/>
    <w:rsid w:val="00E86ECC"/>
    <w:rsid w:val="00E9018A"/>
    <w:rsid w:val="00E9096C"/>
    <w:rsid w:val="00E90A48"/>
    <w:rsid w:val="00E93373"/>
    <w:rsid w:val="00E9538F"/>
    <w:rsid w:val="00E9587A"/>
    <w:rsid w:val="00E961DF"/>
    <w:rsid w:val="00E97824"/>
    <w:rsid w:val="00EA011F"/>
    <w:rsid w:val="00EA0C75"/>
    <w:rsid w:val="00EA2096"/>
    <w:rsid w:val="00EA2252"/>
    <w:rsid w:val="00EA4237"/>
    <w:rsid w:val="00EA5921"/>
    <w:rsid w:val="00EA5EA8"/>
    <w:rsid w:val="00EA69CC"/>
    <w:rsid w:val="00EA74A0"/>
    <w:rsid w:val="00EB1857"/>
    <w:rsid w:val="00EB1F33"/>
    <w:rsid w:val="00EB3517"/>
    <w:rsid w:val="00EB4C5F"/>
    <w:rsid w:val="00EB5CE6"/>
    <w:rsid w:val="00EC041B"/>
    <w:rsid w:val="00EC1880"/>
    <w:rsid w:val="00EC285C"/>
    <w:rsid w:val="00EC400E"/>
    <w:rsid w:val="00EC5D74"/>
    <w:rsid w:val="00EC6B0E"/>
    <w:rsid w:val="00ED0A01"/>
    <w:rsid w:val="00ED0C68"/>
    <w:rsid w:val="00ED3DDC"/>
    <w:rsid w:val="00ED4373"/>
    <w:rsid w:val="00ED5C66"/>
    <w:rsid w:val="00ED78E7"/>
    <w:rsid w:val="00ED7FC5"/>
    <w:rsid w:val="00EE00A0"/>
    <w:rsid w:val="00EE16C2"/>
    <w:rsid w:val="00EE1BC7"/>
    <w:rsid w:val="00EE2D44"/>
    <w:rsid w:val="00EE3D8A"/>
    <w:rsid w:val="00EE3F7F"/>
    <w:rsid w:val="00EE7315"/>
    <w:rsid w:val="00EF05EF"/>
    <w:rsid w:val="00EF1B92"/>
    <w:rsid w:val="00EF4362"/>
    <w:rsid w:val="00EF441A"/>
    <w:rsid w:val="00EF4F42"/>
    <w:rsid w:val="00EF5AF1"/>
    <w:rsid w:val="00F016DA"/>
    <w:rsid w:val="00F05CA0"/>
    <w:rsid w:val="00F06025"/>
    <w:rsid w:val="00F1383C"/>
    <w:rsid w:val="00F13FBC"/>
    <w:rsid w:val="00F1584E"/>
    <w:rsid w:val="00F174B6"/>
    <w:rsid w:val="00F200A7"/>
    <w:rsid w:val="00F21D1E"/>
    <w:rsid w:val="00F2416B"/>
    <w:rsid w:val="00F2495D"/>
    <w:rsid w:val="00F25171"/>
    <w:rsid w:val="00F25715"/>
    <w:rsid w:val="00F27BC3"/>
    <w:rsid w:val="00F31BDA"/>
    <w:rsid w:val="00F35D9A"/>
    <w:rsid w:val="00F37231"/>
    <w:rsid w:val="00F37D9A"/>
    <w:rsid w:val="00F40407"/>
    <w:rsid w:val="00F40E4E"/>
    <w:rsid w:val="00F41224"/>
    <w:rsid w:val="00F42B78"/>
    <w:rsid w:val="00F449A4"/>
    <w:rsid w:val="00F4526C"/>
    <w:rsid w:val="00F45D9E"/>
    <w:rsid w:val="00F4688C"/>
    <w:rsid w:val="00F46981"/>
    <w:rsid w:val="00F47C79"/>
    <w:rsid w:val="00F51973"/>
    <w:rsid w:val="00F53D3A"/>
    <w:rsid w:val="00F57615"/>
    <w:rsid w:val="00F61217"/>
    <w:rsid w:val="00F61E3A"/>
    <w:rsid w:val="00F66559"/>
    <w:rsid w:val="00F67529"/>
    <w:rsid w:val="00F67A89"/>
    <w:rsid w:val="00F708F9"/>
    <w:rsid w:val="00F7265D"/>
    <w:rsid w:val="00F72C71"/>
    <w:rsid w:val="00F732CD"/>
    <w:rsid w:val="00F74950"/>
    <w:rsid w:val="00F75D41"/>
    <w:rsid w:val="00F776BC"/>
    <w:rsid w:val="00F81847"/>
    <w:rsid w:val="00F824C0"/>
    <w:rsid w:val="00F82992"/>
    <w:rsid w:val="00F82B67"/>
    <w:rsid w:val="00F8676F"/>
    <w:rsid w:val="00F86C6C"/>
    <w:rsid w:val="00F87133"/>
    <w:rsid w:val="00F87AC0"/>
    <w:rsid w:val="00F87EC8"/>
    <w:rsid w:val="00F918F3"/>
    <w:rsid w:val="00F9423E"/>
    <w:rsid w:val="00FA2EDF"/>
    <w:rsid w:val="00FA5CFF"/>
    <w:rsid w:val="00FB063D"/>
    <w:rsid w:val="00FB067B"/>
    <w:rsid w:val="00FB11D1"/>
    <w:rsid w:val="00FB3992"/>
    <w:rsid w:val="00FB3CC9"/>
    <w:rsid w:val="00FB5E29"/>
    <w:rsid w:val="00FB6A97"/>
    <w:rsid w:val="00FB7FF2"/>
    <w:rsid w:val="00FC02BC"/>
    <w:rsid w:val="00FC19B5"/>
    <w:rsid w:val="00FC2579"/>
    <w:rsid w:val="00FC28C3"/>
    <w:rsid w:val="00FC3361"/>
    <w:rsid w:val="00FC46D8"/>
    <w:rsid w:val="00FC53A6"/>
    <w:rsid w:val="00FC6DAA"/>
    <w:rsid w:val="00FC7B44"/>
    <w:rsid w:val="00FC7E8D"/>
    <w:rsid w:val="00FD1189"/>
    <w:rsid w:val="00FD1854"/>
    <w:rsid w:val="00FD5B01"/>
    <w:rsid w:val="00FD6EB0"/>
    <w:rsid w:val="00FE04BC"/>
    <w:rsid w:val="00FE0570"/>
    <w:rsid w:val="00FE13BF"/>
    <w:rsid w:val="00FE1719"/>
    <w:rsid w:val="00FE25A6"/>
    <w:rsid w:val="00FE33BD"/>
    <w:rsid w:val="00FE41A5"/>
    <w:rsid w:val="00FE41AF"/>
    <w:rsid w:val="00FE4F6D"/>
    <w:rsid w:val="00FE61FB"/>
    <w:rsid w:val="00FE6827"/>
    <w:rsid w:val="00FE7CE8"/>
    <w:rsid w:val="00FF011D"/>
    <w:rsid w:val="00FF03FE"/>
    <w:rsid w:val="00FF1317"/>
    <w:rsid w:val="00FF2736"/>
    <w:rsid w:val="00FF2D2B"/>
    <w:rsid w:val="00FF47F0"/>
    <w:rsid w:val="00FF5280"/>
    <w:rsid w:val="00FF5A45"/>
    <w:rsid w:val="00FF7628"/>
    <w:rsid w:val="00FF767D"/>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51490"/>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502746"/>
    <w:pPr>
      <w:keepNext/>
      <w:keepLines/>
      <w:numPr>
        <w:numId w:val="2"/>
      </w:numPr>
      <w:spacing w:before="520" w:after="480"/>
      <w:outlineLvl w:val="0"/>
    </w:pPr>
    <w:rPr>
      <w:b/>
      <w:bCs/>
      <w:color w:val="AF272F"/>
      <w:sz w:val="36"/>
      <w:szCs w:val="32"/>
    </w:rPr>
  </w:style>
  <w:style w:type="paragraph" w:styleId="Heading2">
    <w:name w:val="heading 2"/>
    <w:basedOn w:val="Normal"/>
    <w:next w:val="Normal"/>
    <w:link w:val="Heading2Char"/>
    <w:uiPriority w:val="9"/>
    <w:qFormat/>
    <w:rsid w:val="00502746"/>
    <w:pPr>
      <w:keepNext/>
      <w:keepLines/>
      <w:numPr>
        <w:ilvl w:val="1"/>
        <w:numId w:val="2"/>
      </w:numPr>
      <w:spacing w:before="400"/>
      <w:outlineLvl w:val="1"/>
    </w:pPr>
    <w:rPr>
      <w:bCs/>
      <w:color w:val="D51F35"/>
      <w:sz w:val="28"/>
      <w:szCs w:val="26"/>
    </w:rPr>
  </w:style>
  <w:style w:type="paragraph" w:styleId="Heading3">
    <w:name w:val="heading 3"/>
    <w:basedOn w:val="Normal"/>
    <w:next w:val="Normal"/>
    <w:link w:val="Heading3Char"/>
    <w:uiPriority w:val="9"/>
    <w:qFormat/>
    <w:rsid w:val="00502746"/>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502746"/>
    <w:pPr>
      <w:keepNext/>
      <w:keepLines/>
      <w:numPr>
        <w:ilvl w:val="5"/>
        <w:numId w:val="2"/>
      </w:numPr>
      <w:spacing w:before="200" w:after="0"/>
      <w:outlineLvl w:val="5"/>
    </w:pPr>
    <w:rPr>
      <w:rFonts w:asciiTheme="majorHAnsi" w:eastAsiaTheme="majorEastAsia" w:hAnsiTheme="majorHAnsi" w:cstheme="majorBidi"/>
      <w:i/>
      <w:iCs/>
      <w:color w:val="AF272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746"/>
    <w:rPr>
      <w:rFonts w:ascii="Arial" w:eastAsia="Times New Roman" w:hAnsi="Arial" w:cs="Times New Roman"/>
      <w:b/>
      <w:bCs/>
      <w:color w:val="AF272F"/>
      <w:sz w:val="36"/>
      <w:szCs w:val="32"/>
    </w:rPr>
  </w:style>
  <w:style w:type="character" w:customStyle="1" w:styleId="Heading2Char">
    <w:name w:val="Heading 2 Char"/>
    <w:basedOn w:val="DefaultParagraphFont"/>
    <w:link w:val="Heading2"/>
    <w:uiPriority w:val="9"/>
    <w:rsid w:val="00502746"/>
    <w:rPr>
      <w:rFonts w:ascii="Arial" w:eastAsia="Times New Roman" w:hAnsi="Arial" w:cs="Times New Roman"/>
      <w:bCs/>
      <w:color w:val="D51F35"/>
      <w:sz w:val="28"/>
      <w:szCs w:val="26"/>
    </w:rPr>
  </w:style>
  <w:style w:type="character" w:customStyle="1" w:styleId="Heading3Char">
    <w:name w:val="Heading 3 Char"/>
    <w:basedOn w:val="DefaultParagraphFont"/>
    <w:link w:val="Heading3"/>
    <w:uiPriority w:val="9"/>
    <w:rsid w:val="00502746"/>
    <w:rPr>
      <w:rFonts w:ascii="Arial" w:eastAsia="Times New Roman" w:hAnsi="Arial" w:cs="Times New Roman"/>
      <w:b/>
      <w:bCs/>
      <w:color w:val="53565A"/>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502746"/>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502746"/>
    <w:rPr>
      <w:rFonts w:asciiTheme="majorHAnsi" w:eastAsiaTheme="majorEastAsia" w:hAnsiTheme="majorHAnsi" w:cstheme="majorBidi"/>
      <w:i/>
      <w:iCs/>
      <w:color w:val="AF272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502746"/>
    <w:pPr>
      <w:spacing w:before="0" w:line="420" w:lineRule="exact"/>
      <w:jc w:val="right"/>
    </w:pPr>
    <w:rPr>
      <w:b/>
      <w:caps/>
      <w:noProof/>
      <w:color w:val="FFFFFF"/>
      <w:sz w:val="44"/>
      <w:lang w:val="en-GB" w:eastAsia="en-GB"/>
    </w:rPr>
  </w:style>
  <w:style w:type="character" w:customStyle="1" w:styleId="TitleChar">
    <w:name w:val="Title Char"/>
    <w:basedOn w:val="DefaultParagraphFont"/>
    <w:link w:val="Title"/>
    <w:uiPriority w:val="10"/>
    <w:rsid w:val="00502746"/>
    <w:rPr>
      <w:rFonts w:ascii="Arial" w:eastAsia="Times New Roman" w:hAnsi="Arial" w:cs="Times New Roman"/>
      <w:b/>
      <w:caps/>
      <w:noProof/>
      <w:color w:val="FFFFFF"/>
      <w:sz w:val="44"/>
      <w:szCs w:val="20"/>
      <w:lang w:val="en-GB" w:eastAsia="en-GB"/>
    </w:rPr>
  </w:style>
  <w:style w:type="paragraph" w:styleId="Subtitle">
    <w:name w:val="Subtitle"/>
    <w:basedOn w:val="Normal"/>
    <w:next w:val="Normal"/>
    <w:link w:val="SubtitleChar"/>
    <w:uiPriority w:val="11"/>
    <w:qFormat/>
    <w:rsid w:val="00AB0161"/>
    <w:pPr>
      <w:spacing w:before="180"/>
      <w:jc w:val="right"/>
    </w:pPr>
    <w:rPr>
      <w:color w:val="FFFFFF"/>
      <w:sz w:val="32"/>
    </w:rPr>
  </w:style>
  <w:style w:type="character" w:customStyle="1" w:styleId="SubtitleChar">
    <w:name w:val="Subtitle Char"/>
    <w:basedOn w:val="DefaultParagraphFont"/>
    <w:link w:val="Subtitle"/>
    <w:uiPriority w:val="11"/>
    <w:rsid w:val="00AB0161"/>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SubtleEmphasis">
    <w:name w:val="Subtle Emphasis"/>
    <w:basedOn w:val="DefaultParagraphFont"/>
    <w:uiPriority w:val="19"/>
    <w:qFormat/>
    <w:rsid w:val="00502746"/>
    <w:rPr>
      <w:i/>
      <w:iCs/>
      <w:color w:val="D51F35"/>
    </w:rPr>
  </w:style>
  <w:style w:type="character" w:styleId="IntenseEmphasis">
    <w:name w:val="Intense Emphasis"/>
    <w:basedOn w:val="DefaultParagraphFont"/>
    <w:uiPriority w:val="21"/>
    <w:qFormat/>
    <w:rsid w:val="00502746"/>
    <w:rPr>
      <w:i/>
      <w:iCs/>
      <w:color w:val="D51F35"/>
    </w:rPr>
  </w:style>
  <w:style w:type="paragraph" w:styleId="Quote">
    <w:name w:val="Quote"/>
    <w:basedOn w:val="Normal"/>
    <w:next w:val="Normal"/>
    <w:link w:val="QuoteChar"/>
    <w:uiPriority w:val="29"/>
    <w:qFormat/>
    <w:rsid w:val="00502746"/>
    <w:pPr>
      <w:spacing w:before="200" w:after="160"/>
      <w:ind w:left="864" w:right="864"/>
      <w:jc w:val="center"/>
    </w:pPr>
    <w:rPr>
      <w:i/>
      <w:iCs/>
      <w:color w:val="AF272F"/>
    </w:rPr>
  </w:style>
  <w:style w:type="character" w:customStyle="1" w:styleId="QuoteChar">
    <w:name w:val="Quote Char"/>
    <w:basedOn w:val="DefaultParagraphFont"/>
    <w:link w:val="Quote"/>
    <w:uiPriority w:val="29"/>
    <w:rsid w:val="00502746"/>
    <w:rPr>
      <w:rFonts w:ascii="Arial" w:eastAsia="Times New Roman" w:hAnsi="Arial" w:cs="Times New Roman"/>
      <w:i/>
      <w:iCs/>
      <w:color w:val="AF272F"/>
      <w:sz w:val="18"/>
      <w:szCs w:val="20"/>
    </w:rPr>
  </w:style>
  <w:style w:type="character" w:styleId="SubtleReference">
    <w:name w:val="Subtle Reference"/>
    <w:basedOn w:val="DefaultParagraphFont"/>
    <w:uiPriority w:val="31"/>
    <w:qFormat/>
    <w:rsid w:val="00502746"/>
    <w:rPr>
      <w:smallCaps/>
      <w:color w:val="AF272F"/>
    </w:rPr>
  </w:style>
  <w:style w:type="character" w:styleId="IntenseReference">
    <w:name w:val="Intense Reference"/>
    <w:basedOn w:val="DefaultParagraphFont"/>
    <w:uiPriority w:val="32"/>
    <w:qFormat/>
    <w:rsid w:val="00502746"/>
    <w:rPr>
      <w:b/>
      <w:bCs/>
      <w:smallCaps/>
      <w:color w:val="AF272F"/>
      <w:spacing w:val="5"/>
    </w:rPr>
  </w:style>
  <w:style w:type="paragraph" w:customStyle="1" w:styleId="Bullet">
    <w:name w:val="Bullet"/>
    <w:basedOn w:val="Normal"/>
    <w:qFormat/>
    <w:rsid w:val="00701534"/>
    <w:pPr>
      <w:numPr>
        <w:numId w:val="4"/>
      </w:numPr>
      <w:spacing w:before="0" w:after="120"/>
    </w:pPr>
    <w:rPr>
      <w:rFonts w:ascii="Tahoma" w:eastAsia="MS Mincho" w:hAnsi="Tahoma"/>
      <w:color w:val="auto"/>
      <w:sz w:val="24"/>
      <w:szCs w:val="24"/>
      <w:lang w:val="en-US"/>
    </w:rPr>
  </w:style>
  <w:style w:type="character" w:styleId="FootnoteReference">
    <w:name w:val="footnote reference"/>
    <w:uiPriority w:val="99"/>
    <w:unhideWhenUsed/>
    <w:rsid w:val="00701534"/>
    <w:rPr>
      <w:vertAlign w:val="superscript"/>
    </w:rPr>
  </w:style>
  <w:style w:type="table" w:styleId="ListTable3">
    <w:name w:val="List Table 3"/>
    <w:basedOn w:val="TableNormal"/>
    <w:uiPriority w:val="48"/>
    <w:rsid w:val="00B102D3"/>
    <w:pPr>
      <w:spacing w:after="0" w:line="240" w:lineRule="auto"/>
    </w:pPr>
    <w:tblPr>
      <w:tblStyleRowBandSize w:val="1"/>
      <w:tblStyleColBandSize w:val="1"/>
      <w:tblBorders>
        <w:top w:val="single" w:sz="4" w:space="0" w:color="201547" w:themeColor="text1"/>
        <w:left w:val="single" w:sz="4" w:space="0" w:color="201547" w:themeColor="text1"/>
        <w:bottom w:val="single" w:sz="4" w:space="0" w:color="201547" w:themeColor="text1"/>
        <w:right w:val="single" w:sz="4" w:space="0" w:color="201547" w:themeColor="text1"/>
      </w:tblBorders>
    </w:tblPr>
    <w:tblStylePr w:type="firstRow">
      <w:rPr>
        <w:b/>
        <w:bCs/>
        <w:color w:val="FFFFFF" w:themeColor="background1"/>
      </w:rPr>
      <w:tblPr/>
      <w:tcPr>
        <w:shd w:val="clear" w:color="auto" w:fill="201547" w:themeFill="text1"/>
      </w:tcPr>
    </w:tblStylePr>
    <w:tblStylePr w:type="lastRow">
      <w:rPr>
        <w:b/>
        <w:bCs/>
      </w:rPr>
      <w:tblPr/>
      <w:tcPr>
        <w:tcBorders>
          <w:top w:val="double" w:sz="4" w:space="0" w:color="201547"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text1"/>
          <w:right w:val="single" w:sz="4" w:space="0" w:color="201547" w:themeColor="text1"/>
        </w:tcBorders>
      </w:tcPr>
    </w:tblStylePr>
    <w:tblStylePr w:type="band1Horz">
      <w:tblPr/>
      <w:tcPr>
        <w:tcBorders>
          <w:top w:val="single" w:sz="4" w:space="0" w:color="201547" w:themeColor="text1"/>
          <w:bottom w:val="single" w:sz="4" w:space="0" w:color="20154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text1"/>
          <w:left w:val="nil"/>
        </w:tcBorders>
      </w:tcPr>
    </w:tblStylePr>
    <w:tblStylePr w:type="swCell">
      <w:tblPr/>
      <w:tcPr>
        <w:tcBorders>
          <w:top w:val="double" w:sz="4" w:space="0" w:color="201547" w:themeColor="text1"/>
          <w:right w:val="nil"/>
        </w:tcBorders>
      </w:tcPr>
    </w:tblStylePr>
  </w:style>
  <w:style w:type="character" w:styleId="UnresolvedMention">
    <w:name w:val="Unresolved Mention"/>
    <w:basedOn w:val="DefaultParagraphFont"/>
    <w:uiPriority w:val="99"/>
    <w:rsid w:val="00351206"/>
    <w:rPr>
      <w:color w:val="808080"/>
      <w:shd w:val="clear" w:color="auto" w:fill="E6E6E6"/>
    </w:rPr>
  </w:style>
  <w:style w:type="paragraph" w:customStyle="1" w:styleId="bodycopy">
    <w:name w:val="# body copy"/>
    <w:basedOn w:val="Normal"/>
    <w:qFormat/>
    <w:rsid w:val="00351206"/>
    <w:pPr>
      <w:spacing w:before="0" w:after="120" w:line="285" w:lineRule="auto"/>
    </w:pPr>
    <w:rPr>
      <w:rFonts w:cs="Arial"/>
      <w:kern w:val="28"/>
      <w:sz w:val="20"/>
      <w:lang w:eastAsia="en-AU"/>
      <w14:ligatures w14:val="standard"/>
      <w14:cntxtAlts/>
    </w:rPr>
  </w:style>
  <w:style w:type="paragraph" w:customStyle="1" w:styleId="dotpoints">
    <w:name w:val="# dot points"/>
    <w:basedOn w:val="Normal"/>
    <w:link w:val="dotpointsChar"/>
    <w:qFormat/>
    <w:rsid w:val="00351206"/>
    <w:pPr>
      <w:keepLines/>
      <w:numPr>
        <w:numId w:val="7"/>
      </w:numPr>
      <w:spacing w:before="180" w:after="180" w:line="300" w:lineRule="auto"/>
      <w:ind w:left="1077" w:hanging="357"/>
      <w:contextualSpacing/>
    </w:pPr>
    <w:rPr>
      <w:rFonts w:cs="Arial"/>
      <w:sz w:val="20"/>
    </w:rPr>
  </w:style>
  <w:style w:type="character" w:customStyle="1" w:styleId="dotpointsChar">
    <w:name w:val="# dot points Char"/>
    <w:basedOn w:val="DefaultParagraphFont"/>
    <w:link w:val="dotpoints"/>
    <w:rsid w:val="00351206"/>
    <w:rPr>
      <w:rFonts w:ascii="Arial" w:eastAsia="Times New Roman" w:hAnsi="Arial" w:cs="Arial"/>
      <w:color w:val="53565A"/>
      <w:sz w:val="20"/>
      <w:szCs w:val="20"/>
    </w:rPr>
  </w:style>
  <w:style w:type="paragraph" w:customStyle="1" w:styleId="Default">
    <w:name w:val="Default"/>
    <w:rsid w:val="008B0AC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4C78"/>
    <w:rPr>
      <w:sz w:val="16"/>
      <w:szCs w:val="16"/>
    </w:rPr>
  </w:style>
  <w:style w:type="paragraph" w:styleId="CommentText">
    <w:name w:val="annotation text"/>
    <w:basedOn w:val="Normal"/>
    <w:link w:val="CommentTextChar"/>
    <w:uiPriority w:val="99"/>
    <w:semiHidden/>
    <w:unhideWhenUsed/>
    <w:rsid w:val="00844C78"/>
    <w:rPr>
      <w:sz w:val="20"/>
    </w:rPr>
  </w:style>
  <w:style w:type="character" w:customStyle="1" w:styleId="CommentTextChar">
    <w:name w:val="Comment Text Char"/>
    <w:basedOn w:val="DefaultParagraphFont"/>
    <w:link w:val="CommentText"/>
    <w:uiPriority w:val="99"/>
    <w:semiHidden/>
    <w:rsid w:val="00844C78"/>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844C78"/>
    <w:rPr>
      <w:b/>
      <w:bCs/>
    </w:rPr>
  </w:style>
  <w:style w:type="character" w:customStyle="1" w:styleId="CommentSubjectChar">
    <w:name w:val="Comment Subject Char"/>
    <w:basedOn w:val="CommentTextChar"/>
    <w:link w:val="CommentSubject"/>
    <w:uiPriority w:val="99"/>
    <w:semiHidden/>
    <w:rsid w:val="00844C78"/>
    <w:rPr>
      <w:rFonts w:ascii="Arial" w:eastAsia="Times New Roman" w:hAnsi="Arial" w:cs="Times New Roman"/>
      <w:b/>
      <w:bCs/>
      <w:color w:val="53565A"/>
      <w:sz w:val="20"/>
      <w:szCs w:val="20"/>
    </w:rPr>
  </w:style>
  <w:style w:type="paragraph" w:customStyle="1" w:styleId="TableBullet">
    <w:name w:val="Table Bullet"/>
    <w:basedOn w:val="Normal"/>
    <w:qFormat/>
    <w:rsid w:val="00D3134A"/>
    <w:pPr>
      <w:numPr>
        <w:numId w:val="13"/>
      </w:numPr>
      <w:spacing w:before="0" w:after="120"/>
      <w:ind w:left="346" w:hanging="346"/>
    </w:pPr>
    <w:rPr>
      <w:rFonts w:eastAsia="MS Mincho" w:cs="Arial"/>
      <w:color w:val="auto"/>
      <w:spacing w:val="-4"/>
      <w:sz w:val="20"/>
      <w:szCs w:val="24"/>
      <w:lang w:val="en-US"/>
    </w:rPr>
  </w:style>
  <w:style w:type="paragraph" w:styleId="Revision">
    <w:name w:val="Revision"/>
    <w:hidden/>
    <w:uiPriority w:val="99"/>
    <w:semiHidden/>
    <w:rsid w:val="00B753BC"/>
    <w:pPr>
      <w:spacing w:after="0" w:line="240" w:lineRule="auto"/>
    </w:pPr>
    <w:rPr>
      <w:rFonts w:ascii="Arial" w:eastAsia="Times New Roman" w:hAnsi="Arial" w:cs="Times New Roman"/>
      <w:color w:val="53565A"/>
      <w:sz w:val="18"/>
      <w:szCs w:val="20"/>
    </w:rPr>
  </w:style>
  <w:style w:type="table" w:customStyle="1" w:styleId="TableGrid1">
    <w:name w:val="Table Grid1"/>
    <w:basedOn w:val="TableNormal"/>
    <w:next w:val="TableGrid"/>
    <w:uiPriority w:val="39"/>
    <w:rsid w:val="00EC188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235">
      <w:bodyDiv w:val="1"/>
      <w:marLeft w:val="0"/>
      <w:marRight w:val="0"/>
      <w:marTop w:val="0"/>
      <w:marBottom w:val="0"/>
      <w:divBdr>
        <w:top w:val="none" w:sz="0" w:space="0" w:color="auto"/>
        <w:left w:val="none" w:sz="0" w:space="0" w:color="auto"/>
        <w:bottom w:val="none" w:sz="0" w:space="0" w:color="auto"/>
        <w:right w:val="none" w:sz="0" w:space="0" w:color="auto"/>
      </w:divBdr>
    </w:div>
    <w:div w:id="682123874">
      <w:bodyDiv w:val="1"/>
      <w:marLeft w:val="0"/>
      <w:marRight w:val="0"/>
      <w:marTop w:val="0"/>
      <w:marBottom w:val="0"/>
      <w:divBdr>
        <w:top w:val="none" w:sz="0" w:space="0" w:color="auto"/>
        <w:left w:val="none" w:sz="0" w:space="0" w:color="auto"/>
        <w:bottom w:val="none" w:sz="0" w:space="0" w:color="auto"/>
        <w:right w:val="none" w:sz="0" w:space="0" w:color="auto"/>
      </w:divBdr>
      <w:divsChild>
        <w:div w:id="291710453">
          <w:marLeft w:val="0"/>
          <w:marRight w:val="0"/>
          <w:marTop w:val="1500"/>
          <w:marBottom w:val="0"/>
          <w:divBdr>
            <w:top w:val="none" w:sz="0" w:space="0" w:color="auto"/>
            <w:left w:val="none" w:sz="0" w:space="0" w:color="auto"/>
            <w:bottom w:val="none" w:sz="0" w:space="0" w:color="auto"/>
            <w:right w:val="none" w:sz="0" w:space="0" w:color="auto"/>
          </w:divBdr>
          <w:divsChild>
            <w:div w:id="1266226538">
              <w:marLeft w:val="0"/>
              <w:marRight w:val="0"/>
              <w:marTop w:val="0"/>
              <w:marBottom w:val="0"/>
              <w:divBdr>
                <w:top w:val="none" w:sz="0" w:space="0" w:color="auto"/>
                <w:left w:val="none" w:sz="0" w:space="0" w:color="auto"/>
                <w:bottom w:val="none" w:sz="0" w:space="0" w:color="auto"/>
                <w:right w:val="none" w:sz="0" w:space="0" w:color="auto"/>
              </w:divBdr>
              <w:divsChild>
                <w:div w:id="396368399">
                  <w:marLeft w:val="0"/>
                  <w:marRight w:val="0"/>
                  <w:marTop w:val="0"/>
                  <w:marBottom w:val="0"/>
                  <w:divBdr>
                    <w:top w:val="none" w:sz="0" w:space="0" w:color="auto"/>
                    <w:left w:val="none" w:sz="0" w:space="0" w:color="auto"/>
                    <w:bottom w:val="none" w:sz="0" w:space="0" w:color="auto"/>
                    <w:right w:val="none" w:sz="0" w:space="0" w:color="auto"/>
                  </w:divBdr>
                  <w:divsChild>
                    <w:div w:id="1660159320">
                      <w:marLeft w:val="0"/>
                      <w:marRight w:val="0"/>
                      <w:marTop w:val="0"/>
                      <w:marBottom w:val="0"/>
                      <w:divBdr>
                        <w:top w:val="none" w:sz="0" w:space="0" w:color="auto"/>
                        <w:left w:val="none" w:sz="0" w:space="0" w:color="auto"/>
                        <w:bottom w:val="none" w:sz="0" w:space="0" w:color="auto"/>
                        <w:right w:val="none" w:sz="0" w:space="0" w:color="auto"/>
                      </w:divBdr>
                      <w:divsChild>
                        <w:div w:id="2064059222">
                          <w:marLeft w:val="0"/>
                          <w:marRight w:val="0"/>
                          <w:marTop w:val="0"/>
                          <w:marBottom w:val="0"/>
                          <w:divBdr>
                            <w:top w:val="none" w:sz="0" w:space="0" w:color="auto"/>
                            <w:left w:val="none" w:sz="0" w:space="0" w:color="auto"/>
                            <w:bottom w:val="none" w:sz="0" w:space="0" w:color="auto"/>
                            <w:right w:val="none" w:sz="0" w:space="0" w:color="auto"/>
                          </w:divBdr>
                          <w:divsChild>
                            <w:div w:id="606235892">
                              <w:marLeft w:val="-225"/>
                              <w:marRight w:val="-225"/>
                              <w:marTop w:val="0"/>
                              <w:marBottom w:val="0"/>
                              <w:divBdr>
                                <w:top w:val="none" w:sz="0" w:space="0" w:color="auto"/>
                                <w:left w:val="none" w:sz="0" w:space="0" w:color="auto"/>
                                <w:bottom w:val="none" w:sz="0" w:space="0" w:color="auto"/>
                                <w:right w:val="none" w:sz="0" w:space="0" w:color="auto"/>
                              </w:divBdr>
                              <w:divsChild>
                                <w:div w:id="3003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56808">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71343980">
      <w:bodyDiv w:val="1"/>
      <w:marLeft w:val="0"/>
      <w:marRight w:val="0"/>
      <w:marTop w:val="0"/>
      <w:marBottom w:val="0"/>
      <w:divBdr>
        <w:top w:val="none" w:sz="0" w:space="0" w:color="auto"/>
        <w:left w:val="none" w:sz="0" w:space="0" w:color="auto"/>
        <w:bottom w:val="none" w:sz="0" w:space="0" w:color="auto"/>
        <w:right w:val="none" w:sz="0" w:space="0" w:color="auto"/>
      </w:divBdr>
    </w:div>
    <w:div w:id="1405452164">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ocaljobsfirst.vic.gov.au" TargetMode="External"/><Relationship Id="rId26" Type="http://schemas.openxmlformats.org/officeDocument/2006/relationships/hyperlink" Target="http://www.localjobsfirst.vic.gov.au/key-document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cnvic.force.com/s/login/?ec=302&amp;startURL=%2Fs%2F" TargetMode="External"/><Relationship Id="rId34" Type="http://schemas.openxmlformats.org/officeDocument/2006/relationships/hyperlink" Target="https://www.rdv.vic.gov.au/victorias-regions/latrobe" TargetMode="External"/><Relationship Id="rId42" Type="http://schemas.openxmlformats.org/officeDocument/2006/relationships/hyperlink" Target="http://www.localjobsfirst.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ocaljobsfirst.vic.gov.au/key-documents" TargetMode="External"/><Relationship Id="rId25" Type="http://schemas.openxmlformats.org/officeDocument/2006/relationships/hyperlink" Target="http://www.localjobsfirst.vic.gov.au" TargetMode="External"/><Relationship Id="rId33" Type="http://schemas.openxmlformats.org/officeDocument/2006/relationships/hyperlink" Target="https://www.rdv.vic.gov.au/victorias-regions/horsham" TargetMode="External"/><Relationship Id="rId38" Type="http://schemas.openxmlformats.org/officeDocument/2006/relationships/hyperlink" Target="https://www.rdv.vic.gov.au/victorias-regions/wodonga" TargetMode="External"/><Relationship Id="rId2" Type="http://schemas.openxmlformats.org/officeDocument/2006/relationships/customXml" Target="../customXml/item2.xml"/><Relationship Id="rId16" Type="http://schemas.openxmlformats.org/officeDocument/2006/relationships/hyperlink" Target="https://icnvic.force.com/s/login/?ec=302&amp;startURL=%2Fs%2F" TargetMode="External"/><Relationship Id="rId20" Type="http://schemas.openxmlformats.org/officeDocument/2006/relationships/hyperlink" Target="https://jobs.vic.gov.au/" TargetMode="External"/><Relationship Id="rId29" Type="http://schemas.openxmlformats.org/officeDocument/2006/relationships/hyperlink" Target="https://www.rdv.vic.gov.au/victorias-regions/ballarat" TargetMode="External"/><Relationship Id="rId41" Type="http://schemas.openxmlformats.org/officeDocument/2006/relationships/hyperlink" Target="mailto:localjobsfirst@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cnvic.force.com/s/login/?ec=302&amp;startURL=%2Fs%2F" TargetMode="External"/><Relationship Id="rId32" Type="http://schemas.openxmlformats.org/officeDocument/2006/relationships/hyperlink" Target="https://www.rdv.vic.gov.au/victorias-regions/shepparton" TargetMode="External"/><Relationship Id="rId37" Type="http://schemas.openxmlformats.org/officeDocument/2006/relationships/hyperlink" Target="https://www.rdv.vic.gov.au/victorias-regions/warrnamboo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ocaljobsfirst.vic.gov.au/" TargetMode="External"/><Relationship Id="rId23" Type="http://schemas.openxmlformats.org/officeDocument/2006/relationships/hyperlink" Target="http://www.localjobsfirst.vic.gov.au/" TargetMode="External"/><Relationship Id="rId28" Type="http://schemas.openxmlformats.org/officeDocument/2006/relationships/hyperlink" Target="https://www.rdv.vic.gov.au/rdv-act-2002" TargetMode="External"/><Relationship Id="rId36" Type="http://schemas.openxmlformats.org/officeDocument/2006/relationships/hyperlink" Target="https://www.rdv.vic.gov.au/victorias-regions/wangaratta" TargetMode="External"/><Relationship Id="rId10" Type="http://schemas.openxmlformats.org/officeDocument/2006/relationships/endnotes" Target="endnotes.xml"/><Relationship Id="rId19" Type="http://schemas.openxmlformats.org/officeDocument/2006/relationships/hyperlink" Target="https://icnvic.force.com/s/login/?ec=302&amp;startURL=%2Fs%2F" TargetMode="External"/><Relationship Id="rId31" Type="http://schemas.openxmlformats.org/officeDocument/2006/relationships/hyperlink" Target="https://www.rdv.vic.gov.au/victorias-regions/geelo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ocaljobsfirst.vic.gov.au/key-documents" TargetMode="External"/><Relationship Id="rId27" Type="http://schemas.openxmlformats.org/officeDocument/2006/relationships/hyperlink" Target="https://www.localjobsfirst.vic.gov.au/local-jobs-first-commissioner" TargetMode="External"/><Relationship Id="rId30" Type="http://schemas.openxmlformats.org/officeDocument/2006/relationships/hyperlink" Target="https://www.rdv.vic.gov.au/victorias-regions/bendigo" TargetMode="External"/><Relationship Id="rId35" Type="http://schemas.openxmlformats.org/officeDocument/2006/relationships/hyperlink" Target="https://www.rdv.vic.gov.au/victorias-regions/mildura"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Executive Director - Industry Participation &amp; Advanced Manufacturing</Recommender1jobtitle>
    <Recommender4jobtitle xmlns="1f5b8516-1216-4929-a6bb-f7b72c32bd97">Associate Secretary</Recommender4jobtitle>
    <Recommender5fullname xmlns="1f5b8516-1216-4929-a6bb-f7b72c32bd97" xsi:nil="true"/>
    <Recommender8fullname xmlns="1f5b8516-1216-4929-a6bb-f7b72c32bd97" xsi:nil="true"/>
    <DecisionMakerDueDate xmlns="1f5b8516-1216-4929-a6bb-f7b72c32bd97">2020-04-14T14:00:00+00:00</DecisionMakerDueDate>
    <Recommender4date xmlns="1f5b8516-1216-4929-a6bb-f7b72c32bd97" xsi:nil="true"/>
    <DecisionMaker1date xmlns="1f5b8516-1216-4929-a6bb-f7b72c32bd97">27/05/2020 01:17 PM</DecisionMaker1date>
    <RecordSubject xmlns="1f5b8516-1216-4929-a6bb-f7b72c32bd97">Local Jobs First Policy Enhancements </RecordSubject>
    <Recommender1workphone xmlns="1f5b8516-1216-4929-a6bb-f7b72c32bd97">0396519516</Recommender1workphone>
    <Recommender4workphone xmlns="1f5b8516-1216-4929-a6bb-f7b72c32bd97">0383928001</Recommender4workphone>
    <DecisionMaker2workphone xmlns="1f5b8516-1216-4929-a6bb-f7b72c32bd97" xsi:nil="true"/>
    <DecisionMaker3decision xmlns="1f5b8516-1216-4929-a6bb-f7b72c32bd97" xsi:nil="true"/>
    <OrganisationLevel3 xmlns="1f5b8516-1216-4929-a6bb-f7b72c32bd97">Office of Industry Participation and Jobs</OrganisationLevel3>
    <Leadauthorfullname xmlns="1f5b8516-1216-4929-a6bb-f7b72c32bd97">James Carr (DEDJTR)</Leadauthorfullname>
    <Recommender1fullname xmlns="1f5b8516-1216-4929-a6bb-f7b72c32bd97">Nanette Fitzgerald (DEDJTR)</Recommender1fullname>
    <Recommender4fullname xmlns="1f5b8516-1216-4929-a6bb-f7b72c32bd97">Penelope McKay (DJPR)</Recommender4fullname>
    <Recommender5jobtitle xmlns="1f5b8516-1216-4929-a6bb-f7b72c32bd97" xsi:nil="true"/>
    <DecisionMaker1fullname xmlns="1f5b8516-1216-4929-a6bb-f7b72c32bd97">THE HON MARTIN PAKULA MP</DecisionMaker1fullname>
    <DecisionMaker3jobtitle xmlns="1f5b8516-1216-4929-a6bb-f7b72c32bd97" xsi:nil="true"/>
    <VersionNumber xmlns="1f5b8516-1216-4929-a6bb-f7b72c32bd97" xsi:nil="true"/>
    <Leadauthordate xmlns="1f5b8516-1216-4929-a6bb-f7b72c32bd97">18/05/2020 08:40 AM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Policy Officer</Leadauthorjobtitle>
    <Recommender2jobtitle xmlns="1f5b8516-1216-4929-a6bb-f7b72c32bd97">Deputy Secretary, Jobs,Innovation &amp; Business Engagement</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18/05/2020 11:12 AM</Recommender1date>
    <Recommender6date xmlns="1f5b8516-1216-4929-a6bb-f7b72c32bd97" xsi:nil="true"/>
    <Recommender2workphone xmlns="1f5b8516-1216-4929-a6bb-f7b72c32bd97">0383928036</Recommender2workphone>
    <DecisionMaker1workphone xmlns="1f5b8516-1216-4929-a6bb-f7b72c32bd97">0383922221</DecisionMaker1workphone>
    <Decisioncategory xmlns="1f5b8516-1216-4929-a6bb-f7b72c32bd97">Minister for Jobs, Innovation and Trade</Decisioncategory>
    <AccountableOfficerworkphone xmlns="1f5b8516-1216-4929-a6bb-f7b72c32bd97">96519282</AccountableOfficerworkphone>
    <Recommender3fullname xmlns="1f5b8516-1216-4929-a6bb-f7b72c32bd97">Simon Phemister (DJPR)</Recommender3fullname>
    <Recommender3jobtitle xmlns="1f5b8516-1216-4929-a6bb-f7b72c32bd97">Secretary</Recommender3jobtitl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96519254</Leadauthorworkphone>
    <Recommender3workphone xmlns="1f5b8516-1216-4929-a6bb-f7b72c32bd97">0383928002</Recommender3workphon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Jobs, Innovation and Business Engagement</OrganisationLevel1>
    <RequestFrom xmlns="1f5b8516-1216-4929-a6bb-f7b72c32bd97">Organisation</RequestFrom>
    <AccountableOfficerdate xmlns="1f5b8516-1216-4929-a6bb-f7b72c32bd97" xsi:nil="true"/>
    <Recommender2fullname xmlns="1f5b8516-1216-4929-a6bb-f7b72c32bd97">David Latina (DEDJTR)</Recommender2fullname>
    <Recommender7jobtitle xmlns="1f5b8516-1216-4929-a6bb-f7b72c32bd97" xsi:nil="true"/>
    <DecisionMaker1jobtitle xmlns="1f5b8516-1216-4929-a6bb-f7b72c32bd97">Minister Pakula's Office</DecisionMaker1jobtitle>
    <DecisionMaker3fullname xmlns="1f5b8516-1216-4929-a6bb-f7b72c32bd97" xsi:nil="true"/>
    <RecommenderDueDate xmlns="1f5b8516-1216-4929-a6bb-f7b72c32bd97">2020-04-08T14:00:00+00:00</RecommenderDueDate>
    <RecordSubtype xmlns="1f5b8516-1216-4929-a6bb-f7b72c32bd97">Ministerial Briefing</RecordSubtype>
    <AccountableOfficerfullname xmlns="1f5b8516-1216-4929-a6bb-f7b72c32bd97">Rebecca Skinner (DEDJTR)</AccountableOfficerfullname>
    <AccountableOfficerjobtitle xmlns="1f5b8516-1216-4929-a6bb-f7b72c32bd97">Acting Director, Industry Participation</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2020-04-13T14:00:00+00:00</DecisionRequired>
    <DecisionMaker2decision xmlns="1f5b8516-1216-4929-a6bb-f7b72c32bd97" xsi:nil="true"/>
    <OrganisationLevel2 xmlns="1f5b8516-1216-4929-a6bb-f7b72c32bd97">Industry Participation and Advanced Manufacturing</OrganisationLevel2>
    <RegistrationNumber xmlns="1f5b8516-1216-4929-a6bb-f7b72c32bd97">BMIN-2-19-1214</RegistrationNumber>
  </documentManagement>
</p:properties>
</file>

<file path=customXml/item3.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CEE0-5177-4126-9B29-CE850650F534}">
  <ds:schemaRefs>
    <ds:schemaRef ds:uri="http://schemas.microsoft.com/sharepoint/v3/contenttype/forms"/>
  </ds:schemaRefs>
</ds:datastoreItem>
</file>

<file path=customXml/itemProps2.xml><?xml version="1.0" encoding="utf-8"?>
<ds:datastoreItem xmlns:ds="http://schemas.openxmlformats.org/officeDocument/2006/customXml" ds:itemID="{E53E07C1-C1B7-410D-8707-EB5120E7349F}">
  <ds:schemaRefs>
    <ds:schemaRef ds:uri="http://schemas.microsoft.com/office/2006/metadata/properties"/>
    <ds:schemaRef ds:uri="http://schemas.microsoft.com/office/infopath/2007/PartnerControls"/>
    <ds:schemaRef ds:uri="1f5b8516-1216-4929-a6bb-f7b72c32bd97"/>
  </ds:schemaRefs>
</ds:datastoreItem>
</file>

<file path=customXml/itemProps3.xml><?xml version="1.0" encoding="utf-8"?>
<ds:datastoreItem xmlns:ds="http://schemas.openxmlformats.org/officeDocument/2006/customXml" ds:itemID="{4B49D350-7B61-4ED1-AEA8-5BFF056B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B2983-5892-4B42-A859-D9CCDBDD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13332</Words>
  <Characters>75994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2020-05-27T05:10:00Z</dcterms:created>
  <dcterms:modified xsi:type="dcterms:W3CDTF">2020-05-27T05:16:00Z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Replytype">
    <vt:lpwstr/>
  </property>
  <property fmtid="{D5CDD505-2E9C-101B-9397-08002B2CF9AE}" pid="4" name="_docset_NoMedatataSyncRequired">
    <vt:lpwstr>False</vt:lpwstr>
  </property>
</Properties>
</file>