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5946" w14:textId="77777777" w:rsidR="00186B0D" w:rsidRDefault="00702060" w:rsidP="00EA1A33">
      <w:pPr>
        <w:pStyle w:val="Title"/>
        <w:ind w:right="238"/>
        <w:contextualSpacing w:val="0"/>
        <w:rPr>
          <w:rFonts w:ascii="VIC" w:hAnsi="VIC"/>
        </w:rPr>
      </w:pPr>
      <w:r w:rsidRPr="00EF7285">
        <w:rPr>
          <w:rFonts w:ascii="VIC" w:hAnsi="VIC"/>
        </w:rPr>
        <w:t xml:space="preserve">Estimating </w:t>
      </w:r>
      <w:r>
        <w:rPr>
          <w:rFonts w:ascii="VIC" w:hAnsi="VIC"/>
        </w:rPr>
        <w:t>labour hours</w:t>
      </w:r>
      <w:r w:rsidRPr="006D0BF5">
        <w:rPr>
          <w:rFonts w:ascii="VIC" w:hAnsi="VIC"/>
        </w:rPr>
        <w:t xml:space="preserve"> </w:t>
      </w:r>
      <w:r>
        <w:rPr>
          <w:rFonts w:ascii="VIC" w:hAnsi="VIC"/>
        </w:rPr>
        <w:t xml:space="preserve">under the </w:t>
      </w:r>
    </w:p>
    <w:p w14:paraId="4268E04C" w14:textId="1410406E" w:rsidR="00A756BA" w:rsidRPr="00200FC0" w:rsidRDefault="003431F8" w:rsidP="00EA1A33">
      <w:pPr>
        <w:pStyle w:val="Title"/>
        <w:ind w:right="238"/>
        <w:contextualSpacing w:val="0"/>
        <w:rPr>
          <w:rFonts w:ascii="VIC" w:hAnsi="VIC"/>
        </w:rPr>
      </w:pPr>
      <w:r w:rsidRPr="006D0BF5">
        <w:rPr>
          <w:rFonts w:ascii="VIC" w:hAnsi="VIC"/>
        </w:rPr>
        <w:t>Major Projects Skills Guarantee (MPSG)</w:t>
      </w:r>
      <w:r w:rsidR="00915D31">
        <w:rPr>
          <w:rFonts w:ascii="VIC" w:hAnsi="VIC"/>
        </w:rPr>
        <w:t xml:space="preserve"> </w:t>
      </w:r>
    </w:p>
    <w:p w14:paraId="3A16C800" w14:textId="50ADB615" w:rsidR="00C659E3" w:rsidRPr="007706FE" w:rsidRDefault="0071371F" w:rsidP="00FE55DC">
      <w:pPr>
        <w:pStyle w:val="Introtext"/>
        <w:rPr>
          <w:rFonts w:ascii="VIC" w:hAnsi="VIC" w:cs="Times New Roman"/>
          <w:color w:val="53565A"/>
          <w:spacing w:val="0"/>
          <w:sz w:val="32"/>
          <w:szCs w:val="24"/>
        </w:rPr>
        <w:sectPr w:rsidR="00C659E3" w:rsidRPr="007706FE" w:rsidSect="00EA1A33">
          <w:headerReference w:type="even" r:id="rId10"/>
          <w:headerReference w:type="default" r:id="rId11"/>
          <w:footerReference w:type="even" r:id="rId12"/>
          <w:footerReference w:type="default" r:id="rId13"/>
          <w:headerReference w:type="first" r:id="rId14"/>
          <w:footerReference w:type="first" r:id="rId15"/>
          <w:pgSz w:w="11906" w:h="16838"/>
          <w:pgMar w:top="2127" w:right="1440" w:bottom="1985" w:left="1440" w:header="852" w:footer="567" w:gutter="0"/>
          <w:cols w:space="708"/>
          <w:titlePg/>
          <w:docGrid w:linePitch="360"/>
        </w:sectPr>
      </w:pPr>
      <w:r>
        <w:rPr>
          <w:rFonts w:ascii="VIC" w:hAnsi="VIC" w:cs="Times New Roman"/>
          <w:color w:val="53565A"/>
          <w:spacing w:val="0"/>
          <w:sz w:val="32"/>
          <w:szCs w:val="24"/>
        </w:rPr>
        <w:t xml:space="preserve">From 31 January 2023, </w:t>
      </w:r>
      <w:r w:rsidR="0090660B">
        <w:rPr>
          <w:rFonts w:ascii="VIC" w:hAnsi="VIC" w:cs="Times New Roman"/>
          <w:color w:val="53565A"/>
          <w:spacing w:val="0"/>
          <w:sz w:val="32"/>
          <w:szCs w:val="24"/>
        </w:rPr>
        <w:t>estimating labour hours under the MPSG will be made simpler</w:t>
      </w:r>
      <w:r w:rsidR="00CC3C88">
        <w:rPr>
          <w:rFonts w:ascii="VIC" w:hAnsi="VIC" w:cs="Times New Roman"/>
          <w:color w:val="53565A"/>
          <w:spacing w:val="0"/>
          <w:sz w:val="32"/>
          <w:szCs w:val="24"/>
        </w:rPr>
        <w:t>.</w:t>
      </w:r>
      <w:r w:rsidR="00650FB5">
        <w:rPr>
          <w:rFonts w:ascii="VIC" w:hAnsi="VIC" w:cs="Times New Roman"/>
          <w:color w:val="53565A"/>
          <w:spacing w:val="0"/>
          <w:sz w:val="32"/>
          <w:szCs w:val="24"/>
        </w:rPr>
        <w:t xml:space="preserve"> </w:t>
      </w:r>
    </w:p>
    <w:p w14:paraId="63B40C60" w14:textId="3EDAE211" w:rsidR="00582DEC" w:rsidRDefault="00977A90" w:rsidP="00FE55DC">
      <w:pPr>
        <w:pStyle w:val="Heading1"/>
        <w:rPr>
          <w:rFonts w:ascii="VIC" w:hAnsi="VIC"/>
        </w:rPr>
      </w:pPr>
      <w:r>
        <w:rPr>
          <w:rFonts w:ascii="VIC" w:hAnsi="VIC"/>
        </w:rPr>
        <w:t>What is changing</w:t>
      </w:r>
      <w:r w:rsidR="00582DEC">
        <w:rPr>
          <w:rFonts w:ascii="VIC" w:hAnsi="VIC"/>
        </w:rPr>
        <w:t>?</w:t>
      </w:r>
    </w:p>
    <w:p w14:paraId="2ED7973B" w14:textId="5FC2EB11" w:rsidR="00171FC9" w:rsidRPr="00EA1A33" w:rsidRDefault="00171FC9" w:rsidP="00EA1A33">
      <w:pPr>
        <w:pStyle w:val="ListBullet"/>
        <w:numPr>
          <w:ilvl w:val="0"/>
          <w:numId w:val="0"/>
        </w:numPr>
        <w:contextualSpacing w:val="0"/>
        <w:rPr>
          <w:rFonts w:ascii="VIC" w:hAnsi="VIC"/>
        </w:rPr>
      </w:pPr>
      <w:r w:rsidRPr="00F04E69">
        <w:rPr>
          <w:rFonts w:ascii="VIC" w:hAnsi="VIC"/>
        </w:rPr>
        <w:t>Th</w:t>
      </w:r>
      <w:r>
        <w:rPr>
          <w:rFonts w:ascii="VIC" w:hAnsi="VIC"/>
        </w:rPr>
        <w:t>e</w:t>
      </w:r>
      <w:r w:rsidRPr="00F04E69">
        <w:rPr>
          <w:rFonts w:ascii="VIC" w:hAnsi="VIC"/>
        </w:rPr>
        <w:t xml:space="preserve"> process </w:t>
      </w:r>
      <w:r>
        <w:rPr>
          <w:rFonts w:ascii="VIC" w:hAnsi="VIC"/>
        </w:rPr>
        <w:t xml:space="preserve">for estimating labour hours </w:t>
      </w:r>
      <w:r w:rsidRPr="00F04E69">
        <w:rPr>
          <w:rFonts w:ascii="VIC" w:hAnsi="VIC"/>
        </w:rPr>
        <w:t xml:space="preserve">is being streamlined so that </w:t>
      </w:r>
      <w:r>
        <w:rPr>
          <w:rFonts w:ascii="VIC" w:hAnsi="VIC"/>
        </w:rPr>
        <w:t>a bidder submits a single employment commitment in the Local Industry Development Plan (</w:t>
      </w:r>
      <w:r w:rsidRPr="00B02AB5">
        <w:rPr>
          <w:rFonts w:ascii="VIC" w:hAnsi="VIC"/>
        </w:rPr>
        <w:t>LIDP</w:t>
      </w:r>
      <w:r w:rsidRPr="001C1EC7">
        <w:rPr>
          <w:rFonts w:ascii="VIC" w:hAnsi="VIC"/>
        </w:rPr>
        <w:t>)</w:t>
      </w:r>
      <w:r w:rsidR="001C1EC7">
        <w:rPr>
          <w:rFonts w:ascii="VIC" w:hAnsi="VIC"/>
        </w:rPr>
        <w:t xml:space="preserve">. This employment </w:t>
      </w:r>
      <w:r w:rsidR="009B7ECE">
        <w:rPr>
          <w:rFonts w:ascii="VIC" w:hAnsi="VIC"/>
        </w:rPr>
        <w:t>estimate</w:t>
      </w:r>
      <w:r>
        <w:rPr>
          <w:rFonts w:ascii="VIC" w:hAnsi="VIC"/>
        </w:rPr>
        <w:t xml:space="preserve"> will be used to inform both the MPSG and </w:t>
      </w:r>
      <w:r w:rsidR="0096346B" w:rsidRPr="001C1EC7">
        <w:rPr>
          <w:rFonts w:ascii="VIC" w:hAnsi="VIC"/>
        </w:rPr>
        <w:t>Victorian Industry Participation Policy (</w:t>
      </w:r>
      <w:r>
        <w:rPr>
          <w:rFonts w:ascii="VIC" w:hAnsi="VIC"/>
        </w:rPr>
        <w:t>VIPP</w:t>
      </w:r>
      <w:r w:rsidR="0096346B" w:rsidRPr="001C1EC7">
        <w:rPr>
          <w:rFonts w:ascii="VIC" w:hAnsi="VIC"/>
        </w:rPr>
        <w:t>)</w:t>
      </w:r>
      <w:r>
        <w:rPr>
          <w:rFonts w:ascii="VIC" w:hAnsi="VIC"/>
        </w:rPr>
        <w:t xml:space="preserve"> requirements. </w:t>
      </w:r>
    </w:p>
    <w:p w14:paraId="420A4D3B" w14:textId="78A7ED1D" w:rsidR="00F2562E" w:rsidRPr="00EA1A33" w:rsidRDefault="00773818" w:rsidP="00EA1A33">
      <w:pPr>
        <w:pStyle w:val="ListBullet"/>
        <w:numPr>
          <w:ilvl w:val="0"/>
          <w:numId w:val="0"/>
        </w:numPr>
        <w:contextualSpacing w:val="0"/>
        <w:rPr>
          <w:rFonts w:ascii="VIC" w:hAnsi="VIC"/>
        </w:rPr>
      </w:pPr>
      <w:r w:rsidRPr="00773818">
        <w:rPr>
          <w:rFonts w:ascii="VIC" w:hAnsi="VIC"/>
          <w:noProof/>
        </w:rPr>
        <mc:AlternateContent>
          <mc:Choice Requires="wps">
            <w:drawing>
              <wp:anchor distT="0" distB="0" distL="114300" distR="114300" simplePos="0" relativeHeight="251655168" behindDoc="0" locked="0" layoutInCell="1" allowOverlap="1" wp14:anchorId="2AEA1BDA" wp14:editId="16063B03">
                <wp:simplePos x="0" y="0"/>
                <wp:positionH relativeFrom="column">
                  <wp:posOffset>0</wp:posOffset>
                </wp:positionH>
                <wp:positionV relativeFrom="page">
                  <wp:posOffset>4797188</wp:posOffset>
                </wp:positionV>
                <wp:extent cx="5468620" cy="1755775"/>
                <wp:effectExtent l="0" t="0" r="17780" b="1587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755775"/>
                        </a:xfrm>
                        <a:prstGeom prst="rect">
                          <a:avLst/>
                        </a:prstGeom>
                        <a:solidFill>
                          <a:schemeClr val="bg1">
                            <a:lumMod val="95000"/>
                          </a:schemeClr>
                        </a:solidFill>
                        <a:ln w="9525">
                          <a:solidFill>
                            <a:schemeClr val="bg1"/>
                          </a:solidFill>
                          <a:miter lim="800000"/>
                          <a:headEnd/>
                          <a:tailEnd/>
                        </a:ln>
                      </wps:spPr>
                      <wps:txbx>
                        <w:txbxContent>
                          <w:p w14:paraId="6C2DE37B" w14:textId="68C7409E" w:rsidR="00773818" w:rsidRDefault="00773818" w:rsidP="00EA1A33">
                            <w:pPr>
                              <w:pStyle w:val="ListBullet"/>
                              <w:numPr>
                                <w:ilvl w:val="0"/>
                                <w:numId w:val="0"/>
                              </w:numPr>
                              <w:spacing w:before="120"/>
                              <w:contextualSpacing w:val="0"/>
                              <w:rPr>
                                <w:rFonts w:ascii="VIC" w:hAnsi="VIC"/>
                              </w:rPr>
                            </w:pPr>
                            <w:r>
                              <w:rPr>
                                <w:rFonts w:ascii="VIC" w:hAnsi="VIC"/>
                              </w:rPr>
                              <w:t>For all MPSG projects with tenders released on or after</w:t>
                            </w:r>
                            <w:r w:rsidRPr="00510476">
                              <w:rPr>
                                <w:rFonts w:ascii="VIC" w:hAnsi="VIC"/>
                              </w:rPr>
                              <w:t xml:space="preserve"> 31 January 2023</w:t>
                            </w:r>
                            <w:r>
                              <w:rPr>
                                <w:rFonts w:ascii="VIC" w:hAnsi="VIC"/>
                              </w:rPr>
                              <w:t>:</w:t>
                            </w:r>
                          </w:p>
                          <w:p w14:paraId="377CE909" w14:textId="77777777" w:rsidR="00773818" w:rsidRDefault="00773818" w:rsidP="00EA1A33">
                            <w:pPr>
                              <w:pStyle w:val="ListBullet"/>
                              <w:numPr>
                                <w:ilvl w:val="0"/>
                                <w:numId w:val="16"/>
                              </w:numPr>
                              <w:contextualSpacing w:val="0"/>
                              <w:rPr>
                                <w:rFonts w:ascii="VIC" w:hAnsi="VIC"/>
                              </w:rPr>
                            </w:pPr>
                            <w:r>
                              <w:rPr>
                                <w:rFonts w:ascii="VIC" w:hAnsi="VIC"/>
                              </w:rPr>
                              <w:t xml:space="preserve">Bidders will no longer </w:t>
                            </w:r>
                            <w:r w:rsidRPr="00E95D2E">
                              <w:rPr>
                                <w:rFonts w:ascii="VIC" w:hAnsi="VIC"/>
                              </w:rPr>
                              <w:t>be required to use the</w:t>
                            </w:r>
                            <w:r>
                              <w:rPr>
                                <w:rFonts w:ascii="VIC" w:hAnsi="VIC"/>
                              </w:rPr>
                              <w:t xml:space="preserve"> </w:t>
                            </w:r>
                            <w:r w:rsidRPr="00E95D2E">
                              <w:rPr>
                                <w:rFonts w:ascii="VIC" w:hAnsi="VIC"/>
                              </w:rPr>
                              <w:t>Deemed Hours Formula</w:t>
                            </w:r>
                            <w:r>
                              <w:rPr>
                                <w:rFonts w:ascii="VIC" w:hAnsi="VIC"/>
                              </w:rPr>
                              <w:t xml:space="preserve"> to estimate project labour hours under the MPSG</w:t>
                            </w:r>
                          </w:p>
                          <w:p w14:paraId="4E04C1C8" w14:textId="77777777" w:rsidR="00773818" w:rsidRDefault="00773818" w:rsidP="00EA1A33">
                            <w:pPr>
                              <w:pStyle w:val="ListBullet"/>
                              <w:numPr>
                                <w:ilvl w:val="0"/>
                                <w:numId w:val="16"/>
                              </w:numPr>
                              <w:contextualSpacing w:val="0"/>
                              <w:rPr>
                                <w:rFonts w:ascii="VIC" w:hAnsi="VIC"/>
                              </w:rPr>
                            </w:pPr>
                            <w:r>
                              <w:rPr>
                                <w:rFonts w:ascii="VIC" w:hAnsi="VIC"/>
                              </w:rPr>
                              <w:t>A bidder’s MPSG employment estimates will be incorporated into the existing employment commitment table of the LIDP</w:t>
                            </w:r>
                          </w:p>
                          <w:p w14:paraId="551B6BED" w14:textId="3403D74D" w:rsidR="000721C0" w:rsidRPr="00510476" w:rsidRDefault="00773818" w:rsidP="00EA1A33">
                            <w:pPr>
                              <w:pStyle w:val="ListBullet"/>
                              <w:numPr>
                                <w:ilvl w:val="0"/>
                                <w:numId w:val="16"/>
                              </w:numPr>
                              <w:contextualSpacing w:val="0"/>
                              <w:rPr>
                                <w:rFonts w:ascii="VIC" w:hAnsi="VIC"/>
                              </w:rPr>
                            </w:pPr>
                            <w:r w:rsidRPr="00510476">
                              <w:rPr>
                                <w:rFonts w:ascii="VIC" w:hAnsi="VIC"/>
                              </w:rPr>
                              <w:t xml:space="preserve">The minimum </w:t>
                            </w:r>
                            <w:r>
                              <w:rPr>
                                <w:rFonts w:ascii="VIC" w:hAnsi="VIC"/>
                              </w:rPr>
                              <w:t xml:space="preserve">10 per cent </w:t>
                            </w:r>
                            <w:r w:rsidRPr="00510476">
                              <w:rPr>
                                <w:rFonts w:ascii="VIC" w:hAnsi="VIC"/>
                              </w:rPr>
                              <w:t xml:space="preserve">MPSG requirement will be calculated from the estimated project hours entered in the </w:t>
                            </w:r>
                            <w:r>
                              <w:rPr>
                                <w:rFonts w:ascii="VIC" w:hAnsi="VIC"/>
                              </w:rPr>
                              <w:t xml:space="preserve">LIDP </w:t>
                            </w:r>
                            <w:r w:rsidRPr="00510476">
                              <w:rPr>
                                <w:rFonts w:ascii="VIC" w:hAnsi="VIC"/>
                              </w:rPr>
                              <w:t>employment commitment table</w:t>
                            </w:r>
                            <w:r w:rsidR="000D22B1">
                              <w:rPr>
                                <w:rFonts w:ascii="VIC" w:hAnsi="VIC"/>
                              </w:rPr>
                              <w:t>.</w:t>
                            </w:r>
                            <w:r w:rsidDel="00F847DF">
                              <w:rPr>
                                <w:rFonts w:ascii="VIC" w:hAnsi="VIC"/>
                              </w:rPr>
                              <w:t xml:space="preserve"> </w:t>
                            </w:r>
                          </w:p>
                          <w:p w14:paraId="0DDC101D" w14:textId="0A4734F5" w:rsidR="00773818" w:rsidRDefault="00773818" w:rsidP="00EA1A33">
                            <w:pPr>
                              <w:pStyle w:val="ListBullet"/>
                              <w:numPr>
                                <w:ilvl w:val="0"/>
                                <w:numId w:val="0"/>
                              </w:numPr>
                              <w:contextualSpacing w:val="0"/>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EA1BDA" id="_x0000_t202" coordsize="21600,21600" o:spt="202" path="m,l,21600r21600,l21600,xe">
                <v:stroke joinstyle="miter"/>
                <v:path gradientshapeok="t" o:connecttype="rect"/>
              </v:shapetype>
              <v:shape id="Text Box 2" o:spid="_x0000_s1026" type="#_x0000_t202" style="position:absolute;margin-left:0;margin-top:377.75pt;width:430.6pt;height:138.25pt;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" fillcolor="#f2f2f2 [3052]" strokecolor="white [3212]">
                <v:textbox>
                  <w:txbxContent>
                    <w:p w14:paraId="6C2DE37B" w14:textId="68C7409E" w:rsidR="00773818" w:rsidRDefault="00773818" w:rsidP="00EA1A33">
                      <w:pPr>
                        <w:pStyle w:val="ListBullet"/>
                        <w:numPr>
                          <w:ilvl w:val="0"/>
                          <w:numId w:val="0"/>
                        </w:numPr>
                        <w:spacing w:before="120"/>
                        <w:contextualSpacing w:val="0"/>
                        <w:rPr>
                          <w:rFonts w:ascii="VIC" w:hAnsi="VIC"/>
                        </w:rPr>
                      </w:pPr>
                      <w:r>
                        <w:rPr>
                          <w:rFonts w:ascii="VIC" w:hAnsi="VIC"/>
                        </w:rPr>
                        <w:t>For all MPSG projects with tenders released on or after</w:t>
                      </w:r>
                      <w:r w:rsidRPr="00510476">
                        <w:rPr>
                          <w:rFonts w:ascii="VIC" w:hAnsi="VIC"/>
                        </w:rPr>
                        <w:t xml:space="preserve"> 31 January 2023</w:t>
                      </w:r>
                      <w:r>
                        <w:rPr>
                          <w:rFonts w:ascii="VIC" w:hAnsi="VIC"/>
                        </w:rPr>
                        <w:t>:</w:t>
                      </w:r>
                    </w:p>
                    <w:p w14:paraId="377CE909" w14:textId="77777777" w:rsidR="00773818" w:rsidRDefault="00773818" w:rsidP="00EA1A33">
                      <w:pPr>
                        <w:pStyle w:val="ListBullet"/>
                        <w:numPr>
                          <w:ilvl w:val="0"/>
                          <w:numId w:val="16"/>
                        </w:numPr>
                        <w:contextualSpacing w:val="0"/>
                        <w:rPr>
                          <w:rFonts w:ascii="VIC" w:hAnsi="VIC"/>
                        </w:rPr>
                      </w:pPr>
                      <w:r>
                        <w:rPr>
                          <w:rFonts w:ascii="VIC" w:hAnsi="VIC"/>
                        </w:rPr>
                        <w:t xml:space="preserve">Bidders will no longer </w:t>
                      </w:r>
                      <w:r w:rsidRPr="00E95D2E">
                        <w:rPr>
                          <w:rFonts w:ascii="VIC" w:hAnsi="VIC"/>
                        </w:rPr>
                        <w:t>be required to use the</w:t>
                      </w:r>
                      <w:r>
                        <w:rPr>
                          <w:rFonts w:ascii="VIC" w:hAnsi="VIC"/>
                        </w:rPr>
                        <w:t xml:space="preserve"> </w:t>
                      </w:r>
                      <w:r w:rsidRPr="00E95D2E">
                        <w:rPr>
                          <w:rFonts w:ascii="VIC" w:hAnsi="VIC"/>
                        </w:rPr>
                        <w:t>Deemed Hours Formula</w:t>
                      </w:r>
                      <w:r>
                        <w:rPr>
                          <w:rFonts w:ascii="VIC" w:hAnsi="VIC"/>
                        </w:rPr>
                        <w:t xml:space="preserve"> to estimate project labour hours under the MPSG</w:t>
                      </w:r>
                    </w:p>
                    <w:p w14:paraId="4E04C1C8" w14:textId="77777777" w:rsidR="00773818" w:rsidRDefault="00773818" w:rsidP="00EA1A33">
                      <w:pPr>
                        <w:pStyle w:val="ListBullet"/>
                        <w:numPr>
                          <w:ilvl w:val="0"/>
                          <w:numId w:val="16"/>
                        </w:numPr>
                        <w:contextualSpacing w:val="0"/>
                        <w:rPr>
                          <w:rFonts w:ascii="VIC" w:hAnsi="VIC"/>
                        </w:rPr>
                      </w:pPr>
                      <w:r>
                        <w:rPr>
                          <w:rFonts w:ascii="VIC" w:hAnsi="VIC"/>
                        </w:rPr>
                        <w:t>A bidder’s MPSG employment estimates will be incorporated into the existing employment commitment table of the LIDP</w:t>
                      </w:r>
                    </w:p>
                    <w:p w14:paraId="551B6BED" w14:textId="3403D74D" w:rsidR="000721C0" w:rsidRPr="00510476" w:rsidRDefault="00773818" w:rsidP="00EA1A33">
                      <w:pPr>
                        <w:pStyle w:val="ListBullet"/>
                        <w:numPr>
                          <w:ilvl w:val="0"/>
                          <w:numId w:val="16"/>
                        </w:numPr>
                        <w:contextualSpacing w:val="0"/>
                        <w:rPr>
                          <w:rFonts w:ascii="VIC" w:hAnsi="VIC"/>
                        </w:rPr>
                      </w:pPr>
                      <w:r w:rsidRPr="00510476">
                        <w:rPr>
                          <w:rFonts w:ascii="VIC" w:hAnsi="VIC"/>
                        </w:rPr>
                        <w:t xml:space="preserve">The minimum </w:t>
                      </w:r>
                      <w:r>
                        <w:rPr>
                          <w:rFonts w:ascii="VIC" w:hAnsi="VIC"/>
                        </w:rPr>
                        <w:t xml:space="preserve">10 per cent </w:t>
                      </w:r>
                      <w:r w:rsidRPr="00510476">
                        <w:rPr>
                          <w:rFonts w:ascii="VIC" w:hAnsi="VIC"/>
                        </w:rPr>
                        <w:t xml:space="preserve">MPSG requirement will be calculated from the estimated project hours entered in the </w:t>
                      </w:r>
                      <w:r>
                        <w:rPr>
                          <w:rFonts w:ascii="VIC" w:hAnsi="VIC"/>
                        </w:rPr>
                        <w:t xml:space="preserve">LIDP </w:t>
                      </w:r>
                      <w:r w:rsidRPr="00510476">
                        <w:rPr>
                          <w:rFonts w:ascii="VIC" w:hAnsi="VIC"/>
                        </w:rPr>
                        <w:t>employment commitment table</w:t>
                      </w:r>
                      <w:r w:rsidR="000D22B1">
                        <w:rPr>
                          <w:rFonts w:ascii="VIC" w:hAnsi="VIC"/>
                        </w:rPr>
                        <w:t>.</w:t>
                      </w:r>
                      <w:r w:rsidDel="00F847DF">
                        <w:rPr>
                          <w:rFonts w:ascii="VIC" w:hAnsi="VIC"/>
                        </w:rPr>
                        <w:t xml:space="preserve"> </w:t>
                      </w:r>
                    </w:p>
                    <w:p w14:paraId="0DDC101D" w14:textId="0A4734F5" w:rsidR="00773818" w:rsidRDefault="00773818" w:rsidP="00EA1A33">
                      <w:pPr>
                        <w:pStyle w:val="ListBullet"/>
                        <w:numPr>
                          <w:ilvl w:val="0"/>
                          <w:numId w:val="0"/>
                        </w:numPr>
                        <w:contextualSpacing w:val="0"/>
                      </w:pPr>
                    </w:p>
                  </w:txbxContent>
                </v:textbox>
                <w10:wrap type="square" anchory="page"/>
              </v:shape>
            </w:pict>
          </mc:Fallback>
        </mc:AlternateContent>
      </w:r>
      <w:r w:rsidR="00933149" w:rsidRPr="00EA1A33">
        <w:rPr>
          <w:rFonts w:ascii="VIC" w:hAnsi="VIC"/>
        </w:rPr>
        <w:t>To date, contractors bidding</w:t>
      </w:r>
      <w:r w:rsidR="0090660B" w:rsidRPr="00EA1A33">
        <w:rPr>
          <w:rFonts w:ascii="VIC" w:hAnsi="VIC"/>
        </w:rPr>
        <w:t xml:space="preserve"> for MPSG-applicable Local Jobs First projects have entered estimated project </w:t>
      </w:r>
      <w:r w:rsidR="00192548">
        <w:rPr>
          <w:rFonts w:ascii="VIC" w:hAnsi="VIC"/>
        </w:rPr>
        <w:t xml:space="preserve">labour </w:t>
      </w:r>
      <w:r w:rsidR="0090660B" w:rsidRPr="00EA1A33">
        <w:rPr>
          <w:rFonts w:ascii="VIC" w:hAnsi="VIC"/>
        </w:rPr>
        <w:t>hours in both the employment commitment table and the MPSG section of their L</w:t>
      </w:r>
      <w:r w:rsidR="00F44E85" w:rsidRPr="00EA1A33">
        <w:rPr>
          <w:rFonts w:ascii="VIC" w:hAnsi="VIC"/>
        </w:rPr>
        <w:t>IDP</w:t>
      </w:r>
      <w:r w:rsidR="0090660B" w:rsidRPr="00EA1A33">
        <w:rPr>
          <w:rFonts w:ascii="VIC" w:hAnsi="VIC"/>
        </w:rPr>
        <w:t xml:space="preserve">. </w:t>
      </w:r>
      <w:r w:rsidR="00B84FD8">
        <w:rPr>
          <w:rFonts w:ascii="VIC" w:hAnsi="VIC"/>
        </w:rPr>
        <w:t>For the MPSG section, b</w:t>
      </w:r>
      <w:r w:rsidR="00E946BB">
        <w:rPr>
          <w:rFonts w:ascii="VIC" w:hAnsi="VIC"/>
        </w:rPr>
        <w:t>idders have been required to estimate total project labour</w:t>
      </w:r>
      <w:r w:rsidR="005A7D38">
        <w:rPr>
          <w:rFonts w:ascii="VIC" w:hAnsi="VIC"/>
        </w:rPr>
        <w:t xml:space="preserve"> hour</w:t>
      </w:r>
      <w:r w:rsidR="00E946BB">
        <w:rPr>
          <w:rFonts w:ascii="VIC" w:hAnsi="VIC"/>
        </w:rPr>
        <w:t xml:space="preserve">s </w:t>
      </w:r>
      <w:r w:rsidR="00E946BB" w:rsidRPr="00510476">
        <w:rPr>
          <w:rFonts w:ascii="VIC" w:hAnsi="VIC"/>
        </w:rPr>
        <w:t>using the Deemed Hours Formula</w:t>
      </w:r>
      <w:r w:rsidR="00E946BB">
        <w:rPr>
          <w:rFonts w:ascii="VIC" w:hAnsi="VIC"/>
        </w:rPr>
        <w:t>.</w:t>
      </w:r>
      <w:r w:rsidR="00E946BB" w:rsidRPr="00510476" w:rsidDel="00E742EE">
        <w:rPr>
          <w:rFonts w:ascii="VIC" w:hAnsi="VIC"/>
        </w:rPr>
        <w:t xml:space="preserve"> </w:t>
      </w:r>
    </w:p>
    <w:p w14:paraId="3BC00B21" w14:textId="71F8B952" w:rsidR="00275E57" w:rsidRPr="00EA1A33" w:rsidRDefault="0090660B" w:rsidP="00EA1A33">
      <w:pPr>
        <w:pStyle w:val="ListBullet"/>
        <w:numPr>
          <w:ilvl w:val="0"/>
          <w:numId w:val="0"/>
        </w:numPr>
        <w:spacing w:before="360"/>
        <w:contextualSpacing w:val="0"/>
        <w:rPr>
          <w:rFonts w:ascii="VIC" w:hAnsi="VIC"/>
        </w:rPr>
      </w:pPr>
      <w:r w:rsidRPr="00EA1A33">
        <w:rPr>
          <w:rFonts w:ascii="VIC" w:hAnsi="VIC"/>
        </w:rPr>
        <w:t xml:space="preserve">The Local Jobs First </w:t>
      </w:r>
      <w:r w:rsidRPr="00EA1A33">
        <w:rPr>
          <w:rFonts w:ascii="VIC" w:hAnsi="VIC"/>
          <w:i/>
        </w:rPr>
        <w:t xml:space="preserve">Agency </w:t>
      </w:r>
      <w:r w:rsidR="005125FC" w:rsidRPr="00EA1A33">
        <w:rPr>
          <w:rFonts w:ascii="VIC" w:hAnsi="VIC"/>
          <w:i/>
          <w:iCs/>
        </w:rPr>
        <w:t>Guidelines</w:t>
      </w:r>
      <w:r w:rsidRPr="00EA1A33">
        <w:rPr>
          <w:rFonts w:ascii="VIC" w:hAnsi="VIC"/>
        </w:rPr>
        <w:t xml:space="preserve"> and </w:t>
      </w:r>
      <w:r w:rsidRPr="00EA1A33">
        <w:rPr>
          <w:rFonts w:ascii="VIC" w:hAnsi="VIC"/>
          <w:i/>
        </w:rPr>
        <w:t xml:space="preserve">Supplier Guidelines </w:t>
      </w:r>
      <w:r w:rsidRPr="00EA1A33">
        <w:rPr>
          <w:rFonts w:ascii="VIC" w:hAnsi="VIC"/>
        </w:rPr>
        <w:t xml:space="preserve">have been updated to reflect </w:t>
      </w:r>
      <w:r w:rsidR="000D016A">
        <w:rPr>
          <w:rFonts w:ascii="VIC" w:hAnsi="VIC"/>
        </w:rPr>
        <w:t>these changes</w:t>
      </w:r>
      <w:r w:rsidR="00275E57" w:rsidRPr="00EA1A33">
        <w:rPr>
          <w:rFonts w:ascii="VIC" w:hAnsi="VIC"/>
        </w:rPr>
        <w:t>.</w:t>
      </w:r>
    </w:p>
    <w:p w14:paraId="668271A3" w14:textId="77777777" w:rsidR="0036618F" w:rsidRDefault="0036618F" w:rsidP="0069688C">
      <w:pPr>
        <w:pStyle w:val="Heading1"/>
        <w:rPr>
          <w:rFonts w:ascii="VIC" w:hAnsi="VIC"/>
        </w:rPr>
        <w:sectPr w:rsidR="0036618F" w:rsidSect="00EA1A33">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701" w:right="1440" w:bottom="851" w:left="1440" w:header="709" w:footer="567" w:gutter="0"/>
          <w:cols w:space="708"/>
          <w:docGrid w:linePitch="360"/>
        </w:sectPr>
      </w:pPr>
    </w:p>
    <w:p w14:paraId="65214FA3" w14:textId="5463065C" w:rsidR="005D4B76" w:rsidRDefault="0069688C" w:rsidP="0069688C">
      <w:pPr>
        <w:pStyle w:val="Heading1"/>
        <w:rPr>
          <w:rFonts w:ascii="VIC" w:hAnsi="VIC"/>
        </w:rPr>
      </w:pPr>
      <w:r>
        <w:rPr>
          <w:rFonts w:ascii="VIC" w:hAnsi="VIC"/>
        </w:rPr>
        <w:t xml:space="preserve">Is there any change to the </w:t>
      </w:r>
      <w:r w:rsidR="005511F5">
        <w:rPr>
          <w:rFonts w:ascii="VIC" w:hAnsi="VIC"/>
        </w:rPr>
        <w:t>minimum</w:t>
      </w:r>
      <w:r>
        <w:rPr>
          <w:rFonts w:ascii="VIC" w:hAnsi="VIC"/>
        </w:rPr>
        <w:t xml:space="preserve"> </w:t>
      </w:r>
      <w:r w:rsidR="00451B64">
        <w:rPr>
          <w:rFonts w:ascii="VIC" w:hAnsi="VIC"/>
        </w:rPr>
        <w:t xml:space="preserve">MPSG </w:t>
      </w:r>
      <w:r>
        <w:rPr>
          <w:rFonts w:ascii="VIC" w:hAnsi="VIC"/>
        </w:rPr>
        <w:t>requirement?</w:t>
      </w:r>
    </w:p>
    <w:p w14:paraId="78438C4B" w14:textId="2F9EF660" w:rsidR="00254DF3" w:rsidRDefault="0069688C" w:rsidP="00A169D0">
      <w:pPr>
        <w:pStyle w:val="ListBullet"/>
        <w:numPr>
          <w:ilvl w:val="0"/>
          <w:numId w:val="0"/>
        </w:numPr>
        <w:contextualSpacing w:val="0"/>
        <w:rPr>
          <w:rFonts w:ascii="VIC" w:hAnsi="VIC"/>
        </w:rPr>
      </w:pPr>
      <w:r>
        <w:rPr>
          <w:rFonts w:ascii="VIC" w:hAnsi="VIC"/>
        </w:rPr>
        <w:t xml:space="preserve">No – </w:t>
      </w:r>
      <w:r w:rsidR="009B35B6">
        <w:rPr>
          <w:rFonts w:ascii="VIC" w:hAnsi="VIC"/>
        </w:rPr>
        <w:t>t</w:t>
      </w:r>
      <w:r w:rsidR="00203A5A">
        <w:rPr>
          <w:rFonts w:ascii="VIC" w:hAnsi="VIC"/>
        </w:rPr>
        <w:t xml:space="preserve">he </w:t>
      </w:r>
      <w:r w:rsidR="0052149A">
        <w:rPr>
          <w:rFonts w:ascii="VIC" w:hAnsi="VIC"/>
        </w:rPr>
        <w:t>MPSG</w:t>
      </w:r>
      <w:r w:rsidR="00203A5A">
        <w:rPr>
          <w:rFonts w:ascii="VIC" w:hAnsi="VIC"/>
        </w:rPr>
        <w:t xml:space="preserve"> </w:t>
      </w:r>
      <w:r w:rsidR="000E2C8D">
        <w:rPr>
          <w:rFonts w:ascii="VIC" w:hAnsi="VIC"/>
        </w:rPr>
        <w:t xml:space="preserve">obligation under </w:t>
      </w:r>
      <w:r w:rsidR="00C75968">
        <w:rPr>
          <w:rFonts w:ascii="VIC" w:hAnsi="VIC"/>
        </w:rPr>
        <w:t>L</w:t>
      </w:r>
      <w:r w:rsidR="005511F5">
        <w:rPr>
          <w:rFonts w:ascii="VIC" w:hAnsi="VIC"/>
        </w:rPr>
        <w:t xml:space="preserve">ocal </w:t>
      </w:r>
      <w:r w:rsidR="00C75968">
        <w:rPr>
          <w:rFonts w:ascii="VIC" w:hAnsi="VIC"/>
        </w:rPr>
        <w:t>J</w:t>
      </w:r>
      <w:r w:rsidR="005511F5">
        <w:rPr>
          <w:rFonts w:ascii="VIC" w:hAnsi="VIC"/>
        </w:rPr>
        <w:t xml:space="preserve">obs </w:t>
      </w:r>
      <w:r w:rsidR="00C75968">
        <w:rPr>
          <w:rFonts w:ascii="VIC" w:hAnsi="VIC"/>
        </w:rPr>
        <w:t>F</w:t>
      </w:r>
      <w:r w:rsidR="005511F5">
        <w:rPr>
          <w:rFonts w:ascii="VIC" w:hAnsi="VIC"/>
        </w:rPr>
        <w:t>irst</w:t>
      </w:r>
      <w:r w:rsidR="00C75968">
        <w:rPr>
          <w:rFonts w:ascii="VIC" w:hAnsi="VIC"/>
        </w:rPr>
        <w:t xml:space="preserve"> remains that a minimum </w:t>
      </w:r>
      <w:r w:rsidR="00053125">
        <w:rPr>
          <w:rFonts w:ascii="VIC" w:hAnsi="VIC"/>
        </w:rPr>
        <w:t>of 10</w:t>
      </w:r>
      <w:r w:rsidR="00506B85">
        <w:rPr>
          <w:rFonts w:ascii="VIC" w:hAnsi="VIC"/>
        </w:rPr>
        <w:t xml:space="preserve"> per cent</w:t>
      </w:r>
      <w:r w:rsidR="00053125">
        <w:rPr>
          <w:rFonts w:ascii="VIC" w:hAnsi="VIC"/>
        </w:rPr>
        <w:t xml:space="preserve"> of </w:t>
      </w:r>
      <w:r w:rsidR="00C4215C">
        <w:rPr>
          <w:rFonts w:ascii="VIC" w:hAnsi="VIC"/>
        </w:rPr>
        <w:t xml:space="preserve">total project </w:t>
      </w:r>
      <w:r w:rsidR="00053125">
        <w:rPr>
          <w:rFonts w:ascii="VIC" w:hAnsi="VIC"/>
        </w:rPr>
        <w:t xml:space="preserve">labour hours </w:t>
      </w:r>
      <w:r w:rsidR="0052149A">
        <w:rPr>
          <w:rFonts w:ascii="VIC" w:hAnsi="VIC"/>
        </w:rPr>
        <w:t>must</w:t>
      </w:r>
      <w:r w:rsidR="00053125">
        <w:rPr>
          <w:rFonts w:ascii="VIC" w:hAnsi="VIC"/>
        </w:rPr>
        <w:t xml:space="preserve"> be performed by </w:t>
      </w:r>
      <w:r w:rsidR="003F4BFD">
        <w:rPr>
          <w:rFonts w:ascii="VIC" w:hAnsi="VIC"/>
        </w:rPr>
        <w:t>apprentices, trainees, and cadets</w:t>
      </w:r>
      <w:r w:rsidR="00F87EDC">
        <w:rPr>
          <w:rFonts w:ascii="VIC" w:hAnsi="VIC"/>
        </w:rPr>
        <w:t>.</w:t>
      </w:r>
      <w:r w:rsidR="00053125">
        <w:rPr>
          <w:rFonts w:ascii="VIC" w:hAnsi="VIC"/>
        </w:rPr>
        <w:t xml:space="preserve"> </w:t>
      </w:r>
      <w:r w:rsidR="006921A8">
        <w:rPr>
          <w:rFonts w:ascii="VIC" w:hAnsi="VIC"/>
        </w:rPr>
        <w:t xml:space="preserve">Agencies will continue to </w:t>
      </w:r>
      <w:r w:rsidR="00DE6F1C">
        <w:rPr>
          <w:rFonts w:ascii="VIC" w:hAnsi="VIC"/>
        </w:rPr>
        <w:t>monitor</w:t>
      </w:r>
      <w:r w:rsidR="004431A1">
        <w:rPr>
          <w:rFonts w:ascii="VIC" w:hAnsi="VIC"/>
        </w:rPr>
        <w:t xml:space="preserve"> </w:t>
      </w:r>
      <w:r w:rsidR="00AA32E3">
        <w:rPr>
          <w:rFonts w:ascii="VIC" w:hAnsi="VIC"/>
        </w:rPr>
        <w:t xml:space="preserve">delivery of </w:t>
      </w:r>
      <w:r w:rsidR="00A812D7">
        <w:rPr>
          <w:rFonts w:ascii="VIC" w:hAnsi="VIC"/>
        </w:rPr>
        <w:t xml:space="preserve">MPSG </w:t>
      </w:r>
      <w:r w:rsidR="00AA32E3">
        <w:rPr>
          <w:rFonts w:ascii="VIC" w:hAnsi="VIC"/>
        </w:rPr>
        <w:t>commitments</w:t>
      </w:r>
      <w:r w:rsidR="00A05DB2">
        <w:rPr>
          <w:rFonts w:ascii="VIC" w:hAnsi="VIC"/>
        </w:rPr>
        <w:t>,</w:t>
      </w:r>
      <w:r w:rsidR="00DE6F1C">
        <w:rPr>
          <w:rFonts w:ascii="VIC" w:hAnsi="VIC"/>
        </w:rPr>
        <w:t xml:space="preserve"> </w:t>
      </w:r>
      <w:r w:rsidR="00AA32E3">
        <w:rPr>
          <w:rFonts w:ascii="VIC" w:hAnsi="VIC"/>
        </w:rPr>
        <w:t>including through regular</w:t>
      </w:r>
      <w:r w:rsidR="00DE6F1C">
        <w:rPr>
          <w:rFonts w:ascii="VIC" w:hAnsi="VIC"/>
        </w:rPr>
        <w:t xml:space="preserve"> reporting.</w:t>
      </w:r>
      <w:r w:rsidR="00A169D0">
        <w:rPr>
          <w:rFonts w:ascii="VIC" w:hAnsi="VIC"/>
        </w:rPr>
        <w:t xml:space="preserve"> </w:t>
      </w:r>
    </w:p>
    <w:p w14:paraId="06D2F36E" w14:textId="77777777" w:rsidR="00221387" w:rsidRDefault="00221387" w:rsidP="00221387">
      <w:pPr>
        <w:pStyle w:val="Heading1"/>
        <w:rPr>
          <w:rFonts w:ascii="VIC" w:hAnsi="VIC"/>
        </w:rPr>
      </w:pPr>
      <w:r>
        <w:rPr>
          <w:rFonts w:ascii="VIC" w:hAnsi="VIC"/>
        </w:rPr>
        <w:t>Why is this change being made?</w:t>
      </w:r>
    </w:p>
    <w:p w14:paraId="65D173F6" w14:textId="77777777" w:rsidR="00221387" w:rsidRPr="00E54623" w:rsidRDefault="00221387" w:rsidP="00221387">
      <w:pPr>
        <w:pStyle w:val="ListBullet"/>
        <w:numPr>
          <w:ilvl w:val="0"/>
          <w:numId w:val="0"/>
        </w:numPr>
        <w:contextualSpacing w:val="0"/>
        <w:rPr>
          <w:rFonts w:ascii="VIC" w:hAnsi="VIC"/>
        </w:rPr>
      </w:pPr>
      <w:r>
        <w:rPr>
          <w:rFonts w:ascii="VIC" w:hAnsi="VIC"/>
        </w:rPr>
        <w:t xml:space="preserve">This change will make estimating labour hours for the MPSG easier for bidders. It will also provide bidders with the flexibility to give the most accurate labour estimates based on the information they have at the time of tendering for projects. </w:t>
      </w:r>
    </w:p>
    <w:p w14:paraId="7F611DF9" w14:textId="36E4AE5B" w:rsidR="00AC511C" w:rsidRDefault="00AC511C" w:rsidP="00AC511C">
      <w:pPr>
        <w:pStyle w:val="Heading1"/>
        <w:rPr>
          <w:rFonts w:ascii="VIC" w:hAnsi="VIC"/>
        </w:rPr>
      </w:pPr>
      <w:r>
        <w:rPr>
          <w:rFonts w:ascii="VIC" w:hAnsi="VIC"/>
        </w:rPr>
        <w:lastRenderedPageBreak/>
        <w:t xml:space="preserve">How are employment commitments </w:t>
      </w:r>
      <w:r w:rsidR="001305D7">
        <w:rPr>
          <w:rFonts w:ascii="VIC" w:hAnsi="VIC"/>
        </w:rPr>
        <w:t>estimated</w:t>
      </w:r>
      <w:r>
        <w:rPr>
          <w:rFonts w:ascii="VIC" w:hAnsi="VIC"/>
        </w:rPr>
        <w:t>?</w:t>
      </w:r>
    </w:p>
    <w:p w14:paraId="31CD830C" w14:textId="57EF71FC" w:rsidR="00A82F94" w:rsidRDefault="00A82F94" w:rsidP="00A82F94">
      <w:pPr>
        <w:pStyle w:val="ListBullet"/>
        <w:numPr>
          <w:ilvl w:val="0"/>
          <w:numId w:val="0"/>
        </w:numPr>
        <w:contextualSpacing w:val="0"/>
        <w:rPr>
          <w:rFonts w:ascii="VIC" w:hAnsi="VIC"/>
        </w:rPr>
      </w:pPr>
      <w:r>
        <w:rPr>
          <w:rFonts w:ascii="VIC" w:hAnsi="VIC"/>
        </w:rPr>
        <w:t xml:space="preserve">Bidders </w:t>
      </w:r>
      <w:r w:rsidRPr="002D74DA">
        <w:rPr>
          <w:rFonts w:ascii="VIC" w:hAnsi="VIC"/>
        </w:rPr>
        <w:t xml:space="preserve">estimate total labour hours for </w:t>
      </w:r>
      <w:r>
        <w:rPr>
          <w:rFonts w:ascii="VIC" w:hAnsi="VIC"/>
        </w:rPr>
        <w:t xml:space="preserve">all LJF projects </w:t>
      </w:r>
      <w:r w:rsidRPr="002D74DA">
        <w:rPr>
          <w:rFonts w:ascii="VIC" w:hAnsi="VIC"/>
        </w:rPr>
        <w:t>in the LIDP employment commitment</w:t>
      </w:r>
      <w:r w:rsidR="00BC690D">
        <w:rPr>
          <w:rFonts w:ascii="VIC" w:hAnsi="VIC"/>
        </w:rPr>
        <w:t xml:space="preserve"> table</w:t>
      </w:r>
      <w:r>
        <w:rPr>
          <w:rFonts w:ascii="VIC" w:hAnsi="VIC"/>
        </w:rPr>
        <w:t xml:space="preserve">. This includes </w:t>
      </w:r>
      <w:r w:rsidRPr="00875A21">
        <w:rPr>
          <w:rFonts w:ascii="VIC" w:hAnsi="VIC"/>
        </w:rPr>
        <w:t>the number of local retained and/or new</w:t>
      </w:r>
      <w:r w:rsidRPr="00C92E68">
        <w:rPr>
          <w:rFonts w:ascii="VIC" w:hAnsi="VIC"/>
        </w:rPr>
        <w:t xml:space="preserve"> jobs to be created during the life of the project (including the supply chain)</w:t>
      </w:r>
      <w:r>
        <w:rPr>
          <w:rFonts w:ascii="VIC" w:hAnsi="VIC"/>
        </w:rPr>
        <w:t>.</w:t>
      </w:r>
      <w:r w:rsidR="00FF5863">
        <w:rPr>
          <w:rFonts w:ascii="VIC" w:hAnsi="VIC"/>
        </w:rPr>
        <w:t xml:space="preserve"> </w:t>
      </w:r>
      <w:r w:rsidRPr="00F67448">
        <w:rPr>
          <w:rFonts w:ascii="VIC" w:hAnsi="VIC"/>
        </w:rPr>
        <w:t>The bidder may estimate their LIDP employment commitment using whatever method they determine is most appropriate for the project, based on available information at the time of tendering.</w:t>
      </w:r>
      <w:r w:rsidR="00420CCA">
        <w:rPr>
          <w:rFonts w:ascii="VIC" w:hAnsi="VIC"/>
        </w:rPr>
        <w:t xml:space="preserve"> </w:t>
      </w:r>
    </w:p>
    <w:p w14:paraId="220554F2" w14:textId="395ED44A" w:rsidR="00420CCA" w:rsidRDefault="001B4987" w:rsidP="00A82F94">
      <w:pPr>
        <w:pStyle w:val="ListBullet"/>
        <w:numPr>
          <w:ilvl w:val="0"/>
          <w:numId w:val="0"/>
        </w:numPr>
        <w:contextualSpacing w:val="0"/>
        <w:rPr>
          <w:rFonts w:ascii="VIC" w:hAnsi="VIC"/>
        </w:rPr>
      </w:pPr>
      <w:r>
        <w:rPr>
          <w:rFonts w:ascii="VIC" w:hAnsi="VIC"/>
        </w:rPr>
        <w:t>B</w:t>
      </w:r>
      <w:r w:rsidRPr="001B4987">
        <w:rPr>
          <w:rFonts w:ascii="VIC" w:hAnsi="VIC"/>
        </w:rPr>
        <w:t>idders should retain evidence of</w:t>
      </w:r>
      <w:r w:rsidR="00302327">
        <w:rPr>
          <w:rFonts w:ascii="VIC" w:hAnsi="VIC"/>
        </w:rPr>
        <w:t xml:space="preserve"> how estimates were calculated, including the methodology that was used,</w:t>
      </w:r>
      <w:r w:rsidRPr="001B4987">
        <w:rPr>
          <w:rFonts w:ascii="VIC" w:hAnsi="VIC"/>
        </w:rPr>
        <w:t xml:space="preserve"> for review by the procuring agency, LJF Commissioner or DJPR</w:t>
      </w:r>
      <w:r w:rsidR="00460A0B">
        <w:rPr>
          <w:rFonts w:ascii="VIC" w:hAnsi="VIC"/>
        </w:rPr>
        <w:t xml:space="preserve"> if requested.</w:t>
      </w:r>
    </w:p>
    <w:p w14:paraId="77E247AC" w14:textId="3307917E" w:rsidR="003C5C40" w:rsidRDefault="00C77B3A" w:rsidP="003C5C40">
      <w:pPr>
        <w:pStyle w:val="Heading1"/>
        <w:rPr>
          <w:rFonts w:ascii="VIC" w:hAnsi="VIC"/>
        </w:rPr>
      </w:pPr>
      <w:r>
        <w:rPr>
          <w:rFonts w:ascii="VIC" w:hAnsi="VIC"/>
        </w:rPr>
        <w:t xml:space="preserve">How will </w:t>
      </w:r>
      <w:r w:rsidR="00FF240F">
        <w:rPr>
          <w:rFonts w:ascii="VIC" w:hAnsi="VIC"/>
        </w:rPr>
        <w:t>the</w:t>
      </w:r>
      <w:r w:rsidR="005A6975">
        <w:rPr>
          <w:rFonts w:ascii="VIC" w:hAnsi="VIC"/>
        </w:rPr>
        <w:t xml:space="preserve"> </w:t>
      </w:r>
      <w:r w:rsidR="00FF240F">
        <w:rPr>
          <w:rFonts w:ascii="VIC" w:hAnsi="VIC"/>
        </w:rPr>
        <w:t xml:space="preserve">10 per cent </w:t>
      </w:r>
      <w:r w:rsidR="008C7EE2">
        <w:rPr>
          <w:rFonts w:ascii="VIC" w:hAnsi="VIC"/>
        </w:rPr>
        <w:t>minimum</w:t>
      </w:r>
      <w:r w:rsidR="00FF240F">
        <w:rPr>
          <w:rFonts w:ascii="VIC" w:hAnsi="VIC"/>
        </w:rPr>
        <w:t xml:space="preserve"> </w:t>
      </w:r>
      <w:r w:rsidR="005A6975">
        <w:rPr>
          <w:rFonts w:ascii="VIC" w:hAnsi="VIC"/>
        </w:rPr>
        <w:t xml:space="preserve">MPSG requirement </w:t>
      </w:r>
      <w:r w:rsidR="00FF240F">
        <w:rPr>
          <w:rFonts w:ascii="VIC" w:hAnsi="VIC"/>
        </w:rPr>
        <w:t>be calculated</w:t>
      </w:r>
      <w:r w:rsidR="003C5C40">
        <w:rPr>
          <w:rFonts w:ascii="VIC" w:hAnsi="VIC"/>
        </w:rPr>
        <w:t>?</w:t>
      </w:r>
    </w:p>
    <w:p w14:paraId="468691AA" w14:textId="3428F3A1" w:rsidR="00DB19FE" w:rsidRDefault="000A1650" w:rsidP="00DB19FE">
      <w:pPr>
        <w:pStyle w:val="ListBullet"/>
        <w:numPr>
          <w:ilvl w:val="0"/>
          <w:numId w:val="0"/>
        </w:numPr>
        <w:contextualSpacing w:val="0"/>
        <w:rPr>
          <w:rFonts w:ascii="VIC" w:hAnsi="VIC"/>
        </w:rPr>
      </w:pPr>
      <w:r>
        <w:rPr>
          <w:rFonts w:ascii="VIC" w:hAnsi="VIC"/>
        </w:rPr>
        <w:t xml:space="preserve">The </w:t>
      </w:r>
      <w:hyperlink r:id="rId22" w:history="1">
        <w:r w:rsidRPr="00673EFA">
          <w:rPr>
            <w:rStyle w:val="Hyperlink"/>
            <w:rFonts w:ascii="VIC" w:hAnsi="VIC" w:cs="Times New Roman"/>
            <w:szCs w:val="24"/>
          </w:rPr>
          <w:t>Victorian Management Centre (VMC)</w:t>
        </w:r>
      </w:hyperlink>
      <w:r>
        <w:rPr>
          <w:rFonts w:ascii="VIC" w:hAnsi="VIC"/>
        </w:rPr>
        <w:t xml:space="preserve"> is being updated to streamline the process for bidders</w:t>
      </w:r>
      <w:r w:rsidR="004A3E30">
        <w:rPr>
          <w:rFonts w:ascii="VIC" w:hAnsi="VIC"/>
        </w:rPr>
        <w:t xml:space="preserve"> when estimating labour hours</w:t>
      </w:r>
      <w:r w:rsidR="00D47D41">
        <w:rPr>
          <w:rFonts w:ascii="VIC" w:hAnsi="VIC"/>
        </w:rPr>
        <w:t xml:space="preserve"> f</w:t>
      </w:r>
      <w:r w:rsidR="00685427">
        <w:rPr>
          <w:rFonts w:ascii="VIC" w:hAnsi="VIC"/>
        </w:rPr>
        <w:t xml:space="preserve">or all </w:t>
      </w:r>
      <w:r w:rsidR="00B03583">
        <w:rPr>
          <w:rFonts w:ascii="VIC" w:hAnsi="VIC"/>
        </w:rPr>
        <w:t>project</w:t>
      </w:r>
      <w:r w:rsidR="00821E08">
        <w:rPr>
          <w:rFonts w:ascii="VIC" w:hAnsi="VIC"/>
        </w:rPr>
        <w:t xml:space="preserve"> </w:t>
      </w:r>
      <w:r w:rsidR="00B03583">
        <w:rPr>
          <w:rFonts w:ascii="VIC" w:hAnsi="VIC"/>
        </w:rPr>
        <w:t>tender</w:t>
      </w:r>
      <w:r w:rsidR="00821E08">
        <w:rPr>
          <w:rFonts w:ascii="VIC" w:hAnsi="VIC"/>
        </w:rPr>
        <w:t>s released on or</w:t>
      </w:r>
      <w:r w:rsidR="00B03583">
        <w:rPr>
          <w:rFonts w:ascii="VIC" w:hAnsi="VIC"/>
        </w:rPr>
        <w:t xml:space="preserve"> after</w:t>
      </w:r>
      <w:r w:rsidR="00685427">
        <w:rPr>
          <w:rFonts w:ascii="VIC" w:hAnsi="VIC"/>
        </w:rPr>
        <w:t xml:space="preserve"> 31 January 2023</w:t>
      </w:r>
      <w:r w:rsidR="00D47D41">
        <w:rPr>
          <w:rFonts w:ascii="VIC" w:hAnsi="VIC"/>
        </w:rPr>
        <w:t>.</w:t>
      </w:r>
      <w:r w:rsidR="00AC700B">
        <w:rPr>
          <w:rFonts w:ascii="VIC" w:hAnsi="VIC"/>
        </w:rPr>
        <w:t xml:space="preserve"> </w:t>
      </w:r>
      <w:r w:rsidR="00D47D41">
        <w:rPr>
          <w:rFonts w:ascii="VIC" w:hAnsi="VIC"/>
        </w:rPr>
        <w:t>T</w:t>
      </w:r>
      <w:r w:rsidR="00DB19FE" w:rsidRPr="00B7741A">
        <w:rPr>
          <w:rFonts w:ascii="VIC" w:hAnsi="VIC"/>
        </w:rPr>
        <w:t>he 10</w:t>
      </w:r>
      <w:r w:rsidR="00624EB1">
        <w:rPr>
          <w:rFonts w:ascii="VIC" w:hAnsi="VIC"/>
        </w:rPr>
        <w:t xml:space="preserve"> per cent</w:t>
      </w:r>
      <w:r w:rsidR="00DB19FE" w:rsidRPr="00B7741A">
        <w:rPr>
          <w:rFonts w:ascii="VIC" w:hAnsi="VIC"/>
        </w:rPr>
        <w:t xml:space="preserve"> minimum MPSG requirement will be calculated based on the</w:t>
      </w:r>
      <w:r w:rsidR="00B00435">
        <w:rPr>
          <w:rFonts w:ascii="VIC" w:hAnsi="VIC"/>
        </w:rPr>
        <w:t xml:space="preserve"> total </w:t>
      </w:r>
      <w:r w:rsidR="001D46EE">
        <w:rPr>
          <w:rFonts w:ascii="VIC" w:hAnsi="VIC"/>
        </w:rPr>
        <w:t>project</w:t>
      </w:r>
      <w:r w:rsidR="00B00435">
        <w:rPr>
          <w:rFonts w:ascii="VIC" w:hAnsi="VIC"/>
        </w:rPr>
        <w:t xml:space="preserve"> labour hours </w:t>
      </w:r>
      <w:r w:rsidR="005A46E1">
        <w:rPr>
          <w:rFonts w:ascii="VIC" w:hAnsi="VIC"/>
        </w:rPr>
        <w:t xml:space="preserve">that a bidder </w:t>
      </w:r>
      <w:r w:rsidR="00DB19FE">
        <w:rPr>
          <w:rFonts w:ascii="VIC" w:hAnsi="VIC"/>
        </w:rPr>
        <w:t>enter</w:t>
      </w:r>
      <w:r w:rsidR="005A46E1">
        <w:rPr>
          <w:rFonts w:ascii="VIC" w:hAnsi="VIC"/>
        </w:rPr>
        <w:t>s</w:t>
      </w:r>
      <w:r w:rsidR="00DB19FE">
        <w:rPr>
          <w:rFonts w:ascii="VIC" w:hAnsi="VIC"/>
        </w:rPr>
        <w:t xml:space="preserve"> in</w:t>
      </w:r>
      <w:r w:rsidR="005A46E1">
        <w:rPr>
          <w:rFonts w:ascii="VIC" w:hAnsi="VIC"/>
        </w:rPr>
        <w:t>to</w:t>
      </w:r>
      <w:r w:rsidR="00DB19FE">
        <w:rPr>
          <w:rFonts w:ascii="VIC" w:hAnsi="VIC"/>
        </w:rPr>
        <w:t xml:space="preserve"> the </w:t>
      </w:r>
      <w:r w:rsidR="005A46E1">
        <w:rPr>
          <w:rFonts w:ascii="VIC" w:hAnsi="VIC"/>
        </w:rPr>
        <w:t>employment commitment table</w:t>
      </w:r>
      <w:r w:rsidR="00B00435">
        <w:rPr>
          <w:rFonts w:ascii="VIC" w:hAnsi="VIC"/>
        </w:rPr>
        <w:t xml:space="preserve"> of their </w:t>
      </w:r>
      <w:r w:rsidR="00DB19FE" w:rsidRPr="00B7741A">
        <w:rPr>
          <w:rFonts w:ascii="VIC" w:hAnsi="VIC"/>
        </w:rPr>
        <w:t>LIDP</w:t>
      </w:r>
      <w:r w:rsidR="00DB19FE">
        <w:rPr>
          <w:rFonts w:ascii="VIC" w:hAnsi="VIC"/>
        </w:rPr>
        <w:t>.</w:t>
      </w:r>
      <w:r w:rsidR="00931D10">
        <w:rPr>
          <w:rFonts w:ascii="VIC" w:hAnsi="VIC"/>
        </w:rPr>
        <w:t xml:space="preserve"> </w:t>
      </w:r>
      <w:r w:rsidR="00A812D7">
        <w:rPr>
          <w:rFonts w:ascii="VIC" w:hAnsi="VIC"/>
        </w:rPr>
        <w:t>Bidders may still voluntarily increase their MPSG commitment above the minimum 10 per cent requirement should they wish to do so.</w:t>
      </w:r>
      <w:r w:rsidR="00931D10">
        <w:rPr>
          <w:rFonts w:ascii="VIC" w:hAnsi="VIC"/>
        </w:rPr>
        <w:t xml:space="preserve"> </w:t>
      </w:r>
      <w:r w:rsidR="00B00435">
        <w:rPr>
          <w:rFonts w:ascii="VIC" w:hAnsi="VIC"/>
        </w:rPr>
        <w:t>Once a supplier is awarded the contract for a project, t</w:t>
      </w:r>
      <w:r w:rsidR="00A82F94">
        <w:rPr>
          <w:rFonts w:ascii="VIC" w:hAnsi="VIC"/>
        </w:rPr>
        <w:t xml:space="preserve">he </w:t>
      </w:r>
      <w:r w:rsidR="00DB19FE">
        <w:rPr>
          <w:rFonts w:ascii="VIC" w:hAnsi="VIC"/>
        </w:rPr>
        <w:t>MPSG commitment</w:t>
      </w:r>
      <w:r w:rsidR="00B00435">
        <w:rPr>
          <w:rFonts w:ascii="VIC" w:hAnsi="VIC"/>
        </w:rPr>
        <w:t xml:space="preserve"> that they made</w:t>
      </w:r>
      <w:r w:rsidR="00DB19FE">
        <w:rPr>
          <w:rFonts w:ascii="VIC" w:hAnsi="VIC"/>
        </w:rPr>
        <w:t xml:space="preserve"> in the</w:t>
      </w:r>
      <w:r w:rsidR="00B00435">
        <w:rPr>
          <w:rFonts w:ascii="VIC" w:hAnsi="VIC"/>
        </w:rPr>
        <w:t>ir</w:t>
      </w:r>
      <w:r w:rsidR="00DB19FE">
        <w:rPr>
          <w:rFonts w:ascii="VIC" w:hAnsi="VIC"/>
        </w:rPr>
        <w:t xml:space="preserve"> LIDP </w:t>
      </w:r>
      <w:r w:rsidR="00B00435">
        <w:rPr>
          <w:rFonts w:ascii="VIC" w:hAnsi="VIC"/>
        </w:rPr>
        <w:t xml:space="preserve">during the tender </w:t>
      </w:r>
      <w:r w:rsidR="00DB19FE">
        <w:rPr>
          <w:rFonts w:ascii="VIC" w:hAnsi="VIC"/>
        </w:rPr>
        <w:t>will form part of the project contract</w:t>
      </w:r>
      <w:r w:rsidR="00B00435">
        <w:rPr>
          <w:rFonts w:ascii="VIC" w:hAnsi="VIC"/>
        </w:rPr>
        <w:t>.</w:t>
      </w:r>
    </w:p>
    <w:p w14:paraId="6B1C14B1" w14:textId="7842B3A9" w:rsidR="00D45414" w:rsidRPr="00FE55DC" w:rsidRDefault="0026411C" w:rsidP="00FE55DC">
      <w:pPr>
        <w:pStyle w:val="ListBullet"/>
        <w:numPr>
          <w:ilvl w:val="0"/>
          <w:numId w:val="0"/>
        </w:numPr>
        <w:spacing w:before="240"/>
        <w:contextualSpacing w:val="0"/>
        <w:rPr>
          <w:rFonts w:ascii="VIC" w:hAnsi="VIC"/>
          <w:color w:val="AF262E"/>
          <w:sz w:val="24"/>
        </w:rPr>
      </w:pPr>
      <w:r w:rsidRPr="00E00CC5">
        <w:rPr>
          <w:rFonts w:ascii="VIC" w:hAnsi="VIC"/>
          <w:color w:val="AF262E"/>
          <w:sz w:val="24"/>
        </w:rPr>
        <w:t>What is the Deemed Hours Formula?</w:t>
      </w:r>
    </w:p>
    <w:p w14:paraId="788E5903" w14:textId="67EC542D" w:rsidR="00A366CC" w:rsidRPr="00D45414" w:rsidRDefault="00A366CC" w:rsidP="00A366CC">
      <w:pPr>
        <w:pStyle w:val="ListBullet"/>
        <w:numPr>
          <w:ilvl w:val="0"/>
          <w:numId w:val="0"/>
        </w:numPr>
        <w:contextualSpacing w:val="0"/>
        <w:rPr>
          <w:rFonts w:ascii="VIC" w:hAnsi="VIC" w:cstheme="minorHAnsi"/>
          <w:szCs w:val="18"/>
          <w:lang w:val="en-US"/>
        </w:rPr>
      </w:pPr>
      <w:r w:rsidRPr="006103A3">
        <w:rPr>
          <w:rFonts w:ascii="VIC" w:hAnsi="VIC" w:cstheme="minorHAnsi"/>
          <w:szCs w:val="18"/>
          <w:lang w:val="en-US"/>
        </w:rPr>
        <w:t>The D</w:t>
      </w:r>
      <w:r>
        <w:rPr>
          <w:rFonts w:ascii="VIC" w:hAnsi="VIC" w:cstheme="minorHAnsi"/>
          <w:szCs w:val="18"/>
          <w:lang w:val="en-US"/>
        </w:rPr>
        <w:t xml:space="preserve">eemed Hours Formula is a method for estimating </w:t>
      </w:r>
      <w:r w:rsidRPr="006103A3">
        <w:rPr>
          <w:rFonts w:ascii="VIC" w:hAnsi="VIC" w:cstheme="minorHAnsi"/>
          <w:szCs w:val="18"/>
          <w:lang w:val="en-US"/>
        </w:rPr>
        <w:t xml:space="preserve">a project’s total </w:t>
      </w:r>
      <w:proofErr w:type="spellStart"/>
      <w:r w:rsidRPr="006103A3">
        <w:rPr>
          <w:rFonts w:ascii="VIC" w:hAnsi="VIC" w:cstheme="minorHAnsi"/>
          <w:szCs w:val="18"/>
          <w:lang w:val="en-US"/>
        </w:rPr>
        <w:t>labour</w:t>
      </w:r>
      <w:proofErr w:type="spellEnd"/>
      <w:r w:rsidRPr="006103A3">
        <w:rPr>
          <w:rFonts w:ascii="VIC" w:hAnsi="VIC" w:cstheme="minorHAnsi"/>
          <w:szCs w:val="18"/>
          <w:lang w:val="en-US"/>
        </w:rPr>
        <w:t xml:space="preserve"> hours based on </w:t>
      </w:r>
      <w:r w:rsidR="00B00435">
        <w:rPr>
          <w:rFonts w:ascii="VIC" w:hAnsi="VIC" w:cstheme="minorHAnsi"/>
          <w:szCs w:val="18"/>
          <w:lang w:val="en-US"/>
        </w:rPr>
        <w:t xml:space="preserve">the </w:t>
      </w:r>
      <w:r>
        <w:rPr>
          <w:rFonts w:ascii="VIC" w:hAnsi="VIC" w:cstheme="minorHAnsi"/>
          <w:szCs w:val="18"/>
          <w:lang w:val="en-US"/>
        </w:rPr>
        <w:t xml:space="preserve">project </w:t>
      </w:r>
      <w:r w:rsidRPr="006103A3">
        <w:rPr>
          <w:rFonts w:ascii="VIC" w:hAnsi="VIC" w:cstheme="minorHAnsi"/>
          <w:szCs w:val="18"/>
          <w:lang w:val="en-US"/>
        </w:rPr>
        <w:t>type</w:t>
      </w:r>
      <w:r>
        <w:rPr>
          <w:rFonts w:ascii="VIC" w:hAnsi="VIC" w:cstheme="minorHAnsi"/>
          <w:szCs w:val="18"/>
          <w:lang w:val="en-US"/>
        </w:rPr>
        <w:t xml:space="preserve"> and </w:t>
      </w:r>
      <w:r w:rsidR="003F4BFD">
        <w:rPr>
          <w:rFonts w:ascii="VIC" w:hAnsi="VIC" w:cstheme="minorHAnsi"/>
          <w:szCs w:val="18"/>
          <w:lang w:val="en-US"/>
        </w:rPr>
        <w:t xml:space="preserve">estimated </w:t>
      </w:r>
      <w:r w:rsidRPr="006103A3">
        <w:rPr>
          <w:rFonts w:ascii="VIC" w:hAnsi="VIC" w:cstheme="minorHAnsi"/>
          <w:szCs w:val="18"/>
          <w:lang w:val="en-US"/>
        </w:rPr>
        <w:t>contract value.</w:t>
      </w:r>
      <w:r>
        <w:rPr>
          <w:rFonts w:ascii="VIC" w:hAnsi="VIC" w:cstheme="minorHAnsi"/>
          <w:szCs w:val="18"/>
          <w:lang w:val="en-US"/>
        </w:rPr>
        <w:t xml:space="preserve"> The formula </w:t>
      </w:r>
      <w:proofErr w:type="spellStart"/>
      <w:r w:rsidR="00B00435">
        <w:rPr>
          <w:rFonts w:ascii="VIC" w:hAnsi="VIC" w:cstheme="minorHAnsi"/>
          <w:szCs w:val="18"/>
          <w:lang w:val="en-US"/>
        </w:rPr>
        <w:t>utilises</w:t>
      </w:r>
      <w:proofErr w:type="spellEnd"/>
      <w:r w:rsidR="00B00435">
        <w:rPr>
          <w:rFonts w:ascii="VIC" w:hAnsi="VIC" w:cstheme="minorHAnsi"/>
          <w:szCs w:val="18"/>
          <w:lang w:val="en-US"/>
        </w:rPr>
        <w:t xml:space="preserve"> </w:t>
      </w:r>
      <w:r>
        <w:rPr>
          <w:rFonts w:ascii="VIC" w:hAnsi="VIC" w:cstheme="minorHAnsi"/>
          <w:szCs w:val="18"/>
          <w:lang w:val="en-US"/>
        </w:rPr>
        <w:t xml:space="preserve">different </w:t>
      </w:r>
      <w:proofErr w:type="spellStart"/>
      <w:r>
        <w:rPr>
          <w:rFonts w:ascii="VIC" w:hAnsi="VIC" w:cstheme="minorHAnsi"/>
          <w:szCs w:val="18"/>
          <w:lang w:val="en-US"/>
        </w:rPr>
        <w:t>labour</w:t>
      </w:r>
      <w:proofErr w:type="spellEnd"/>
      <w:r>
        <w:rPr>
          <w:rFonts w:ascii="VIC" w:hAnsi="VIC" w:cstheme="minorHAnsi"/>
          <w:szCs w:val="18"/>
          <w:lang w:val="en-US"/>
        </w:rPr>
        <w:t xml:space="preserve"> rates and ratios </w:t>
      </w:r>
      <w:r w:rsidR="003F4BFD">
        <w:rPr>
          <w:rFonts w:ascii="VIC" w:hAnsi="VIC" w:cstheme="minorHAnsi"/>
          <w:szCs w:val="18"/>
          <w:lang w:val="en-US"/>
        </w:rPr>
        <w:t>depending on the</w:t>
      </w:r>
      <w:r>
        <w:rPr>
          <w:rFonts w:ascii="VIC" w:hAnsi="VIC" w:cstheme="minorHAnsi"/>
          <w:szCs w:val="18"/>
          <w:lang w:val="en-US"/>
        </w:rPr>
        <w:t xml:space="preserve"> project type.</w:t>
      </w:r>
    </w:p>
    <w:p w14:paraId="766A9787" w14:textId="05023566" w:rsidR="001C2D6B" w:rsidRPr="00FE55DC" w:rsidRDefault="001C2D6B" w:rsidP="001C2D6B">
      <w:pPr>
        <w:pStyle w:val="ListBullet"/>
        <w:numPr>
          <w:ilvl w:val="0"/>
          <w:numId w:val="0"/>
        </w:numPr>
        <w:contextualSpacing w:val="0"/>
        <w:rPr>
          <w:rFonts w:ascii="VIC" w:hAnsi="VIC"/>
          <w:color w:val="AF262E"/>
          <w:sz w:val="24"/>
        </w:rPr>
      </w:pPr>
      <w:r>
        <w:rPr>
          <w:rFonts w:ascii="VIC" w:hAnsi="VIC"/>
        </w:rPr>
        <w:t>Currently, bidders for MPSG projects</w:t>
      </w:r>
      <w:r w:rsidRPr="0099147D">
        <w:rPr>
          <w:rFonts w:ascii="VIC" w:hAnsi="VIC"/>
        </w:rPr>
        <w:t xml:space="preserve"> must use the </w:t>
      </w:r>
      <w:r w:rsidRPr="006103A3">
        <w:rPr>
          <w:rFonts w:ascii="VIC" w:hAnsi="VIC" w:cstheme="minorHAnsi"/>
          <w:szCs w:val="18"/>
          <w:lang w:val="en-US"/>
        </w:rPr>
        <w:t>D</w:t>
      </w:r>
      <w:r>
        <w:rPr>
          <w:rFonts w:ascii="VIC" w:hAnsi="VIC" w:cstheme="minorHAnsi"/>
          <w:szCs w:val="18"/>
          <w:lang w:val="en-US"/>
        </w:rPr>
        <w:t>eemed Hours Formula</w:t>
      </w:r>
      <w:r w:rsidRPr="0099147D">
        <w:rPr>
          <w:rFonts w:ascii="VIC" w:hAnsi="VIC"/>
        </w:rPr>
        <w:t xml:space="preserve"> to calculate the total estimated labour hours for their project </w:t>
      </w:r>
      <w:r w:rsidR="00B00435">
        <w:rPr>
          <w:rFonts w:ascii="VIC" w:hAnsi="VIC"/>
        </w:rPr>
        <w:t>10 per cent of this total estimated labour hour number then becomes t</w:t>
      </w:r>
      <w:r w:rsidRPr="0099147D">
        <w:rPr>
          <w:rFonts w:ascii="VIC" w:hAnsi="VIC"/>
        </w:rPr>
        <w:t>he minimum MPSG requirement for the project.</w:t>
      </w:r>
    </w:p>
    <w:p w14:paraId="6FA26B33" w14:textId="2F52B3BA" w:rsidR="00C1668E" w:rsidRPr="00E00CC5" w:rsidRDefault="00C1668E" w:rsidP="00FE55DC">
      <w:pPr>
        <w:pStyle w:val="ListBullet"/>
        <w:numPr>
          <w:ilvl w:val="0"/>
          <w:numId w:val="0"/>
        </w:numPr>
        <w:spacing w:before="240"/>
        <w:contextualSpacing w:val="0"/>
        <w:rPr>
          <w:rFonts w:ascii="VIC" w:hAnsi="VIC"/>
          <w:color w:val="AF262E"/>
          <w:sz w:val="24"/>
        </w:rPr>
      </w:pPr>
      <w:r w:rsidRPr="00E00CC5">
        <w:rPr>
          <w:rFonts w:ascii="VIC" w:hAnsi="VIC"/>
          <w:color w:val="AF262E"/>
          <w:sz w:val="24"/>
        </w:rPr>
        <w:t>Can I still use the Deemed Hours Formula?</w:t>
      </w:r>
    </w:p>
    <w:p w14:paraId="3B9A14AA" w14:textId="5B0ABD66" w:rsidR="00E61BC8" w:rsidRDefault="00C03D1C" w:rsidP="00FE55DC">
      <w:pPr>
        <w:rPr>
          <w:rFonts w:ascii="VIC" w:hAnsi="VIC" w:cstheme="minorHAnsi"/>
          <w:szCs w:val="18"/>
          <w:lang w:val="en-US"/>
        </w:rPr>
      </w:pPr>
      <w:r w:rsidRPr="00C03D1C">
        <w:rPr>
          <w:rFonts w:ascii="VIC" w:hAnsi="VIC"/>
        </w:rPr>
        <w:t>A simplified and updated Deemed Hours Formula will be available for optional use by suppliers and agencies</w:t>
      </w:r>
      <w:r>
        <w:rPr>
          <w:rFonts w:ascii="VIC" w:hAnsi="VIC"/>
        </w:rPr>
        <w:t xml:space="preserve">. The updated formula </w:t>
      </w:r>
      <w:r w:rsidR="00C1668E" w:rsidRPr="00842EA9">
        <w:rPr>
          <w:rFonts w:ascii="VIC" w:hAnsi="VIC"/>
        </w:rPr>
        <w:t>reflect</w:t>
      </w:r>
      <w:r>
        <w:rPr>
          <w:rFonts w:ascii="VIC" w:hAnsi="VIC"/>
        </w:rPr>
        <w:t>s</w:t>
      </w:r>
      <w:r w:rsidR="00C1668E" w:rsidRPr="00842EA9">
        <w:rPr>
          <w:rFonts w:ascii="VIC" w:hAnsi="VIC"/>
        </w:rPr>
        <w:t xml:space="preserve"> current market rates and ratios</w:t>
      </w:r>
      <w:r w:rsidR="00C1668E">
        <w:rPr>
          <w:rFonts w:ascii="VIC" w:hAnsi="VIC"/>
        </w:rPr>
        <w:t xml:space="preserve"> and is </w:t>
      </w:r>
      <w:r w:rsidR="00C1668E">
        <w:rPr>
          <w:rFonts w:ascii="VIC" w:hAnsi="VIC" w:cstheme="minorHAnsi"/>
          <w:szCs w:val="18"/>
          <w:lang w:val="en-US"/>
        </w:rPr>
        <w:t xml:space="preserve">provided in the Local Jobs First </w:t>
      </w:r>
      <w:r w:rsidR="00C1668E" w:rsidRPr="00EA1A33">
        <w:rPr>
          <w:rFonts w:ascii="VIC" w:hAnsi="VIC" w:cstheme="minorHAnsi"/>
          <w:i/>
          <w:szCs w:val="18"/>
          <w:lang w:val="en-US"/>
        </w:rPr>
        <w:t>Agency Guidelines</w:t>
      </w:r>
      <w:r w:rsidR="00C1668E">
        <w:rPr>
          <w:rFonts w:ascii="VIC" w:hAnsi="VIC" w:cstheme="minorHAnsi"/>
          <w:szCs w:val="18"/>
          <w:lang w:val="en-US"/>
        </w:rPr>
        <w:t xml:space="preserve"> and </w:t>
      </w:r>
      <w:r w:rsidR="00C1668E" w:rsidRPr="00EA1A33">
        <w:rPr>
          <w:rFonts w:ascii="VIC" w:hAnsi="VIC" w:cstheme="minorHAnsi"/>
          <w:i/>
          <w:szCs w:val="18"/>
          <w:lang w:val="en-US"/>
        </w:rPr>
        <w:t>Supplier Guidelines</w:t>
      </w:r>
      <w:r w:rsidR="00C1668E">
        <w:rPr>
          <w:rFonts w:ascii="VIC" w:hAnsi="VIC" w:cstheme="minorHAnsi"/>
          <w:szCs w:val="18"/>
          <w:lang w:val="en-US"/>
        </w:rPr>
        <w:t xml:space="preserve"> available </w:t>
      </w:r>
      <w:r w:rsidR="007B724A">
        <w:rPr>
          <w:rFonts w:ascii="VIC" w:hAnsi="VIC" w:cstheme="minorHAnsi"/>
          <w:szCs w:val="18"/>
          <w:lang w:val="en-US"/>
        </w:rPr>
        <w:t xml:space="preserve">on the </w:t>
      </w:r>
      <w:hyperlink r:id="rId23" w:history="1">
        <w:r w:rsidR="007B724A" w:rsidRPr="007B724A">
          <w:rPr>
            <w:rStyle w:val="Hyperlink"/>
            <w:rFonts w:ascii="VIC" w:hAnsi="VIC" w:cstheme="minorHAnsi"/>
            <w:szCs w:val="18"/>
            <w:lang w:val="en-US"/>
          </w:rPr>
          <w:t>Local Jobs First website</w:t>
        </w:r>
      </w:hyperlink>
      <w:r w:rsidR="007B724A">
        <w:rPr>
          <w:rFonts w:ascii="VIC" w:hAnsi="VIC" w:cstheme="minorHAnsi"/>
          <w:szCs w:val="18"/>
          <w:lang w:val="en-US"/>
        </w:rPr>
        <w:t>.</w:t>
      </w:r>
    </w:p>
    <w:p w14:paraId="3108F8D7" w14:textId="31BA29FF" w:rsidR="00970ED0" w:rsidRDefault="00970ED0" w:rsidP="00FE55DC">
      <w:pPr>
        <w:rPr>
          <w:rFonts w:ascii="VIC" w:hAnsi="VIC" w:cstheme="minorHAnsi"/>
          <w:szCs w:val="18"/>
          <w:lang w:val="en-US"/>
        </w:rPr>
      </w:pPr>
      <w:r>
        <w:rPr>
          <w:rFonts w:ascii="VIC" w:hAnsi="VIC"/>
        </w:rPr>
        <w:t>For all project tenders released on or after 31 January 2023:</w:t>
      </w:r>
    </w:p>
    <w:p w14:paraId="62919C34" w14:textId="1A96BDA2" w:rsidR="00C1668E" w:rsidRPr="00E51BC1" w:rsidRDefault="00C1668E" w:rsidP="002E14DF">
      <w:pPr>
        <w:pStyle w:val="ListParagraph"/>
        <w:numPr>
          <w:ilvl w:val="0"/>
          <w:numId w:val="20"/>
        </w:numPr>
        <w:ind w:left="714" w:hanging="357"/>
        <w:contextualSpacing w:val="0"/>
        <w:rPr>
          <w:rFonts w:ascii="VIC" w:hAnsi="VIC"/>
        </w:rPr>
      </w:pPr>
      <w:r w:rsidRPr="009C15E8">
        <w:rPr>
          <w:rFonts w:ascii="VIC" w:hAnsi="VIC"/>
          <w:b/>
        </w:rPr>
        <w:t>Suppliers</w:t>
      </w:r>
      <w:r w:rsidRPr="00E51BC1">
        <w:rPr>
          <w:rFonts w:ascii="VIC" w:hAnsi="VIC"/>
        </w:rPr>
        <w:t xml:space="preserve"> may use the updated </w:t>
      </w:r>
      <w:r w:rsidRPr="00E51BC1">
        <w:rPr>
          <w:rFonts w:ascii="VIC" w:hAnsi="VIC" w:cstheme="minorHAnsi"/>
          <w:szCs w:val="18"/>
          <w:lang w:val="en-US"/>
        </w:rPr>
        <w:t>Deemed Hours Formula</w:t>
      </w:r>
      <w:r w:rsidRPr="00E51BC1">
        <w:rPr>
          <w:rFonts w:ascii="VIC" w:hAnsi="VIC"/>
        </w:rPr>
        <w:t xml:space="preserve"> to estimate total project labour hours to inform their LIDP employment commitment</w:t>
      </w:r>
      <w:r w:rsidR="007653AD" w:rsidRPr="00E51BC1">
        <w:rPr>
          <w:rFonts w:ascii="VIC" w:hAnsi="VIC"/>
        </w:rPr>
        <w:t xml:space="preserve"> table</w:t>
      </w:r>
      <w:r w:rsidRPr="00E51BC1">
        <w:rPr>
          <w:rFonts w:ascii="VIC" w:hAnsi="VIC"/>
        </w:rPr>
        <w:t>, but this is not a requirement.</w:t>
      </w:r>
    </w:p>
    <w:p w14:paraId="6FDEF228" w14:textId="031BA42B" w:rsidR="00D45414" w:rsidRPr="009C15E8" w:rsidRDefault="00C1668E" w:rsidP="002E14DF">
      <w:pPr>
        <w:pStyle w:val="ListParagraph"/>
        <w:numPr>
          <w:ilvl w:val="0"/>
          <w:numId w:val="20"/>
        </w:numPr>
        <w:ind w:left="714" w:hanging="357"/>
        <w:contextualSpacing w:val="0"/>
        <w:rPr>
          <w:rFonts w:ascii="VIC" w:hAnsi="VIC"/>
        </w:rPr>
      </w:pPr>
      <w:r w:rsidRPr="009C15E8">
        <w:rPr>
          <w:rFonts w:ascii="VIC" w:hAnsi="VIC" w:cstheme="minorHAnsi"/>
          <w:b/>
          <w:szCs w:val="18"/>
          <w:lang w:val="en-US"/>
        </w:rPr>
        <w:t>Agencies</w:t>
      </w:r>
      <w:r w:rsidRPr="00E51BC1">
        <w:rPr>
          <w:rFonts w:ascii="VIC" w:hAnsi="VIC" w:cstheme="minorHAnsi"/>
          <w:szCs w:val="18"/>
          <w:lang w:val="en-US"/>
        </w:rPr>
        <w:t xml:space="preserve"> may use the updated Deemed Hours Formula to</w:t>
      </w:r>
      <w:r w:rsidRPr="00E51BC1" w:rsidDel="001675AC">
        <w:rPr>
          <w:rFonts w:ascii="VIC" w:hAnsi="VIC" w:cstheme="minorHAnsi"/>
          <w:szCs w:val="18"/>
          <w:lang w:val="en-US"/>
        </w:rPr>
        <w:t xml:space="preserve"> </w:t>
      </w:r>
      <w:r w:rsidR="001675AC" w:rsidRPr="00E51BC1">
        <w:rPr>
          <w:rFonts w:ascii="VIC" w:hAnsi="VIC" w:cstheme="minorHAnsi"/>
          <w:szCs w:val="18"/>
          <w:lang w:val="en-US"/>
        </w:rPr>
        <w:t>benchmark</w:t>
      </w:r>
      <w:r w:rsidRPr="00E51BC1">
        <w:rPr>
          <w:rFonts w:ascii="VIC" w:hAnsi="VIC" w:cstheme="minorHAnsi"/>
          <w:szCs w:val="18"/>
          <w:lang w:val="en-US"/>
        </w:rPr>
        <w:t xml:space="preserve"> employment commitments </w:t>
      </w:r>
      <w:r w:rsidR="00DC0131" w:rsidRPr="00E51BC1">
        <w:rPr>
          <w:rFonts w:ascii="VIC" w:hAnsi="VIC" w:cstheme="minorHAnsi"/>
          <w:szCs w:val="18"/>
          <w:lang w:val="en-US"/>
        </w:rPr>
        <w:t xml:space="preserve">based </w:t>
      </w:r>
      <w:r w:rsidRPr="00E51BC1">
        <w:rPr>
          <w:rFonts w:ascii="VIC" w:hAnsi="VIC" w:cstheme="minorHAnsi"/>
          <w:szCs w:val="18"/>
          <w:lang w:val="en-US"/>
        </w:rPr>
        <w:t>on the project type and value, noting that it provides an indicative figure only and the individual nature of each project will impact job numbers.</w:t>
      </w:r>
      <w:r w:rsidR="00DB46B7" w:rsidRPr="00E51BC1">
        <w:rPr>
          <w:rFonts w:ascii="VIC" w:hAnsi="VIC" w:cstheme="minorHAnsi"/>
          <w:szCs w:val="18"/>
          <w:lang w:val="en-US"/>
        </w:rPr>
        <w:t xml:space="preserve"> </w:t>
      </w:r>
      <w:r w:rsidR="001742D2" w:rsidRPr="00E51BC1">
        <w:rPr>
          <w:rFonts w:ascii="VIC" w:hAnsi="VIC"/>
        </w:rPr>
        <w:t xml:space="preserve">Agencies that wish to </w:t>
      </w:r>
      <w:r w:rsidR="001742D2" w:rsidRPr="00EA1A33">
        <w:rPr>
          <w:rFonts w:ascii="VIC" w:hAnsi="VIC"/>
        </w:rPr>
        <w:t>requir</w:t>
      </w:r>
      <w:r w:rsidR="00777140">
        <w:rPr>
          <w:rFonts w:ascii="VIC" w:hAnsi="VIC"/>
        </w:rPr>
        <w:t>e</w:t>
      </w:r>
      <w:r w:rsidR="001742D2" w:rsidRPr="00E51BC1">
        <w:rPr>
          <w:rFonts w:ascii="VIC" w:hAnsi="VIC"/>
        </w:rPr>
        <w:t xml:space="preserve"> bidders to use </w:t>
      </w:r>
      <w:r w:rsidR="000D3448">
        <w:rPr>
          <w:rFonts w:ascii="VIC" w:hAnsi="VIC"/>
        </w:rPr>
        <w:t>a specified methodology</w:t>
      </w:r>
      <w:r w:rsidR="001742D2" w:rsidRPr="00E51BC1">
        <w:rPr>
          <w:rFonts w:ascii="VIC" w:hAnsi="VIC"/>
        </w:rPr>
        <w:t xml:space="preserve"> for calculating employment commitments </w:t>
      </w:r>
      <w:r w:rsidR="00777140">
        <w:rPr>
          <w:rFonts w:ascii="VIC" w:hAnsi="VIC"/>
        </w:rPr>
        <w:t>may</w:t>
      </w:r>
      <w:r w:rsidR="001742D2" w:rsidRPr="00E51BC1">
        <w:rPr>
          <w:rFonts w:ascii="VIC" w:hAnsi="VIC"/>
        </w:rPr>
        <w:t xml:space="preserve"> do so by stipulating this requirement in tender documentation</w:t>
      </w:r>
      <w:r w:rsidR="00D0339B" w:rsidRPr="00E51BC1">
        <w:rPr>
          <w:rFonts w:ascii="VIC" w:hAnsi="VIC"/>
        </w:rPr>
        <w:t>.</w:t>
      </w:r>
      <w:r w:rsidR="00082DDC" w:rsidRPr="00E51BC1">
        <w:rPr>
          <w:rFonts w:ascii="VIC" w:hAnsi="VIC"/>
        </w:rPr>
        <w:t xml:space="preserve"> </w:t>
      </w:r>
    </w:p>
    <w:p w14:paraId="5F89524A" w14:textId="77777777" w:rsidR="002E14DF" w:rsidRDefault="002E14DF" w:rsidP="00FE55DC">
      <w:pPr>
        <w:spacing w:before="240"/>
        <w:rPr>
          <w:rFonts w:ascii="VIC" w:hAnsi="VIC" w:cs="Arial"/>
          <w:color w:val="AF262E"/>
          <w:sz w:val="24"/>
          <w:szCs w:val="20"/>
        </w:rPr>
      </w:pPr>
    </w:p>
    <w:p w14:paraId="2C01A3D0" w14:textId="779D105A" w:rsidR="00D45414" w:rsidRPr="00E00CC5" w:rsidRDefault="00063190" w:rsidP="00FE55DC">
      <w:pPr>
        <w:spacing w:before="240"/>
        <w:rPr>
          <w:rFonts w:ascii="VIC" w:hAnsi="VIC" w:cs="Arial"/>
          <w:color w:val="AF262E"/>
          <w:sz w:val="24"/>
          <w:szCs w:val="20"/>
        </w:rPr>
      </w:pPr>
      <w:r w:rsidRPr="00E00CC5">
        <w:rPr>
          <w:rFonts w:ascii="VIC" w:hAnsi="VIC" w:cs="Arial"/>
          <w:color w:val="AF262E"/>
          <w:sz w:val="24"/>
          <w:szCs w:val="20"/>
        </w:rPr>
        <w:lastRenderedPageBreak/>
        <w:t xml:space="preserve">How will </w:t>
      </w:r>
      <w:r w:rsidR="009A175A" w:rsidRPr="00E00CC5">
        <w:rPr>
          <w:rFonts w:ascii="VIC" w:hAnsi="VIC" w:cs="Arial"/>
          <w:color w:val="AF262E"/>
          <w:sz w:val="24"/>
          <w:szCs w:val="20"/>
        </w:rPr>
        <w:t>this impact MPSG project</w:t>
      </w:r>
      <w:r w:rsidR="00396954">
        <w:rPr>
          <w:rFonts w:ascii="VIC" w:hAnsi="VIC" w:cs="Arial"/>
          <w:color w:val="AF262E"/>
          <w:sz w:val="24"/>
          <w:szCs w:val="20"/>
        </w:rPr>
        <w:t xml:space="preserve"> </w:t>
      </w:r>
      <w:r w:rsidR="009A175A" w:rsidRPr="00E00CC5">
        <w:rPr>
          <w:rFonts w:ascii="VIC" w:hAnsi="VIC" w:cs="Arial"/>
          <w:color w:val="AF262E"/>
          <w:sz w:val="24"/>
          <w:szCs w:val="20"/>
        </w:rPr>
        <w:t>tender</w:t>
      </w:r>
      <w:r w:rsidR="00396954">
        <w:rPr>
          <w:rFonts w:ascii="VIC" w:hAnsi="VIC" w:cs="Arial"/>
          <w:color w:val="AF262E"/>
          <w:sz w:val="24"/>
          <w:szCs w:val="20"/>
        </w:rPr>
        <w:t>s released</w:t>
      </w:r>
      <w:r w:rsidRPr="00E00CC5">
        <w:rPr>
          <w:rFonts w:ascii="VIC" w:hAnsi="VIC" w:cs="Arial"/>
          <w:color w:val="AF262E"/>
          <w:sz w:val="24"/>
          <w:szCs w:val="20"/>
        </w:rPr>
        <w:t xml:space="preserve"> before</w:t>
      </w:r>
      <w:r w:rsidR="009A175A" w:rsidRPr="00E00CC5">
        <w:rPr>
          <w:rFonts w:ascii="VIC" w:hAnsi="VIC" w:cs="Arial"/>
          <w:color w:val="AF262E"/>
          <w:sz w:val="24"/>
          <w:szCs w:val="20"/>
        </w:rPr>
        <w:t xml:space="preserve"> 31 January 2023?</w:t>
      </w:r>
    </w:p>
    <w:p w14:paraId="6F29FD55" w14:textId="508701D9" w:rsidR="00A06205" w:rsidRDefault="0075568A" w:rsidP="00EA1A33">
      <w:pPr>
        <w:spacing w:before="120"/>
        <w:rPr>
          <w:rFonts w:ascii="VIC" w:hAnsi="VIC"/>
        </w:rPr>
      </w:pPr>
      <w:r>
        <w:rPr>
          <w:rFonts w:ascii="VIC" w:hAnsi="VIC"/>
        </w:rPr>
        <w:t>For t</w:t>
      </w:r>
      <w:r w:rsidR="008E67AC">
        <w:rPr>
          <w:rFonts w:ascii="VIC" w:hAnsi="VIC"/>
        </w:rPr>
        <w:t>enders released before</w:t>
      </w:r>
      <w:r w:rsidR="009A175A" w:rsidRPr="009A175A">
        <w:rPr>
          <w:rFonts w:ascii="VIC" w:hAnsi="VIC"/>
        </w:rPr>
        <w:t xml:space="preserve"> 31 January 2023</w:t>
      </w:r>
      <w:r>
        <w:rPr>
          <w:rFonts w:ascii="VIC" w:hAnsi="VIC"/>
        </w:rPr>
        <w:t>, agencies and suppliers</w:t>
      </w:r>
      <w:r w:rsidR="009A175A">
        <w:rPr>
          <w:rFonts w:ascii="VIC" w:hAnsi="VIC"/>
        </w:rPr>
        <w:t xml:space="preserve"> must </w:t>
      </w:r>
      <w:r w:rsidR="00274993">
        <w:rPr>
          <w:rFonts w:ascii="VIC" w:hAnsi="VIC"/>
        </w:rPr>
        <w:t>follow</w:t>
      </w:r>
      <w:r w:rsidR="009A175A">
        <w:rPr>
          <w:rFonts w:ascii="VIC" w:hAnsi="VIC"/>
        </w:rPr>
        <w:t xml:space="preserve"> the </w:t>
      </w:r>
      <w:r w:rsidR="009A175A" w:rsidRPr="00EA1A33">
        <w:rPr>
          <w:rFonts w:ascii="VIC" w:hAnsi="VIC"/>
          <w:u w:val="single"/>
        </w:rPr>
        <w:t>previous guidance</w:t>
      </w:r>
      <w:r w:rsidR="002D26CD">
        <w:rPr>
          <w:rFonts w:ascii="VIC" w:hAnsi="VIC"/>
        </w:rPr>
        <w:t xml:space="preserve"> </w:t>
      </w:r>
      <w:r w:rsidR="009A175A">
        <w:rPr>
          <w:rFonts w:ascii="VIC" w:hAnsi="VIC"/>
        </w:rPr>
        <w:t>for</w:t>
      </w:r>
      <w:r w:rsidR="00961BBF">
        <w:rPr>
          <w:rFonts w:ascii="VIC" w:hAnsi="VIC"/>
        </w:rPr>
        <w:t xml:space="preserve"> using the Deemed Hours Formula to calculate the MPSG requirement</w:t>
      </w:r>
      <w:r w:rsidR="00896322">
        <w:rPr>
          <w:rFonts w:ascii="VIC" w:hAnsi="VIC"/>
        </w:rPr>
        <w:t xml:space="preserve"> as outlined</w:t>
      </w:r>
      <w:r w:rsidR="00A06205">
        <w:rPr>
          <w:rFonts w:ascii="VIC" w:hAnsi="VIC"/>
        </w:rPr>
        <w:t xml:space="preserve"> </w:t>
      </w:r>
      <w:r w:rsidR="00A06205" w:rsidRPr="00A06205">
        <w:rPr>
          <w:rFonts w:ascii="VIC" w:hAnsi="VIC"/>
        </w:rPr>
        <w:t>in the</w:t>
      </w:r>
      <w:r w:rsidR="002D26CD">
        <w:rPr>
          <w:rFonts w:ascii="VIC" w:hAnsi="VIC"/>
        </w:rPr>
        <w:t xml:space="preserve"> May 2020</w:t>
      </w:r>
      <w:r w:rsidR="00A06205" w:rsidRPr="00A06205">
        <w:rPr>
          <w:rFonts w:ascii="VIC" w:hAnsi="VIC"/>
        </w:rPr>
        <w:t xml:space="preserve"> </w:t>
      </w:r>
      <w:r w:rsidR="00A06205">
        <w:rPr>
          <w:rFonts w:ascii="VIC" w:hAnsi="VIC" w:cstheme="minorHAnsi"/>
          <w:szCs w:val="18"/>
          <w:lang w:val="en-US"/>
        </w:rPr>
        <w:t xml:space="preserve">Local Jobs First </w:t>
      </w:r>
      <w:r w:rsidR="00A06205" w:rsidRPr="00510476">
        <w:rPr>
          <w:rFonts w:ascii="VIC" w:hAnsi="VIC" w:cstheme="minorHAnsi"/>
          <w:i/>
          <w:szCs w:val="18"/>
          <w:lang w:val="en-US"/>
        </w:rPr>
        <w:t>Agency Guidelines</w:t>
      </w:r>
      <w:r w:rsidR="00A06205">
        <w:rPr>
          <w:rFonts w:ascii="VIC" w:hAnsi="VIC" w:cstheme="minorHAnsi"/>
          <w:szCs w:val="18"/>
          <w:lang w:val="en-US"/>
        </w:rPr>
        <w:t xml:space="preserve"> and </w:t>
      </w:r>
      <w:r w:rsidR="00A06205" w:rsidRPr="00510476">
        <w:rPr>
          <w:rFonts w:ascii="VIC" w:hAnsi="VIC" w:cstheme="minorHAnsi"/>
          <w:i/>
          <w:szCs w:val="18"/>
          <w:lang w:val="en-US"/>
        </w:rPr>
        <w:t>Supplier Guidelines</w:t>
      </w:r>
      <w:r w:rsidR="00A06205">
        <w:rPr>
          <w:rFonts w:ascii="VIC" w:hAnsi="VIC" w:cstheme="minorHAnsi"/>
          <w:szCs w:val="18"/>
          <w:lang w:val="en-US"/>
        </w:rPr>
        <w:t xml:space="preserve"> available </w:t>
      </w:r>
      <w:r w:rsidR="00593BAC">
        <w:rPr>
          <w:rFonts w:ascii="VIC" w:hAnsi="VIC" w:cstheme="minorHAnsi"/>
          <w:szCs w:val="18"/>
          <w:lang w:val="en-US"/>
        </w:rPr>
        <w:t xml:space="preserve">on the </w:t>
      </w:r>
      <w:hyperlink r:id="rId24" w:history="1">
        <w:r w:rsidR="00593BAC" w:rsidRPr="002E14DF">
          <w:rPr>
            <w:rStyle w:val="Hyperlink"/>
            <w:rFonts w:ascii="VIC" w:hAnsi="VIC" w:cstheme="minorHAnsi"/>
            <w:szCs w:val="18"/>
            <w:lang w:val="en-US"/>
          </w:rPr>
          <w:t>Local Jobs First website</w:t>
        </w:r>
        <w:r w:rsidR="002D26CD" w:rsidRPr="002E14DF">
          <w:rPr>
            <w:rStyle w:val="Hyperlink"/>
            <w:rFonts w:ascii="VIC" w:hAnsi="VIC" w:cstheme="minorHAnsi"/>
            <w:lang w:val="en-US"/>
          </w:rPr>
          <w:t>.</w:t>
        </w:r>
      </w:hyperlink>
    </w:p>
    <w:p w14:paraId="5A00585D" w14:textId="3F078C93" w:rsidR="001F6E8C" w:rsidRPr="00E00CC5" w:rsidRDefault="001F6E8C" w:rsidP="001F6E8C">
      <w:pPr>
        <w:spacing w:before="240"/>
        <w:rPr>
          <w:rFonts w:ascii="VIC" w:hAnsi="VIC" w:cs="Arial"/>
          <w:color w:val="AF262E"/>
          <w:sz w:val="24"/>
          <w:szCs w:val="20"/>
        </w:rPr>
      </w:pPr>
      <w:r w:rsidRPr="00E00CC5">
        <w:rPr>
          <w:rFonts w:ascii="VIC" w:hAnsi="VIC" w:cs="Arial"/>
          <w:color w:val="AF262E"/>
          <w:sz w:val="24"/>
          <w:szCs w:val="20"/>
        </w:rPr>
        <w:t>How will this impact</w:t>
      </w:r>
      <w:r w:rsidR="000916A1">
        <w:rPr>
          <w:rFonts w:ascii="VIC" w:hAnsi="VIC" w:cs="Arial"/>
          <w:color w:val="AF262E"/>
          <w:sz w:val="24"/>
          <w:szCs w:val="20"/>
        </w:rPr>
        <w:t xml:space="preserve"> agencies developing project tenders for release on or after</w:t>
      </w:r>
      <w:r w:rsidRPr="00E00CC5">
        <w:rPr>
          <w:rFonts w:ascii="VIC" w:hAnsi="VIC" w:cs="Arial"/>
          <w:color w:val="AF262E"/>
          <w:sz w:val="24"/>
          <w:szCs w:val="20"/>
        </w:rPr>
        <w:t xml:space="preserve"> 31 January 2023?</w:t>
      </w:r>
    </w:p>
    <w:p w14:paraId="702BC3B8" w14:textId="71B9D274" w:rsidR="001F6E8C" w:rsidRDefault="00212DE7" w:rsidP="005205B7">
      <w:pPr>
        <w:spacing w:before="240"/>
        <w:rPr>
          <w:rFonts w:ascii="VIC" w:hAnsi="VIC" w:cs="Arial"/>
          <w:color w:val="AF262E"/>
          <w:sz w:val="24"/>
          <w:szCs w:val="20"/>
        </w:rPr>
      </w:pPr>
      <w:r w:rsidRPr="00EA1A33">
        <w:rPr>
          <w:rFonts w:ascii="VIC" w:hAnsi="VIC"/>
        </w:rPr>
        <w:t>Updated</w:t>
      </w:r>
      <w:r>
        <w:rPr>
          <w:rFonts w:ascii="VIC" w:hAnsi="VIC"/>
        </w:rPr>
        <w:t xml:space="preserve"> model clauses for MPSG projects will be provided</w:t>
      </w:r>
      <w:r w:rsidR="005219B8">
        <w:rPr>
          <w:rFonts w:ascii="VIC" w:hAnsi="VIC"/>
        </w:rPr>
        <w:t xml:space="preserve"> for inclusion in market approach documentation</w:t>
      </w:r>
      <w:r w:rsidR="006C73EA">
        <w:rPr>
          <w:rFonts w:ascii="VIC" w:hAnsi="VIC"/>
        </w:rPr>
        <w:t>.</w:t>
      </w:r>
    </w:p>
    <w:p w14:paraId="3BF4743D" w14:textId="00CBA3A8" w:rsidR="004C7924" w:rsidRPr="00E00CC5" w:rsidRDefault="004C7924" w:rsidP="00EA1A33">
      <w:pPr>
        <w:spacing w:before="240"/>
        <w:rPr>
          <w:rFonts w:ascii="VIC" w:hAnsi="VIC" w:cs="Arial"/>
          <w:color w:val="AF262E"/>
          <w:sz w:val="24"/>
          <w:szCs w:val="20"/>
        </w:rPr>
      </w:pPr>
      <w:r w:rsidRPr="00E00CC5">
        <w:rPr>
          <w:rFonts w:ascii="VIC" w:hAnsi="VIC" w:cs="Arial"/>
          <w:color w:val="AF262E"/>
          <w:sz w:val="24"/>
          <w:szCs w:val="20"/>
        </w:rPr>
        <w:t xml:space="preserve">I </w:t>
      </w:r>
      <w:r w:rsidR="00C43BDE" w:rsidRPr="00E00CC5">
        <w:rPr>
          <w:rFonts w:ascii="VIC" w:hAnsi="VIC" w:cs="Arial"/>
          <w:color w:val="AF262E"/>
          <w:sz w:val="24"/>
          <w:szCs w:val="20"/>
        </w:rPr>
        <w:t xml:space="preserve">have already applied </w:t>
      </w:r>
      <w:r w:rsidR="0045022F">
        <w:rPr>
          <w:rFonts w:ascii="VIC" w:hAnsi="VIC" w:cs="Arial"/>
          <w:color w:val="AF262E"/>
          <w:sz w:val="24"/>
          <w:szCs w:val="20"/>
        </w:rPr>
        <w:t xml:space="preserve">the </w:t>
      </w:r>
      <w:r w:rsidR="00C43BDE" w:rsidRPr="00E00CC5">
        <w:rPr>
          <w:rFonts w:ascii="VIC" w:hAnsi="VIC" w:cs="Arial"/>
          <w:color w:val="AF262E"/>
          <w:sz w:val="24"/>
          <w:szCs w:val="20"/>
        </w:rPr>
        <w:t>D</w:t>
      </w:r>
      <w:r w:rsidR="00700B50" w:rsidRPr="00E00CC5">
        <w:rPr>
          <w:rFonts w:ascii="VIC" w:hAnsi="VIC" w:cs="Arial"/>
          <w:color w:val="AF262E"/>
          <w:sz w:val="24"/>
          <w:szCs w:val="20"/>
        </w:rPr>
        <w:t>eemed Hours Formula</w:t>
      </w:r>
      <w:r w:rsidRPr="00E00CC5">
        <w:rPr>
          <w:rFonts w:ascii="VIC" w:hAnsi="VIC" w:cs="Arial"/>
          <w:color w:val="AF262E"/>
          <w:sz w:val="24"/>
          <w:szCs w:val="20"/>
        </w:rPr>
        <w:t xml:space="preserve"> to my project, what </w:t>
      </w:r>
      <w:r w:rsidR="00BD4393">
        <w:rPr>
          <w:rFonts w:ascii="VIC" w:hAnsi="VIC" w:cs="Arial"/>
          <w:color w:val="AF262E"/>
          <w:sz w:val="24"/>
          <w:szCs w:val="20"/>
        </w:rPr>
        <w:t>impact</w:t>
      </w:r>
      <w:r w:rsidRPr="00E00CC5">
        <w:rPr>
          <w:rFonts w:ascii="VIC" w:hAnsi="VIC" w:cs="Arial"/>
          <w:color w:val="AF262E"/>
          <w:sz w:val="24"/>
          <w:szCs w:val="20"/>
        </w:rPr>
        <w:t xml:space="preserve"> will this change have?</w:t>
      </w:r>
    </w:p>
    <w:p w14:paraId="4FEF3547" w14:textId="7A4000E0" w:rsidR="004308CE" w:rsidRDefault="00B73C55" w:rsidP="00EA1A33">
      <w:pPr>
        <w:spacing w:before="120"/>
        <w:rPr>
          <w:rFonts w:ascii="VIC" w:hAnsi="VIC"/>
        </w:rPr>
      </w:pPr>
      <w:r w:rsidRPr="00B73C55">
        <w:rPr>
          <w:rFonts w:ascii="VIC" w:hAnsi="VIC"/>
        </w:rPr>
        <w:t xml:space="preserve">These changes </w:t>
      </w:r>
      <w:r w:rsidRPr="0027573D">
        <w:rPr>
          <w:rFonts w:ascii="VIC" w:hAnsi="VIC"/>
          <w:u w:val="single"/>
        </w:rPr>
        <w:t>are not retrospective</w:t>
      </w:r>
      <w:r w:rsidRPr="00B73C55">
        <w:rPr>
          <w:rFonts w:ascii="VIC" w:hAnsi="VIC"/>
        </w:rPr>
        <w:t xml:space="preserve"> and will only apply to new </w:t>
      </w:r>
      <w:r>
        <w:rPr>
          <w:rFonts w:ascii="VIC" w:hAnsi="VIC"/>
        </w:rPr>
        <w:t>MPSG-applicable project</w:t>
      </w:r>
      <w:r w:rsidR="001834F0">
        <w:rPr>
          <w:rFonts w:ascii="VIC" w:hAnsi="VIC"/>
        </w:rPr>
        <w:t xml:space="preserve"> </w:t>
      </w:r>
      <w:r w:rsidR="004733B6" w:rsidRPr="009A175A">
        <w:rPr>
          <w:rFonts w:ascii="VIC" w:hAnsi="VIC"/>
        </w:rPr>
        <w:t>tender</w:t>
      </w:r>
      <w:r w:rsidR="001834F0">
        <w:rPr>
          <w:rFonts w:ascii="VIC" w:hAnsi="VIC"/>
        </w:rPr>
        <w:t>s released</w:t>
      </w:r>
      <w:r w:rsidR="004733B6" w:rsidRPr="009A175A">
        <w:rPr>
          <w:rFonts w:ascii="VIC" w:hAnsi="VIC"/>
        </w:rPr>
        <w:t xml:space="preserve"> </w:t>
      </w:r>
      <w:r w:rsidR="004733B6">
        <w:rPr>
          <w:rFonts w:ascii="VIC" w:hAnsi="VIC"/>
        </w:rPr>
        <w:t>on or after</w:t>
      </w:r>
      <w:r w:rsidR="004733B6" w:rsidRPr="009A175A">
        <w:rPr>
          <w:rFonts w:ascii="VIC" w:hAnsi="VIC"/>
        </w:rPr>
        <w:t xml:space="preserve"> 31 January 2023</w:t>
      </w:r>
      <w:r w:rsidRPr="00B73C55">
        <w:rPr>
          <w:rFonts w:ascii="VIC" w:hAnsi="VIC"/>
        </w:rPr>
        <w:t>.</w:t>
      </w:r>
      <w:r w:rsidR="00B804CA">
        <w:rPr>
          <w:rFonts w:ascii="VIC" w:hAnsi="VIC"/>
        </w:rPr>
        <w:t xml:space="preserve"> </w:t>
      </w:r>
      <w:r w:rsidR="008C6FCC">
        <w:rPr>
          <w:rFonts w:ascii="VIC" w:hAnsi="VIC"/>
        </w:rPr>
        <w:t>Bidders with</w:t>
      </w:r>
      <w:r w:rsidR="000923B2">
        <w:rPr>
          <w:rFonts w:ascii="VIC" w:hAnsi="VIC"/>
        </w:rPr>
        <w:t xml:space="preserve"> a submitted tender at this date</w:t>
      </w:r>
      <w:r w:rsidR="00B37E70">
        <w:rPr>
          <w:rFonts w:ascii="VIC" w:hAnsi="VIC"/>
        </w:rPr>
        <w:t xml:space="preserve"> will have followed the </w:t>
      </w:r>
      <w:r w:rsidR="00B37E70" w:rsidRPr="00B37E70">
        <w:rPr>
          <w:rFonts w:ascii="VIC" w:hAnsi="VIC"/>
        </w:rPr>
        <w:t>previous guidance for using the Deemed Hours Formula</w:t>
      </w:r>
      <w:r w:rsidR="00EC2A65">
        <w:rPr>
          <w:rFonts w:ascii="VIC" w:hAnsi="VIC"/>
        </w:rPr>
        <w:t>. T</w:t>
      </w:r>
      <w:r w:rsidR="00B37E70">
        <w:rPr>
          <w:rFonts w:ascii="VIC" w:hAnsi="VIC"/>
        </w:rPr>
        <w:t>his</w:t>
      </w:r>
      <w:r w:rsidR="00EC2A65">
        <w:rPr>
          <w:rFonts w:ascii="VIC" w:hAnsi="VIC"/>
        </w:rPr>
        <w:t xml:space="preserve"> change</w:t>
      </w:r>
      <w:r w:rsidR="00B37E70">
        <w:rPr>
          <w:rFonts w:ascii="VIC" w:hAnsi="VIC"/>
        </w:rPr>
        <w:t xml:space="preserve"> will not impact th</w:t>
      </w:r>
      <w:r w:rsidR="00EC2A65">
        <w:rPr>
          <w:rFonts w:ascii="VIC" w:hAnsi="VIC"/>
        </w:rPr>
        <w:t>e tender process for such projects</w:t>
      </w:r>
      <w:r w:rsidR="00B37E70" w:rsidRPr="00B37E70">
        <w:rPr>
          <w:rFonts w:ascii="VIC" w:hAnsi="VIC"/>
        </w:rPr>
        <w:t>.</w:t>
      </w:r>
    </w:p>
    <w:p w14:paraId="451926A0" w14:textId="449785F0" w:rsidR="00577B29" w:rsidRPr="00E00CC5" w:rsidRDefault="00604C81" w:rsidP="00EA1A33">
      <w:pPr>
        <w:spacing w:before="240"/>
        <w:rPr>
          <w:rFonts w:ascii="VIC" w:hAnsi="VIC" w:cs="Arial"/>
          <w:color w:val="AF262E"/>
          <w:sz w:val="24"/>
          <w:szCs w:val="20"/>
        </w:rPr>
      </w:pPr>
      <w:r>
        <w:rPr>
          <w:rFonts w:ascii="VIC" w:hAnsi="VIC" w:cs="Arial"/>
          <w:color w:val="AF262E"/>
          <w:sz w:val="24"/>
          <w:szCs w:val="20"/>
        </w:rPr>
        <w:t>W</w:t>
      </w:r>
      <w:r w:rsidR="00577B29" w:rsidRPr="00E00CC5">
        <w:rPr>
          <w:rFonts w:ascii="VIC" w:hAnsi="VIC" w:cs="Arial"/>
          <w:color w:val="AF262E"/>
          <w:sz w:val="24"/>
          <w:szCs w:val="20"/>
        </w:rPr>
        <w:t>ill this change</w:t>
      </w:r>
      <w:r w:rsidR="00700B50" w:rsidRPr="00E00CC5">
        <w:rPr>
          <w:rFonts w:ascii="VIC" w:hAnsi="VIC" w:cs="Arial"/>
          <w:color w:val="AF262E"/>
          <w:sz w:val="24"/>
          <w:szCs w:val="20"/>
        </w:rPr>
        <w:t xml:space="preserve"> i</w:t>
      </w:r>
      <w:r w:rsidR="00346727">
        <w:rPr>
          <w:rFonts w:ascii="VIC" w:hAnsi="VIC" w:cs="Arial"/>
          <w:color w:val="AF262E"/>
          <w:sz w:val="24"/>
          <w:szCs w:val="20"/>
        </w:rPr>
        <w:t>mp</w:t>
      </w:r>
      <w:r w:rsidR="00100244">
        <w:rPr>
          <w:rFonts w:ascii="VIC" w:hAnsi="VIC" w:cs="Arial"/>
          <w:color w:val="AF262E"/>
          <w:sz w:val="24"/>
          <w:szCs w:val="20"/>
        </w:rPr>
        <w:t>act</w:t>
      </w:r>
      <w:r w:rsidR="00346727">
        <w:rPr>
          <w:rFonts w:ascii="VIC" w:hAnsi="VIC" w:cs="Arial"/>
          <w:color w:val="AF262E"/>
          <w:sz w:val="24"/>
          <w:szCs w:val="20"/>
        </w:rPr>
        <w:t xml:space="preserve"> outcomes</w:t>
      </w:r>
      <w:r w:rsidR="00100244">
        <w:rPr>
          <w:rFonts w:ascii="VIC" w:hAnsi="VIC" w:cs="Arial"/>
          <w:color w:val="AF262E"/>
          <w:sz w:val="24"/>
          <w:szCs w:val="20"/>
        </w:rPr>
        <w:t xml:space="preserve"> for ATCs</w:t>
      </w:r>
      <w:r w:rsidR="00072B37">
        <w:rPr>
          <w:rFonts w:ascii="VIC" w:hAnsi="VIC" w:cs="Arial"/>
          <w:color w:val="AF262E"/>
          <w:sz w:val="24"/>
          <w:szCs w:val="20"/>
        </w:rPr>
        <w:t>?</w:t>
      </w:r>
    </w:p>
    <w:p w14:paraId="59F1413C" w14:textId="7C70527D" w:rsidR="008A2090" w:rsidRDefault="002440E4">
      <w:pPr>
        <w:pStyle w:val="bodycopy"/>
        <w:spacing w:before="120"/>
        <w:rPr>
          <w:rFonts w:ascii="VIC" w:hAnsi="VIC" w:cs="Times New Roman"/>
          <w:color w:val="53565A"/>
          <w:szCs w:val="24"/>
        </w:rPr>
      </w:pPr>
      <w:r>
        <w:rPr>
          <w:rFonts w:ascii="VIC" w:hAnsi="VIC" w:cs="Times New Roman"/>
          <w:color w:val="53565A"/>
          <w:szCs w:val="24"/>
        </w:rPr>
        <w:t>T</w:t>
      </w:r>
      <w:r w:rsidRPr="002440E4">
        <w:rPr>
          <w:rFonts w:ascii="VIC" w:hAnsi="VIC" w:cs="Times New Roman"/>
          <w:color w:val="53565A"/>
          <w:szCs w:val="24"/>
        </w:rPr>
        <w:t>his change reduces the complexity of estimating the MPSG commitment</w:t>
      </w:r>
      <w:r w:rsidR="00433417">
        <w:rPr>
          <w:rFonts w:ascii="VIC" w:hAnsi="VIC" w:cs="Times New Roman"/>
          <w:color w:val="53565A"/>
          <w:szCs w:val="24"/>
        </w:rPr>
        <w:t xml:space="preserve"> and provides suppliers with the </w:t>
      </w:r>
      <w:r w:rsidR="0002069E">
        <w:rPr>
          <w:rFonts w:ascii="VIC" w:hAnsi="VIC" w:cs="Times New Roman"/>
          <w:color w:val="53565A"/>
          <w:szCs w:val="24"/>
        </w:rPr>
        <w:t>flexibility</w:t>
      </w:r>
      <w:r w:rsidR="00433417">
        <w:rPr>
          <w:rFonts w:ascii="VIC" w:hAnsi="VIC" w:cs="Times New Roman"/>
          <w:color w:val="53565A"/>
          <w:szCs w:val="24"/>
        </w:rPr>
        <w:t xml:space="preserve"> to </w:t>
      </w:r>
      <w:r w:rsidR="0002069E">
        <w:rPr>
          <w:rFonts w:ascii="VIC" w:hAnsi="VIC" w:cs="Times New Roman"/>
          <w:color w:val="53565A"/>
          <w:szCs w:val="24"/>
        </w:rPr>
        <w:t>estimate project labour hours based on available information.</w:t>
      </w:r>
      <w:r w:rsidR="001E6ADB">
        <w:rPr>
          <w:rFonts w:ascii="VIC" w:hAnsi="VIC" w:cs="Times New Roman"/>
          <w:color w:val="53565A"/>
          <w:szCs w:val="24"/>
        </w:rPr>
        <w:t xml:space="preserve"> It</w:t>
      </w:r>
      <w:r w:rsidRPr="002440E4">
        <w:rPr>
          <w:rFonts w:ascii="VIC" w:hAnsi="VIC" w:cs="Times New Roman"/>
          <w:color w:val="53565A"/>
          <w:szCs w:val="24"/>
        </w:rPr>
        <w:t xml:space="preserve"> is not expected to significantly impact the number of hours </w:t>
      </w:r>
      <w:r w:rsidR="00A64ADD">
        <w:rPr>
          <w:rFonts w:ascii="VIC" w:hAnsi="VIC" w:cs="Times New Roman"/>
          <w:color w:val="53565A"/>
          <w:szCs w:val="24"/>
        </w:rPr>
        <w:t xml:space="preserve">required to be </w:t>
      </w:r>
      <w:r w:rsidRPr="002440E4">
        <w:rPr>
          <w:rFonts w:ascii="VIC" w:hAnsi="VIC" w:cs="Times New Roman"/>
          <w:color w:val="53565A"/>
          <w:szCs w:val="24"/>
        </w:rPr>
        <w:t xml:space="preserve">completed by ATCs on major projects. </w:t>
      </w:r>
      <w:r w:rsidR="00D1517C">
        <w:rPr>
          <w:rFonts w:ascii="VIC" w:hAnsi="VIC" w:cs="Times New Roman"/>
          <w:color w:val="53565A"/>
          <w:szCs w:val="24"/>
        </w:rPr>
        <w:t>Agencies are responsible for</w:t>
      </w:r>
      <w:r w:rsidR="00046BA4">
        <w:rPr>
          <w:rFonts w:ascii="VIC" w:hAnsi="VIC" w:cs="Times New Roman"/>
          <w:color w:val="53565A"/>
          <w:szCs w:val="24"/>
        </w:rPr>
        <w:t xml:space="preserve"> monitoring </w:t>
      </w:r>
      <w:r w:rsidR="00F1538C">
        <w:rPr>
          <w:rFonts w:ascii="VIC" w:hAnsi="VIC" w:cs="Times New Roman"/>
          <w:color w:val="53565A"/>
          <w:szCs w:val="24"/>
        </w:rPr>
        <w:t xml:space="preserve">supplier ATC </w:t>
      </w:r>
      <w:r w:rsidR="00046BA4">
        <w:rPr>
          <w:rFonts w:ascii="VIC" w:hAnsi="VIC" w:cs="Times New Roman"/>
          <w:color w:val="53565A"/>
          <w:szCs w:val="24"/>
        </w:rPr>
        <w:t>commitments</w:t>
      </w:r>
      <w:r w:rsidR="00A96315">
        <w:rPr>
          <w:rFonts w:ascii="VIC" w:hAnsi="VIC" w:cs="Times New Roman"/>
          <w:color w:val="53565A"/>
          <w:szCs w:val="24"/>
        </w:rPr>
        <w:t xml:space="preserve"> to ensure compliance.</w:t>
      </w:r>
      <w:r w:rsidR="00F1538C">
        <w:rPr>
          <w:rFonts w:ascii="VIC" w:hAnsi="VIC" w:cs="Times New Roman"/>
          <w:color w:val="53565A"/>
          <w:szCs w:val="24"/>
        </w:rPr>
        <w:t xml:space="preserve"> </w:t>
      </w:r>
      <w:r w:rsidRPr="00087AA3">
        <w:rPr>
          <w:rFonts w:ascii="VIC" w:hAnsi="VIC" w:cs="Times New Roman"/>
          <w:color w:val="53565A"/>
          <w:szCs w:val="24"/>
        </w:rPr>
        <w:t>DJPR will continue to monitor the implementation of the policy to maximise outcomes</w:t>
      </w:r>
      <w:r w:rsidRPr="00673EFA">
        <w:rPr>
          <w:rFonts w:ascii="VIC" w:hAnsi="VIC" w:cs="Times New Roman"/>
          <w:color w:val="53565A"/>
          <w:szCs w:val="24"/>
        </w:rPr>
        <w:t>.</w:t>
      </w:r>
      <w:r>
        <w:rPr>
          <w:rFonts w:ascii="VIC" w:hAnsi="VIC" w:cs="Times New Roman"/>
          <w:color w:val="53565A"/>
          <w:szCs w:val="24"/>
        </w:rPr>
        <w:t xml:space="preserve"> </w:t>
      </w:r>
    </w:p>
    <w:p w14:paraId="3F6C1515" w14:textId="51E55402" w:rsidR="00087AA3" w:rsidRPr="00E00CC5" w:rsidRDefault="00087AA3" w:rsidP="00087AA3">
      <w:pPr>
        <w:spacing w:before="240"/>
        <w:rPr>
          <w:rFonts w:ascii="VIC" w:hAnsi="VIC" w:cs="Arial"/>
          <w:color w:val="AF262E"/>
          <w:sz w:val="24"/>
          <w:szCs w:val="20"/>
        </w:rPr>
      </w:pPr>
      <w:r w:rsidRPr="00E00CC5">
        <w:rPr>
          <w:rFonts w:ascii="VIC" w:hAnsi="VIC" w:cs="Arial"/>
          <w:color w:val="AF262E"/>
          <w:sz w:val="24"/>
          <w:szCs w:val="20"/>
        </w:rPr>
        <w:t>Will this change i</w:t>
      </w:r>
      <w:r>
        <w:rPr>
          <w:rFonts w:ascii="VIC" w:hAnsi="VIC" w:cs="Arial"/>
          <w:color w:val="AF262E"/>
          <w:sz w:val="24"/>
          <w:szCs w:val="20"/>
        </w:rPr>
        <w:t>mpact monitoring and reporting?</w:t>
      </w:r>
    </w:p>
    <w:p w14:paraId="799786BE" w14:textId="02B1D741" w:rsidR="00577B29" w:rsidRPr="00B10277" w:rsidRDefault="00087AA3" w:rsidP="00EA1A33">
      <w:pPr>
        <w:pStyle w:val="bodycopy"/>
        <w:spacing w:before="120"/>
        <w:rPr>
          <w:rFonts w:ascii="VIC" w:hAnsi="VIC" w:cs="Times New Roman"/>
          <w:color w:val="53565A"/>
          <w:szCs w:val="24"/>
        </w:rPr>
      </w:pPr>
      <w:r w:rsidRPr="00087AA3">
        <w:rPr>
          <w:rFonts w:ascii="VIC" w:hAnsi="VIC" w:cs="Times New Roman"/>
          <w:color w:val="53565A"/>
          <w:szCs w:val="24"/>
        </w:rPr>
        <w:t xml:space="preserve">Monitoring and reporting of achievements against MPSG commitments will continue unaffected. Suppliers will continue to submit reporting through the VMC as normal and the structure, content and frequency of reporting will not be affected. </w:t>
      </w:r>
    </w:p>
    <w:p w14:paraId="0CD970C4" w14:textId="77777777" w:rsidR="00EE2B8F" w:rsidRDefault="00EE2B8F" w:rsidP="00FE55DC">
      <w:pPr>
        <w:rPr>
          <w:rFonts w:ascii="VIC" w:hAnsi="VIC"/>
        </w:rPr>
      </w:pPr>
    </w:p>
    <w:p w14:paraId="55EEC84D" w14:textId="77777777" w:rsidR="00A25717" w:rsidRDefault="00A25717" w:rsidP="00FE55DC">
      <w:pPr>
        <w:rPr>
          <w:rFonts w:ascii="VIC" w:hAnsi="VIC"/>
        </w:rPr>
        <w:sectPr w:rsidR="00A25717" w:rsidSect="00EA1A33">
          <w:type w:val="continuous"/>
          <w:pgSz w:w="11906" w:h="16838"/>
          <w:pgMar w:top="540" w:right="1440" w:bottom="1843" w:left="1440" w:header="494" w:footer="567" w:gutter="0"/>
          <w:cols w:space="708"/>
          <w:docGrid w:linePitch="360"/>
        </w:sectPr>
      </w:pPr>
    </w:p>
    <w:p w14:paraId="5F661739" w14:textId="77777777" w:rsidR="00FE55DC" w:rsidRDefault="00FE55DC" w:rsidP="00FE55DC">
      <w:pPr>
        <w:rPr>
          <w:rFonts w:ascii="VIC" w:hAnsi="VIC"/>
        </w:rPr>
      </w:pPr>
    </w:p>
    <w:p w14:paraId="7D3FD077" w14:textId="77777777" w:rsidR="002E14DF" w:rsidRDefault="002E14DF" w:rsidP="009F223C">
      <w:pPr>
        <w:pStyle w:val="bodycopy"/>
        <w:rPr>
          <w:rFonts w:ascii="VIC" w:hAnsi="VIC" w:cs="Times New Roman"/>
          <w:color w:val="53565A"/>
          <w:szCs w:val="24"/>
        </w:rPr>
      </w:pPr>
    </w:p>
    <w:p w14:paraId="1038E144" w14:textId="77777777" w:rsidR="002E14DF" w:rsidRDefault="002E14DF" w:rsidP="009F223C">
      <w:pPr>
        <w:pStyle w:val="bodycopy"/>
        <w:rPr>
          <w:rFonts w:ascii="VIC" w:hAnsi="VIC" w:cs="Times New Roman"/>
          <w:color w:val="53565A"/>
          <w:szCs w:val="24"/>
        </w:rPr>
      </w:pPr>
    </w:p>
    <w:p w14:paraId="4BCDE2E1" w14:textId="142D636A" w:rsidR="009F223C" w:rsidRPr="00EA1A33" w:rsidRDefault="009F223C" w:rsidP="009F223C">
      <w:pPr>
        <w:pStyle w:val="bodycopy"/>
        <w:rPr>
          <w:rFonts w:ascii="VIC" w:hAnsi="VIC" w:cs="Times New Roman"/>
          <w:color w:val="53565A"/>
          <w:szCs w:val="24"/>
        </w:rPr>
      </w:pPr>
      <w:r w:rsidRPr="00EA1A33">
        <w:rPr>
          <w:rFonts w:ascii="VIC" w:hAnsi="VIC" w:cs="Times New Roman"/>
          <w:color w:val="53565A"/>
          <w:szCs w:val="24"/>
        </w:rPr>
        <w:t>Authorised by the Department of Jobs, Precincts and Regions</w:t>
      </w:r>
    </w:p>
    <w:p w14:paraId="3485A6B5" w14:textId="77777777" w:rsidR="009F223C" w:rsidRPr="00EA1A33" w:rsidRDefault="009F223C" w:rsidP="009F223C">
      <w:pPr>
        <w:pStyle w:val="bodycopynospace"/>
        <w:rPr>
          <w:rFonts w:ascii="VIC" w:hAnsi="VIC" w:cs="Times New Roman"/>
          <w:color w:val="53565A"/>
          <w:szCs w:val="24"/>
        </w:rPr>
      </w:pPr>
      <w:r w:rsidRPr="00EA1A33">
        <w:rPr>
          <w:rFonts w:ascii="VIC" w:hAnsi="VIC" w:cs="Times New Roman"/>
          <w:color w:val="53565A"/>
          <w:szCs w:val="24"/>
        </w:rPr>
        <w:t xml:space="preserve">Department of Jobs, Precincts and Regions </w:t>
      </w:r>
    </w:p>
    <w:p w14:paraId="065946D9" w14:textId="77777777" w:rsidR="009F223C" w:rsidRPr="00EA1A33" w:rsidRDefault="009F223C" w:rsidP="009F223C">
      <w:pPr>
        <w:pStyle w:val="bodycopynospace"/>
        <w:rPr>
          <w:rFonts w:ascii="VIC" w:hAnsi="VIC" w:cs="Times New Roman"/>
          <w:color w:val="53565A"/>
          <w:szCs w:val="24"/>
        </w:rPr>
      </w:pPr>
      <w:r w:rsidRPr="00EA1A33">
        <w:rPr>
          <w:rFonts w:ascii="VIC" w:hAnsi="VIC" w:cs="Times New Roman"/>
          <w:color w:val="53565A"/>
          <w:szCs w:val="24"/>
        </w:rPr>
        <w:t>1 Spring Street Melbourne Victoria 3000</w:t>
      </w:r>
    </w:p>
    <w:p w14:paraId="29FFA52F" w14:textId="77777777" w:rsidR="009F223C" w:rsidRPr="00EA1A33" w:rsidRDefault="009F223C" w:rsidP="009F223C">
      <w:pPr>
        <w:pStyle w:val="bodycopynospace"/>
        <w:rPr>
          <w:rFonts w:ascii="VIC" w:hAnsi="VIC" w:cs="Times New Roman"/>
          <w:color w:val="53565A"/>
          <w:szCs w:val="24"/>
        </w:rPr>
      </w:pPr>
      <w:r w:rsidRPr="00EA1A33">
        <w:rPr>
          <w:rFonts w:ascii="VIC" w:hAnsi="VIC" w:cs="Times New Roman"/>
          <w:color w:val="53565A"/>
          <w:szCs w:val="24"/>
        </w:rPr>
        <w:t>Telephone (03) 9651 9999</w:t>
      </w:r>
    </w:p>
    <w:p w14:paraId="4F70D84F" w14:textId="77777777" w:rsidR="009F223C" w:rsidRPr="00EA1A33" w:rsidRDefault="009F223C" w:rsidP="009F223C">
      <w:pPr>
        <w:pStyle w:val="bodycopynospace"/>
        <w:rPr>
          <w:rFonts w:ascii="VIC" w:hAnsi="VIC" w:cs="Times New Roman"/>
          <w:color w:val="53565A"/>
          <w:szCs w:val="24"/>
        </w:rPr>
      </w:pPr>
      <w:r w:rsidRPr="00EA1A33">
        <w:rPr>
          <w:rFonts w:ascii="VIC" w:hAnsi="VIC" w:cs="Times New Roman"/>
          <w:color w:val="53565A"/>
          <w:szCs w:val="24"/>
        </w:rPr>
        <w:t xml:space="preserve">© Copyright State of Victoria, </w:t>
      </w:r>
    </w:p>
    <w:p w14:paraId="37273F8B" w14:textId="77777777" w:rsidR="009F223C" w:rsidRPr="00EA1A33" w:rsidRDefault="009F223C" w:rsidP="009F223C">
      <w:pPr>
        <w:pStyle w:val="bodycopy"/>
        <w:rPr>
          <w:rFonts w:ascii="VIC" w:hAnsi="VIC" w:cs="Times New Roman"/>
          <w:color w:val="53565A"/>
          <w:szCs w:val="24"/>
        </w:rPr>
      </w:pPr>
      <w:r w:rsidRPr="00EA1A33">
        <w:rPr>
          <w:rFonts w:ascii="VIC" w:hAnsi="VIC" w:cs="Times New Roman"/>
          <w:color w:val="53565A"/>
          <w:szCs w:val="24"/>
        </w:rPr>
        <w:t>Department of Jobs, Precincts and Regions 2022</w:t>
      </w:r>
    </w:p>
    <w:p w14:paraId="44872357" w14:textId="1A4E64FE" w:rsidR="00A25717" w:rsidRPr="002E14DF" w:rsidRDefault="009F223C" w:rsidP="002E14DF">
      <w:pPr>
        <w:pStyle w:val="bodycopy"/>
        <w:rPr>
          <w:rFonts w:ascii="VIC" w:hAnsi="VIC" w:cs="Times New Roman"/>
          <w:color w:val="53565A"/>
          <w:szCs w:val="24"/>
        </w:rPr>
        <w:sectPr w:rsidR="00A25717" w:rsidRPr="002E14DF" w:rsidSect="002E14DF">
          <w:type w:val="continuous"/>
          <w:pgSz w:w="11906" w:h="16838"/>
          <w:pgMar w:top="1701" w:right="1440" w:bottom="1418" w:left="1440" w:header="709" w:footer="567" w:gutter="0"/>
          <w:cols w:space="708"/>
          <w:docGrid w:linePitch="360"/>
        </w:sectPr>
      </w:pPr>
      <w:r w:rsidRPr="00EA1A33">
        <w:rPr>
          <w:rFonts w:ascii="VIC" w:hAnsi="VIC" w:cs="Times New Roman"/>
          <w:color w:val="53565A"/>
          <w:szCs w:val="24"/>
        </w:rPr>
        <w:t>Except for any logos, emblems, trademarks, artwork and photography this document is made available under the terms of the Creative Commons Attribution 3.0 Australia license</w:t>
      </w:r>
    </w:p>
    <w:p w14:paraId="10B0079B" w14:textId="72A93327" w:rsidR="00581705" w:rsidRPr="00200FC0" w:rsidRDefault="00581705" w:rsidP="002E14DF">
      <w:pPr>
        <w:rPr>
          <w:rFonts w:ascii="VIC" w:hAnsi="VIC"/>
        </w:rPr>
      </w:pPr>
    </w:p>
    <w:sectPr w:rsidR="00581705" w:rsidRPr="00200FC0" w:rsidSect="00002DB9">
      <w:type w:val="continuous"/>
      <w:pgSz w:w="11906" w:h="16838"/>
      <w:pgMar w:top="1701" w:right="1440" w:bottom="184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E89A" w14:textId="77777777" w:rsidR="008F1A2B" w:rsidRDefault="008F1A2B" w:rsidP="006518B1">
      <w:r>
        <w:separator/>
      </w:r>
    </w:p>
  </w:endnote>
  <w:endnote w:type="continuationSeparator" w:id="0">
    <w:p w14:paraId="31EB54DF" w14:textId="77777777" w:rsidR="008F1A2B" w:rsidRDefault="008F1A2B" w:rsidP="006518B1">
      <w:r>
        <w:continuationSeparator/>
      </w:r>
    </w:p>
  </w:endnote>
  <w:endnote w:type="continuationNotice" w:id="1">
    <w:p w14:paraId="6F4E195F" w14:textId="77777777" w:rsidR="008F1A2B" w:rsidRDefault="008F1A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A6F3" w14:textId="77777777" w:rsidR="009535BC" w:rsidRDefault="00953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D8DE" w14:textId="32AED61D" w:rsidR="006518B1" w:rsidRPr="00F62A4A" w:rsidRDefault="009E3599" w:rsidP="006518B1">
    <w:pPr>
      <w:pStyle w:val="Footer"/>
    </w:pPr>
    <w:r>
      <w:rPr>
        <w:noProof/>
      </w:rPr>
      <mc:AlternateContent>
        <mc:Choice Requires="wps">
          <w:drawing>
            <wp:anchor distT="0" distB="0" distL="114300" distR="114300" simplePos="1" relativeHeight="251654144" behindDoc="0" locked="0" layoutInCell="0" allowOverlap="1" wp14:anchorId="7858EEB9" wp14:editId="5885E78E">
              <wp:simplePos x="0" y="10228183"/>
              <wp:positionH relativeFrom="page">
                <wp:posOffset>0</wp:posOffset>
              </wp:positionH>
              <wp:positionV relativeFrom="page">
                <wp:posOffset>10228580</wp:posOffset>
              </wp:positionV>
              <wp:extent cx="7560310" cy="273050"/>
              <wp:effectExtent l="0" t="0" r="0" b="12700"/>
              <wp:wrapNone/>
              <wp:docPr id="14" name="MSIPCMa23e4b3dbe290252e7b135f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30EA8" w14:textId="38D51DB7" w:rsidR="009E3599" w:rsidRPr="00AB5D86" w:rsidRDefault="00AB5D86" w:rsidP="00AB5D86">
                          <w:pPr>
                            <w:spacing w:after="0"/>
                            <w:jc w:val="center"/>
                            <w:rPr>
                              <w:rFonts w:cs="Arial"/>
                              <w:color w:val="000000"/>
                              <w:sz w:val="24"/>
                            </w:rPr>
                          </w:pPr>
                          <w:r w:rsidRPr="00AB5D86">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58EEB9" id="_x0000_t202" coordsize="21600,21600" o:spt="202" path="m,l,21600r21600,l21600,xe">
              <v:stroke joinstyle="miter"/>
              <v:path gradientshapeok="t" o:connecttype="rect"/>
            </v:shapetype>
            <v:shape id="MSIPCMa23e4b3dbe290252e7b135f0" o:spid="_x0000_s1028" type="#_x0000_t202" alt="{&quot;HashCode&quot;:376260202,&quot;Height&quot;:841.0,&quot;Width&quot;:595.0,&quot;Placement&quot;:&quot;Footer&quot;,&quot;Index&quot;:&quot;Primary&quot;,&quot;Section&quot;:1,&quot;Top&quot;:0.0,&quot;Left&quot;:0.0}" style="position:absolute;margin-left:0;margin-top:805.4pt;width:595.3pt;height:21.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3AB30EA8" w14:textId="38D51DB7" w:rsidR="009E3599" w:rsidRPr="00AB5D86" w:rsidRDefault="00AB5D86" w:rsidP="00AB5D86">
                    <w:pPr>
                      <w:spacing w:after="0"/>
                      <w:jc w:val="center"/>
                      <w:rPr>
                        <w:rFonts w:cs="Arial"/>
                        <w:color w:val="000000"/>
                        <w:sz w:val="24"/>
                      </w:rPr>
                    </w:pPr>
                    <w:r w:rsidRPr="00AB5D86">
                      <w:rPr>
                        <w:rFonts w:cs="Arial"/>
                        <w:color w:val="000000"/>
                        <w:sz w:val="24"/>
                      </w:rPr>
                      <w:t>OFFICIAL</w:t>
                    </w:r>
                  </w:p>
                </w:txbxContent>
              </v:textbox>
              <w10:wrap anchorx="page" anchory="page"/>
            </v:shape>
          </w:pict>
        </mc:Fallback>
      </mc:AlternateContent>
    </w:r>
  </w:p>
  <w:sdt>
    <w:sdtPr>
      <w:id w:val="204231074"/>
      <w:docPartObj>
        <w:docPartGallery w:val="Page Numbers (Bottom of Page)"/>
        <w:docPartUnique/>
      </w:docPartObj>
    </w:sdtPr>
    <w:sdtEndPr/>
    <w:sdtContent>
      <w:sdt>
        <w:sdtPr>
          <w:id w:val="273139613"/>
          <w:docPartObj>
            <w:docPartGallery w:val="Page Numbers (Top of Page)"/>
            <w:docPartUnique/>
          </w:docPartObj>
        </w:sdtPr>
        <w:sdtEndPr/>
        <w:sdtContent>
          <w:p w14:paraId="4E47A9CA" w14:textId="08AB1A39" w:rsidR="006518B1" w:rsidRPr="00F62A4A" w:rsidRDefault="006518B1" w:rsidP="006518B1">
            <w:pPr>
              <w:pStyle w:val="Footer"/>
            </w:pPr>
            <w:r w:rsidRPr="002F616C">
              <w:ptab w:relativeTo="margin" w:alignment="left" w:leader="none"/>
            </w:r>
            <w:r w:rsidRPr="002F616C">
              <w:t>Factsheet title</w:t>
            </w:r>
            <w:r>
              <w:tab/>
            </w:r>
            <w:r>
              <w:fldChar w:fldCharType="begin"/>
            </w:r>
            <w:r>
              <w:instrText xml:space="preserve"> PAGE </w:instrText>
            </w:r>
            <w:r>
              <w:fldChar w:fldCharType="separate"/>
            </w:r>
            <w:r w:rsidR="00CA3F8B">
              <w:rPr>
                <w:noProof/>
              </w:rPr>
              <w:t>2</w:t>
            </w:r>
            <w:r>
              <w:fldChar w:fldCharType="end"/>
            </w:r>
            <w:r>
              <w:t xml:space="preserve"> of </w:t>
            </w:r>
            <w:r w:rsidR="00B93D1B">
              <w:rPr>
                <w:noProof/>
              </w:rPr>
              <w:fldChar w:fldCharType="begin"/>
            </w:r>
            <w:r w:rsidR="00B93D1B">
              <w:rPr>
                <w:noProof/>
              </w:rPr>
              <w:instrText xml:space="preserve"> NUMPAGES  </w:instrText>
            </w:r>
            <w:r w:rsidR="00B93D1B">
              <w:rPr>
                <w:noProof/>
              </w:rPr>
              <w:fldChar w:fldCharType="separate"/>
            </w:r>
            <w:r w:rsidR="00CA3F8B">
              <w:rPr>
                <w:noProof/>
              </w:rPr>
              <w:t>2</w:t>
            </w:r>
            <w:r w:rsidR="00B93D1B">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2F5" w14:textId="0D6C534E" w:rsidR="002A2707" w:rsidRDefault="004A357C">
    <w:pPr>
      <w:pStyle w:val="Footer"/>
    </w:pPr>
    <w:r w:rsidRPr="00510476">
      <w:rPr>
        <w:rFonts w:ascii="VIC" w:hAnsi="VIC"/>
        <w:b/>
        <w:bCs/>
      </w:rPr>
      <w:t>October 2022</w:t>
    </w:r>
    <w:r w:rsidRPr="00EE5398">
      <w:rPr>
        <w:noProof/>
        <w:lang w:val="en-GB" w:eastAsia="en-GB"/>
      </w:rPr>
      <w:drawing>
        <wp:anchor distT="0" distB="0" distL="114300" distR="114300" simplePos="0" relativeHeight="251663360" behindDoc="1" locked="0" layoutInCell="0" allowOverlap="1" wp14:anchorId="437E48F3" wp14:editId="72A5B3BD">
          <wp:simplePos x="0" y="0"/>
          <wp:positionH relativeFrom="page">
            <wp:posOffset>5848066</wp:posOffset>
          </wp:positionH>
          <wp:positionV relativeFrom="page">
            <wp:posOffset>9925590</wp:posOffset>
          </wp:positionV>
          <wp:extent cx="1335600" cy="403200"/>
          <wp:effectExtent l="0" t="0" r="0" b="3810"/>
          <wp:wrapNone/>
          <wp:docPr id="216" name="Picture 216" descr="Victorian Government 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Victorian Government Department of Jobs, Precincts and Regions logo"/>
                  <pic:cNvPicPr/>
                </pic:nvPicPr>
                <pic:blipFill>
                  <a:blip r:embed="rId1"/>
                  <a:stretch>
                    <a:fillRect/>
                  </a:stretch>
                </pic:blipFill>
                <pic:spPr>
                  <a:xfrm>
                    <a:off x="0" y="0"/>
                    <a:ext cx="1335600" cy="40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F2D0" w14:textId="5930C5D0" w:rsidR="00AA12E1" w:rsidRDefault="00AA12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6B96" w14:textId="3B620879" w:rsidR="00AA12E1" w:rsidRPr="00EA1A33" w:rsidRDefault="003B6D10" w:rsidP="00EA1A33">
    <w:pPr>
      <w:pStyle w:val="Footer"/>
      <w:tabs>
        <w:tab w:val="clear" w:pos="4513"/>
      </w:tabs>
      <w:rPr>
        <w:rFonts w:ascii="VIC" w:hAnsi="VIC"/>
        <w:b/>
        <w:bCs/>
      </w:rPr>
    </w:pPr>
    <w:r w:rsidRPr="00EE5398">
      <w:rPr>
        <w:noProof/>
        <w:lang w:val="en-GB" w:eastAsia="en-GB"/>
      </w:rPr>
      <w:drawing>
        <wp:anchor distT="0" distB="0" distL="114300" distR="114300" simplePos="0" relativeHeight="251661312" behindDoc="1" locked="0" layoutInCell="0" allowOverlap="1" wp14:anchorId="24C4C736" wp14:editId="1D480488">
          <wp:simplePos x="0" y="0"/>
          <wp:positionH relativeFrom="page">
            <wp:posOffset>5738883</wp:posOffset>
          </wp:positionH>
          <wp:positionV relativeFrom="page">
            <wp:posOffset>9907014</wp:posOffset>
          </wp:positionV>
          <wp:extent cx="1335600" cy="403200"/>
          <wp:effectExtent l="0" t="0" r="0" b="3810"/>
          <wp:wrapNone/>
          <wp:docPr id="240" name="Picture 240" descr="Victorian Government 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Victorian Government Department of Jobs, Precincts and Regions logo"/>
                  <pic:cNvPicPr/>
                </pic:nvPicPr>
                <pic:blipFill>
                  <a:blip r:embed="rId1"/>
                  <a:stretch>
                    <a:fillRect/>
                  </a:stretch>
                </pic:blipFill>
                <pic:spPr>
                  <a:xfrm>
                    <a:off x="0" y="0"/>
                    <a:ext cx="1335600" cy="403200"/>
                  </a:xfrm>
                  <a:prstGeom prst="rect">
                    <a:avLst/>
                  </a:prstGeom>
                </pic:spPr>
              </pic:pic>
            </a:graphicData>
          </a:graphic>
          <wp14:sizeRelH relativeFrom="margin">
            <wp14:pctWidth>0</wp14:pctWidth>
          </wp14:sizeRelH>
          <wp14:sizeRelV relativeFrom="margin">
            <wp14:pctHeight>0</wp14:pctHeight>
          </wp14:sizeRelV>
        </wp:anchor>
      </w:drawing>
    </w:r>
    <w:r w:rsidR="001713F3" w:rsidRPr="00EA1A33">
      <w:rPr>
        <w:rFonts w:ascii="VIC" w:hAnsi="VIC"/>
        <w:b/>
        <w:bCs/>
      </w:rPr>
      <w:t>October 2022</w:t>
    </w:r>
    <w:r>
      <w:rPr>
        <w:rFonts w:ascii="VIC" w:hAnsi="VIC"/>
        <w:b/>
        <w:bC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E077" w14:textId="11BF4F96" w:rsidR="00AA12E1" w:rsidRDefault="009E3599">
    <w:pPr>
      <w:pStyle w:val="Footer"/>
    </w:pPr>
    <w:r>
      <w:rPr>
        <w:noProof/>
      </w:rPr>
      <mc:AlternateContent>
        <mc:Choice Requires="wps">
          <w:drawing>
            <wp:anchor distT="0" distB="0" distL="114300" distR="114300" simplePos="1" relativeHeight="251656192" behindDoc="0" locked="0" layoutInCell="0" allowOverlap="1" wp14:anchorId="735CEE87" wp14:editId="5DDD684C">
              <wp:simplePos x="0" y="10228183"/>
              <wp:positionH relativeFrom="page">
                <wp:posOffset>0</wp:posOffset>
              </wp:positionH>
              <wp:positionV relativeFrom="page">
                <wp:posOffset>10228580</wp:posOffset>
              </wp:positionV>
              <wp:extent cx="7560310" cy="273050"/>
              <wp:effectExtent l="0" t="0" r="0" b="12700"/>
              <wp:wrapNone/>
              <wp:docPr id="6" name="MSIPCMd5ec47aa9b71572b747a3133" descr="{&quot;HashCode&quot;:376260202,&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925E1" w14:textId="57EA6748" w:rsidR="009E3599" w:rsidRPr="00AB5D86" w:rsidRDefault="00AB5D86" w:rsidP="00AB5D86">
                          <w:pPr>
                            <w:spacing w:after="0"/>
                            <w:jc w:val="center"/>
                            <w:rPr>
                              <w:rFonts w:cs="Arial"/>
                              <w:color w:val="000000"/>
                              <w:sz w:val="24"/>
                            </w:rPr>
                          </w:pPr>
                          <w:r w:rsidRPr="00AB5D86">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5CEE87" id="_x0000_t202" coordsize="21600,21600" o:spt="202" path="m,l,21600r21600,l21600,xe">
              <v:stroke joinstyle="miter"/>
              <v:path gradientshapeok="t" o:connecttype="rect"/>
            </v:shapetype>
            <v:shape id="MSIPCMd5ec47aa9b71572b747a3133" o:spid="_x0000_s1030" type="#_x0000_t202" alt="{&quot;HashCode&quot;:376260202,&quot;Height&quot;:841.0,&quot;Width&quot;:595.0,&quot;Placement&quot;:&quot;Footer&quot;,&quot;Index&quot;:&quot;FirstPage&quot;,&quot;Section&quot;:2,&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24A925E1" w14:textId="57EA6748" w:rsidR="009E3599" w:rsidRPr="00AB5D86" w:rsidRDefault="00AB5D86" w:rsidP="00AB5D86">
                    <w:pPr>
                      <w:spacing w:after="0"/>
                      <w:jc w:val="center"/>
                      <w:rPr>
                        <w:rFonts w:cs="Arial"/>
                        <w:color w:val="000000"/>
                        <w:sz w:val="24"/>
                      </w:rPr>
                    </w:pPr>
                    <w:r w:rsidRPr="00AB5D86">
                      <w:rPr>
                        <w:rFonts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B98D" w14:textId="77777777" w:rsidR="008F1A2B" w:rsidRDefault="008F1A2B" w:rsidP="006518B1">
      <w:r>
        <w:separator/>
      </w:r>
    </w:p>
  </w:footnote>
  <w:footnote w:type="continuationSeparator" w:id="0">
    <w:p w14:paraId="19A17BEC" w14:textId="77777777" w:rsidR="008F1A2B" w:rsidRDefault="008F1A2B" w:rsidP="006518B1">
      <w:r>
        <w:continuationSeparator/>
      </w:r>
    </w:p>
  </w:footnote>
  <w:footnote w:type="continuationNotice" w:id="1">
    <w:p w14:paraId="3A702BE0" w14:textId="77777777" w:rsidR="008F1A2B" w:rsidRDefault="008F1A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0F22" w14:textId="77777777" w:rsidR="009535BC" w:rsidRDefault="00953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2CE9" w14:textId="4CA7B7FC" w:rsidR="008F511C" w:rsidRDefault="009E3599" w:rsidP="006518B1">
    <w:r>
      <w:rPr>
        <w:noProof/>
        <w:lang w:val="en-GB" w:eastAsia="en-GB"/>
      </w:rPr>
      <mc:AlternateContent>
        <mc:Choice Requires="wps">
          <w:drawing>
            <wp:anchor distT="0" distB="0" distL="114300" distR="114300" simplePos="1" relativeHeight="251659264" behindDoc="0" locked="0" layoutInCell="0" allowOverlap="1" wp14:anchorId="594A201A" wp14:editId="3848EFA3">
              <wp:simplePos x="0" y="190500"/>
              <wp:positionH relativeFrom="page">
                <wp:posOffset>0</wp:posOffset>
              </wp:positionH>
              <wp:positionV relativeFrom="page">
                <wp:posOffset>190500</wp:posOffset>
              </wp:positionV>
              <wp:extent cx="7560310" cy="273050"/>
              <wp:effectExtent l="0" t="0" r="0" b="12700"/>
              <wp:wrapNone/>
              <wp:docPr id="18" name="MSIPCM2383437488ec095419c8485d"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46458" w14:textId="0F384B20" w:rsidR="009E3599" w:rsidRPr="00AB5D86" w:rsidRDefault="00AB5D86" w:rsidP="00AB5D86">
                          <w:pPr>
                            <w:spacing w:after="0"/>
                            <w:jc w:val="center"/>
                            <w:rPr>
                              <w:rFonts w:cs="Arial"/>
                              <w:color w:val="000000"/>
                              <w:sz w:val="24"/>
                            </w:rPr>
                          </w:pPr>
                          <w:r w:rsidRPr="00AB5D86">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4A201A" id="_x0000_t202" coordsize="21600,21600" o:spt="202" path="m,l,21600r21600,l21600,xe">
              <v:stroke joinstyle="miter"/>
              <v:path gradientshapeok="t" o:connecttype="rect"/>
            </v:shapetype>
            <v:shape id="MSIPCM2383437488ec095419c8485d" o:spid="_x0000_s1027" type="#_x0000_t202" alt="{&quot;HashCode&quot;:35212263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4346458" w14:textId="0F384B20" w:rsidR="009E3599" w:rsidRPr="00AB5D86" w:rsidRDefault="00AB5D86" w:rsidP="00AB5D86">
                    <w:pPr>
                      <w:spacing w:after="0"/>
                      <w:jc w:val="center"/>
                      <w:rPr>
                        <w:rFonts w:cs="Arial"/>
                        <w:color w:val="000000"/>
                        <w:sz w:val="24"/>
                      </w:rPr>
                    </w:pPr>
                    <w:r w:rsidRPr="00AB5D86">
                      <w:rPr>
                        <w:rFonts w:cs="Arial"/>
                        <w:color w:val="000000"/>
                        <w:sz w:val="24"/>
                      </w:rPr>
                      <w:t>OFFICIAL</w:t>
                    </w:r>
                  </w:p>
                </w:txbxContent>
              </v:textbox>
              <w10:wrap anchorx="page" anchory="page"/>
            </v:shape>
          </w:pict>
        </mc:Fallback>
      </mc:AlternateContent>
    </w:r>
    <w:r w:rsidR="00C13DF9">
      <w:rPr>
        <w:noProof/>
        <w:lang w:val="en-GB" w:eastAsia="en-GB"/>
      </w:rPr>
      <w:drawing>
        <wp:anchor distT="0" distB="0" distL="114300" distR="114300" simplePos="0" relativeHeight="251653120" behindDoc="1" locked="1" layoutInCell="0" allowOverlap="1" wp14:anchorId="67E9A460" wp14:editId="01593653">
          <wp:simplePos x="0" y="0"/>
          <wp:positionH relativeFrom="page">
            <wp:align>center</wp:align>
          </wp:positionH>
          <wp:positionV relativeFrom="page">
            <wp:align>top</wp:align>
          </wp:positionV>
          <wp:extent cx="7560000" cy="576000"/>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576000"/>
                  </a:xfrm>
                  <a:prstGeom prst="rect">
                    <a:avLst/>
                  </a:prstGeom>
                </pic:spPr>
              </pic:pic>
            </a:graphicData>
          </a:graphic>
          <wp14:sizeRelH relativeFrom="margin">
            <wp14:pctWidth>0</wp14:pctWidth>
          </wp14:sizeRelH>
          <wp14:sizeRelV relativeFrom="margin">
            <wp14:pctHeight>0</wp14:pctHeight>
          </wp14:sizeRelV>
        </wp:anchor>
      </w:drawing>
    </w:r>
  </w:p>
  <w:p w14:paraId="327ED743" w14:textId="77777777" w:rsidR="008F511C" w:rsidRPr="00D21116" w:rsidRDefault="008F511C" w:rsidP="006518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82BC" w14:textId="3AC871F2" w:rsidR="00D41044" w:rsidRDefault="00B973B8" w:rsidP="00A756BA">
    <w:pPr>
      <w:pStyle w:val="Title"/>
    </w:pPr>
    <w:r>
      <w:rPr>
        <w:noProof/>
        <w:lang w:val="en-GB" w:eastAsia="en-GB"/>
      </w:rPr>
      <w:drawing>
        <wp:anchor distT="0" distB="0" distL="114300" distR="114300" simplePos="0" relativeHeight="251664384" behindDoc="0" locked="0" layoutInCell="1" allowOverlap="1" wp14:anchorId="65E91C05" wp14:editId="65A19006">
          <wp:simplePos x="0" y="0"/>
          <wp:positionH relativeFrom="column">
            <wp:posOffset>-108</wp:posOffset>
          </wp:positionH>
          <wp:positionV relativeFrom="paragraph">
            <wp:posOffset>-205201</wp:posOffset>
          </wp:positionV>
          <wp:extent cx="2190750" cy="344805"/>
          <wp:effectExtent l="0" t="0" r="0" b="0"/>
          <wp:wrapSquare wrapText="bothSides"/>
          <wp:docPr id="213" name="Picture 2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750" cy="34480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74DF" w14:textId="01793302" w:rsidR="00AA12E1" w:rsidRDefault="00AA12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CA8D" w14:textId="22D808C3" w:rsidR="004B77C8" w:rsidRDefault="004B77C8" w:rsidP="006518B1"/>
  <w:p w14:paraId="20C853FF" w14:textId="77777777" w:rsidR="004B77C8" w:rsidRPr="00D21116" w:rsidRDefault="004B77C8" w:rsidP="006518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7101" w14:textId="15958D5A" w:rsidR="00AA12E1" w:rsidRDefault="009E3599">
    <w:pPr>
      <w:pStyle w:val="Header"/>
    </w:pPr>
    <w:r>
      <w:rPr>
        <w:noProof/>
      </w:rPr>
      <mc:AlternateContent>
        <mc:Choice Requires="wps">
          <w:drawing>
            <wp:anchor distT="0" distB="0" distL="114300" distR="114300" simplePos="1" relativeHeight="251658240" behindDoc="0" locked="0" layoutInCell="0" allowOverlap="1" wp14:anchorId="255C807A" wp14:editId="48609F95">
              <wp:simplePos x="0" y="190500"/>
              <wp:positionH relativeFrom="page">
                <wp:posOffset>0</wp:posOffset>
              </wp:positionH>
              <wp:positionV relativeFrom="page">
                <wp:posOffset>190500</wp:posOffset>
              </wp:positionV>
              <wp:extent cx="7560310" cy="273050"/>
              <wp:effectExtent l="0" t="0" r="0" b="12700"/>
              <wp:wrapNone/>
              <wp:docPr id="5" name="MSIPCM73b643cf98e0beb9a263b95c"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7406B" w14:textId="0DA4CADF" w:rsidR="009E3599" w:rsidRPr="00AB5D86" w:rsidRDefault="00AB5D86" w:rsidP="00AB5D86">
                          <w:pPr>
                            <w:spacing w:after="0"/>
                            <w:jc w:val="center"/>
                            <w:rPr>
                              <w:rFonts w:cs="Arial"/>
                              <w:color w:val="000000"/>
                              <w:sz w:val="24"/>
                            </w:rPr>
                          </w:pPr>
                          <w:r w:rsidRPr="00AB5D86">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5C807A" id="_x0000_t202" coordsize="21600,21600" o:spt="202" path="m,l,21600r21600,l21600,xe">
              <v:stroke joinstyle="miter"/>
              <v:path gradientshapeok="t" o:connecttype="rect"/>
            </v:shapetype>
            <v:shape id="MSIPCM73b643cf98e0beb9a263b95c" o:spid="_x0000_s1029" type="#_x0000_t202" alt="{&quot;HashCode&quot;:352122633,&quot;Height&quot;:841.0,&quot;Width&quot;:595.0,&quot;Placement&quot;:&quot;Header&quot;,&quot;Index&quot;:&quot;FirstPage&quot;,&quot;Section&quot;:2,&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3067406B" w14:textId="0DA4CADF" w:rsidR="009E3599" w:rsidRPr="00AB5D86" w:rsidRDefault="00AB5D86" w:rsidP="00AB5D86">
                    <w:pPr>
                      <w:spacing w:after="0"/>
                      <w:jc w:val="center"/>
                      <w:rPr>
                        <w:rFonts w:cs="Arial"/>
                        <w:color w:val="000000"/>
                        <w:sz w:val="24"/>
                      </w:rPr>
                    </w:pPr>
                    <w:r w:rsidRPr="00AB5D86">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C4B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4C56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A284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3FADE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500B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C837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000F7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C2E6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AFD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5697E0"/>
    <w:lvl w:ilvl="0">
      <w:start w:val="1"/>
      <w:numFmt w:val="decimal"/>
      <w:lvlText w:val="%1."/>
      <w:lvlJc w:val="left"/>
      <w:pPr>
        <w:tabs>
          <w:tab w:val="num" w:pos="360"/>
        </w:tabs>
        <w:ind w:left="360" w:hanging="360"/>
      </w:pPr>
    </w:lvl>
  </w:abstractNum>
  <w:abstractNum w:abstractNumId="10" w15:restartNumberingAfterBreak="0">
    <w:nsid w:val="04526290"/>
    <w:multiLevelType w:val="hybridMultilevel"/>
    <w:tmpl w:val="591AB684"/>
    <w:lvl w:ilvl="0" w:tplc="548C07A8">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41486"/>
    <w:multiLevelType w:val="hybridMultilevel"/>
    <w:tmpl w:val="F5186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A07DCA"/>
    <w:multiLevelType w:val="hybridMultilevel"/>
    <w:tmpl w:val="DFF0B8C4"/>
    <w:lvl w:ilvl="0" w:tplc="08D4089C">
      <w:start w:val="1"/>
      <w:numFmt w:val="bullet"/>
      <w:lvlText w:val=""/>
      <w:lvlJc w:val="left"/>
      <w:pPr>
        <w:ind w:left="360" w:hanging="360"/>
      </w:pPr>
      <w:rPr>
        <w:rFonts w:ascii="Symbol" w:hAnsi="Symbol" w:hint="default"/>
        <w:color w:val="auto"/>
        <w:sz w:val="22"/>
        <w:szCs w:val="22"/>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9B0904"/>
    <w:multiLevelType w:val="hybridMultilevel"/>
    <w:tmpl w:val="7CE4D3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9D15CA"/>
    <w:multiLevelType w:val="hybridMultilevel"/>
    <w:tmpl w:val="F0848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4BB1F8B"/>
    <w:multiLevelType w:val="hybridMultilevel"/>
    <w:tmpl w:val="94F04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7"/>
  </w:num>
  <w:num w:numId="2">
    <w:abstractNumId w:val="13"/>
  </w:num>
  <w:num w:numId="3">
    <w:abstractNumId w:val="10"/>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2"/>
  </w:num>
  <w:num w:numId="15">
    <w:abstractNumId w:val="16"/>
  </w:num>
  <w:num w:numId="16">
    <w:abstractNumId w:val="14"/>
  </w:num>
  <w:num w:numId="17">
    <w:abstractNumId w:val="15"/>
  </w:num>
  <w:num w:numId="18">
    <w:abstractNumId w:val="1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CFA"/>
    <w:rsid w:val="00000870"/>
    <w:rsid w:val="00002DB9"/>
    <w:rsid w:val="00003FA2"/>
    <w:rsid w:val="00012173"/>
    <w:rsid w:val="000157F3"/>
    <w:rsid w:val="0002069E"/>
    <w:rsid w:val="00020A21"/>
    <w:rsid w:val="00021FD3"/>
    <w:rsid w:val="00044D8A"/>
    <w:rsid w:val="00046BA4"/>
    <w:rsid w:val="00050AB9"/>
    <w:rsid w:val="00053125"/>
    <w:rsid w:val="00053CF6"/>
    <w:rsid w:val="00055849"/>
    <w:rsid w:val="00060915"/>
    <w:rsid w:val="00063190"/>
    <w:rsid w:val="000635A1"/>
    <w:rsid w:val="000656A1"/>
    <w:rsid w:val="00066085"/>
    <w:rsid w:val="00070A18"/>
    <w:rsid w:val="00071149"/>
    <w:rsid w:val="000721C0"/>
    <w:rsid w:val="00072B37"/>
    <w:rsid w:val="00075024"/>
    <w:rsid w:val="00082DDC"/>
    <w:rsid w:val="00085035"/>
    <w:rsid w:val="00087AA3"/>
    <w:rsid w:val="000916A1"/>
    <w:rsid w:val="000923B2"/>
    <w:rsid w:val="000A1650"/>
    <w:rsid w:val="000A46B9"/>
    <w:rsid w:val="000A52A1"/>
    <w:rsid w:val="000A5726"/>
    <w:rsid w:val="000B4B22"/>
    <w:rsid w:val="000B5039"/>
    <w:rsid w:val="000B68CC"/>
    <w:rsid w:val="000B6C16"/>
    <w:rsid w:val="000C1F4F"/>
    <w:rsid w:val="000C6715"/>
    <w:rsid w:val="000D009C"/>
    <w:rsid w:val="000D016A"/>
    <w:rsid w:val="000D22B1"/>
    <w:rsid w:val="000D3448"/>
    <w:rsid w:val="000D4EFB"/>
    <w:rsid w:val="000D59F4"/>
    <w:rsid w:val="000D65B8"/>
    <w:rsid w:val="000E03D1"/>
    <w:rsid w:val="000E09A1"/>
    <w:rsid w:val="000E2C8D"/>
    <w:rsid w:val="000E5362"/>
    <w:rsid w:val="000E7502"/>
    <w:rsid w:val="000F1F7D"/>
    <w:rsid w:val="000F2052"/>
    <w:rsid w:val="000F6C1A"/>
    <w:rsid w:val="00100244"/>
    <w:rsid w:val="00104ADE"/>
    <w:rsid w:val="00104B0C"/>
    <w:rsid w:val="0010629C"/>
    <w:rsid w:val="001137DB"/>
    <w:rsid w:val="00113FD1"/>
    <w:rsid w:val="00124706"/>
    <w:rsid w:val="00126F8F"/>
    <w:rsid w:val="0013041F"/>
    <w:rsid w:val="001305D7"/>
    <w:rsid w:val="00135FFF"/>
    <w:rsid w:val="001464DF"/>
    <w:rsid w:val="0014774E"/>
    <w:rsid w:val="001576FE"/>
    <w:rsid w:val="00161E6A"/>
    <w:rsid w:val="00162CFA"/>
    <w:rsid w:val="0016650F"/>
    <w:rsid w:val="001675AC"/>
    <w:rsid w:val="0017084B"/>
    <w:rsid w:val="00170B16"/>
    <w:rsid w:val="001713F3"/>
    <w:rsid w:val="00171626"/>
    <w:rsid w:val="00171998"/>
    <w:rsid w:val="00171FC9"/>
    <w:rsid w:val="001739D5"/>
    <w:rsid w:val="001742D2"/>
    <w:rsid w:val="00174D99"/>
    <w:rsid w:val="00175662"/>
    <w:rsid w:val="0017653B"/>
    <w:rsid w:val="00182F6D"/>
    <w:rsid w:val="001834F0"/>
    <w:rsid w:val="00186B0D"/>
    <w:rsid w:val="00187685"/>
    <w:rsid w:val="0019163E"/>
    <w:rsid w:val="00192548"/>
    <w:rsid w:val="00193445"/>
    <w:rsid w:val="00194B40"/>
    <w:rsid w:val="00196162"/>
    <w:rsid w:val="00196779"/>
    <w:rsid w:val="001A003B"/>
    <w:rsid w:val="001A4BCA"/>
    <w:rsid w:val="001A501D"/>
    <w:rsid w:val="001A6005"/>
    <w:rsid w:val="001A7FFE"/>
    <w:rsid w:val="001B4987"/>
    <w:rsid w:val="001B4CD7"/>
    <w:rsid w:val="001B519F"/>
    <w:rsid w:val="001C1EC7"/>
    <w:rsid w:val="001C2D6B"/>
    <w:rsid w:val="001C3026"/>
    <w:rsid w:val="001C340D"/>
    <w:rsid w:val="001C4AA8"/>
    <w:rsid w:val="001C6111"/>
    <w:rsid w:val="001D26CA"/>
    <w:rsid w:val="001D46EE"/>
    <w:rsid w:val="001D55BF"/>
    <w:rsid w:val="001E4D7B"/>
    <w:rsid w:val="001E6777"/>
    <w:rsid w:val="001E6ADB"/>
    <w:rsid w:val="001F51DD"/>
    <w:rsid w:val="001F6527"/>
    <w:rsid w:val="001F6E8C"/>
    <w:rsid w:val="001F71EA"/>
    <w:rsid w:val="00200FC0"/>
    <w:rsid w:val="002020B7"/>
    <w:rsid w:val="00203A5A"/>
    <w:rsid w:val="00203CB4"/>
    <w:rsid w:val="00204985"/>
    <w:rsid w:val="00207DCE"/>
    <w:rsid w:val="00212DE7"/>
    <w:rsid w:val="00214517"/>
    <w:rsid w:val="0021518A"/>
    <w:rsid w:val="00216B75"/>
    <w:rsid w:val="00216EC6"/>
    <w:rsid w:val="00221387"/>
    <w:rsid w:val="00226657"/>
    <w:rsid w:val="00233E82"/>
    <w:rsid w:val="00243631"/>
    <w:rsid w:val="002440E4"/>
    <w:rsid w:val="00245683"/>
    <w:rsid w:val="00250583"/>
    <w:rsid w:val="00254C8E"/>
    <w:rsid w:val="00254DF3"/>
    <w:rsid w:val="002552CC"/>
    <w:rsid w:val="00255475"/>
    <w:rsid w:val="002609DC"/>
    <w:rsid w:val="0026126A"/>
    <w:rsid w:val="002619C4"/>
    <w:rsid w:val="0026215C"/>
    <w:rsid w:val="002633E3"/>
    <w:rsid w:val="00263416"/>
    <w:rsid w:val="0026386B"/>
    <w:rsid w:val="0026411C"/>
    <w:rsid w:val="002643AF"/>
    <w:rsid w:val="00271DFA"/>
    <w:rsid w:val="002732E1"/>
    <w:rsid w:val="00274993"/>
    <w:rsid w:val="0027573D"/>
    <w:rsid w:val="00275E57"/>
    <w:rsid w:val="0028071B"/>
    <w:rsid w:val="0028310C"/>
    <w:rsid w:val="002868AF"/>
    <w:rsid w:val="0029020A"/>
    <w:rsid w:val="002914A5"/>
    <w:rsid w:val="002930EA"/>
    <w:rsid w:val="002A2707"/>
    <w:rsid w:val="002A2852"/>
    <w:rsid w:val="002A4D8D"/>
    <w:rsid w:val="002B10EE"/>
    <w:rsid w:val="002B111D"/>
    <w:rsid w:val="002B1479"/>
    <w:rsid w:val="002C0C2D"/>
    <w:rsid w:val="002C5C74"/>
    <w:rsid w:val="002C6DAE"/>
    <w:rsid w:val="002D137B"/>
    <w:rsid w:val="002D1F12"/>
    <w:rsid w:val="002D26CD"/>
    <w:rsid w:val="002D47EE"/>
    <w:rsid w:val="002D74DA"/>
    <w:rsid w:val="002D7F8B"/>
    <w:rsid w:val="002E14DF"/>
    <w:rsid w:val="002E1BCA"/>
    <w:rsid w:val="002E5757"/>
    <w:rsid w:val="002F0166"/>
    <w:rsid w:val="002F616C"/>
    <w:rsid w:val="002F70CA"/>
    <w:rsid w:val="00302327"/>
    <w:rsid w:val="003027C7"/>
    <w:rsid w:val="00302C59"/>
    <w:rsid w:val="00307E47"/>
    <w:rsid w:val="0031358D"/>
    <w:rsid w:val="00314A54"/>
    <w:rsid w:val="00315404"/>
    <w:rsid w:val="0031573F"/>
    <w:rsid w:val="00315E36"/>
    <w:rsid w:val="003164D4"/>
    <w:rsid w:val="0033283A"/>
    <w:rsid w:val="00333F6A"/>
    <w:rsid w:val="00334CCA"/>
    <w:rsid w:val="003431F8"/>
    <w:rsid w:val="00346727"/>
    <w:rsid w:val="003519FB"/>
    <w:rsid w:val="00353CE9"/>
    <w:rsid w:val="0035539C"/>
    <w:rsid w:val="0035584B"/>
    <w:rsid w:val="00360847"/>
    <w:rsid w:val="00363934"/>
    <w:rsid w:val="00364AEF"/>
    <w:rsid w:val="00365496"/>
    <w:rsid w:val="0036618F"/>
    <w:rsid w:val="00371FCD"/>
    <w:rsid w:val="003743A1"/>
    <w:rsid w:val="003746F9"/>
    <w:rsid w:val="0037514E"/>
    <w:rsid w:val="00377E94"/>
    <w:rsid w:val="0038317D"/>
    <w:rsid w:val="00395994"/>
    <w:rsid w:val="00396954"/>
    <w:rsid w:val="003A2A48"/>
    <w:rsid w:val="003A2CF0"/>
    <w:rsid w:val="003A57C2"/>
    <w:rsid w:val="003A5CA3"/>
    <w:rsid w:val="003B0330"/>
    <w:rsid w:val="003B0F85"/>
    <w:rsid w:val="003B6D10"/>
    <w:rsid w:val="003C0544"/>
    <w:rsid w:val="003C2BAA"/>
    <w:rsid w:val="003C40CD"/>
    <w:rsid w:val="003C5C40"/>
    <w:rsid w:val="003D1B25"/>
    <w:rsid w:val="003E00C3"/>
    <w:rsid w:val="003E30D4"/>
    <w:rsid w:val="003E3302"/>
    <w:rsid w:val="003E3ACC"/>
    <w:rsid w:val="003E612D"/>
    <w:rsid w:val="003F4BFD"/>
    <w:rsid w:val="003F709A"/>
    <w:rsid w:val="003F7AC8"/>
    <w:rsid w:val="00413700"/>
    <w:rsid w:val="00414727"/>
    <w:rsid w:val="00416216"/>
    <w:rsid w:val="00417FE4"/>
    <w:rsid w:val="00420A1C"/>
    <w:rsid w:val="00420CCA"/>
    <w:rsid w:val="00421E2E"/>
    <w:rsid w:val="004268D4"/>
    <w:rsid w:val="004308CE"/>
    <w:rsid w:val="00433417"/>
    <w:rsid w:val="00441AB0"/>
    <w:rsid w:val="00442F74"/>
    <w:rsid w:val="004431A1"/>
    <w:rsid w:val="004470F2"/>
    <w:rsid w:val="0045022F"/>
    <w:rsid w:val="00451B64"/>
    <w:rsid w:val="00452284"/>
    <w:rsid w:val="0045234D"/>
    <w:rsid w:val="00453775"/>
    <w:rsid w:val="0045463F"/>
    <w:rsid w:val="00454DA3"/>
    <w:rsid w:val="00455C40"/>
    <w:rsid w:val="00460052"/>
    <w:rsid w:val="00460A0B"/>
    <w:rsid w:val="004733B6"/>
    <w:rsid w:val="0048055B"/>
    <w:rsid w:val="00482468"/>
    <w:rsid w:val="00483B1C"/>
    <w:rsid w:val="004849E3"/>
    <w:rsid w:val="0048553B"/>
    <w:rsid w:val="00486C45"/>
    <w:rsid w:val="004924BD"/>
    <w:rsid w:val="00492750"/>
    <w:rsid w:val="00496273"/>
    <w:rsid w:val="0049653C"/>
    <w:rsid w:val="004966FB"/>
    <w:rsid w:val="004A357C"/>
    <w:rsid w:val="004A36CB"/>
    <w:rsid w:val="004A3BC8"/>
    <w:rsid w:val="004A3E30"/>
    <w:rsid w:val="004A6602"/>
    <w:rsid w:val="004A7D7D"/>
    <w:rsid w:val="004B0CD3"/>
    <w:rsid w:val="004B12C0"/>
    <w:rsid w:val="004B15BF"/>
    <w:rsid w:val="004B2F02"/>
    <w:rsid w:val="004B514E"/>
    <w:rsid w:val="004B77C8"/>
    <w:rsid w:val="004C7924"/>
    <w:rsid w:val="004D497D"/>
    <w:rsid w:val="004D49B7"/>
    <w:rsid w:val="004E426D"/>
    <w:rsid w:val="004E45D7"/>
    <w:rsid w:val="004E5616"/>
    <w:rsid w:val="004F17A5"/>
    <w:rsid w:val="004F25B8"/>
    <w:rsid w:val="004F340F"/>
    <w:rsid w:val="00503350"/>
    <w:rsid w:val="00505DC4"/>
    <w:rsid w:val="00506B85"/>
    <w:rsid w:val="00506F1D"/>
    <w:rsid w:val="005123FA"/>
    <w:rsid w:val="005125FC"/>
    <w:rsid w:val="005158E0"/>
    <w:rsid w:val="005200A8"/>
    <w:rsid w:val="005205B7"/>
    <w:rsid w:val="0052149A"/>
    <w:rsid w:val="005219B8"/>
    <w:rsid w:val="00523A95"/>
    <w:rsid w:val="00524DB2"/>
    <w:rsid w:val="005301BA"/>
    <w:rsid w:val="00531C10"/>
    <w:rsid w:val="00536FDF"/>
    <w:rsid w:val="00542591"/>
    <w:rsid w:val="005436AE"/>
    <w:rsid w:val="00544CD4"/>
    <w:rsid w:val="0055065A"/>
    <w:rsid w:val="005511F5"/>
    <w:rsid w:val="00561EF5"/>
    <w:rsid w:val="00562328"/>
    <w:rsid w:val="0056618F"/>
    <w:rsid w:val="0057087E"/>
    <w:rsid w:val="00572E0D"/>
    <w:rsid w:val="005759FF"/>
    <w:rsid w:val="00577B29"/>
    <w:rsid w:val="0058166F"/>
    <w:rsid w:val="00581705"/>
    <w:rsid w:val="00582DEC"/>
    <w:rsid w:val="00585DDE"/>
    <w:rsid w:val="005907F7"/>
    <w:rsid w:val="0059306A"/>
    <w:rsid w:val="00593BAC"/>
    <w:rsid w:val="0059445B"/>
    <w:rsid w:val="0059771B"/>
    <w:rsid w:val="005A205E"/>
    <w:rsid w:val="005A46E1"/>
    <w:rsid w:val="005A5A46"/>
    <w:rsid w:val="005A6394"/>
    <w:rsid w:val="005A6398"/>
    <w:rsid w:val="005A66E8"/>
    <w:rsid w:val="005A6975"/>
    <w:rsid w:val="005A7D38"/>
    <w:rsid w:val="005B20C6"/>
    <w:rsid w:val="005C15D1"/>
    <w:rsid w:val="005D0268"/>
    <w:rsid w:val="005D0977"/>
    <w:rsid w:val="005D3BED"/>
    <w:rsid w:val="005D4B76"/>
    <w:rsid w:val="005E0FBC"/>
    <w:rsid w:val="005E4640"/>
    <w:rsid w:val="005E5247"/>
    <w:rsid w:val="005F24AF"/>
    <w:rsid w:val="005F2826"/>
    <w:rsid w:val="005F2A1F"/>
    <w:rsid w:val="005F4AAF"/>
    <w:rsid w:val="005F5F61"/>
    <w:rsid w:val="005F70C3"/>
    <w:rsid w:val="00600879"/>
    <w:rsid w:val="006008C2"/>
    <w:rsid w:val="00604C81"/>
    <w:rsid w:val="0061024D"/>
    <w:rsid w:val="006105BA"/>
    <w:rsid w:val="0061196B"/>
    <w:rsid w:val="00614DA2"/>
    <w:rsid w:val="00616DC8"/>
    <w:rsid w:val="00616DD5"/>
    <w:rsid w:val="00617C31"/>
    <w:rsid w:val="00622A86"/>
    <w:rsid w:val="00624EB1"/>
    <w:rsid w:val="00627006"/>
    <w:rsid w:val="00633B18"/>
    <w:rsid w:val="0063704E"/>
    <w:rsid w:val="00637F36"/>
    <w:rsid w:val="00647F38"/>
    <w:rsid w:val="00650FB5"/>
    <w:rsid w:val="006518B1"/>
    <w:rsid w:val="00660154"/>
    <w:rsid w:val="00661BAE"/>
    <w:rsid w:val="00663755"/>
    <w:rsid w:val="00673A2A"/>
    <w:rsid w:val="00673ADF"/>
    <w:rsid w:val="00673EFA"/>
    <w:rsid w:val="00674B7E"/>
    <w:rsid w:val="00677B03"/>
    <w:rsid w:val="00684E16"/>
    <w:rsid w:val="00685427"/>
    <w:rsid w:val="006921A8"/>
    <w:rsid w:val="00692E5F"/>
    <w:rsid w:val="0069688C"/>
    <w:rsid w:val="00696F5B"/>
    <w:rsid w:val="006A5D03"/>
    <w:rsid w:val="006B0650"/>
    <w:rsid w:val="006B1E2A"/>
    <w:rsid w:val="006B1F66"/>
    <w:rsid w:val="006B556A"/>
    <w:rsid w:val="006B7428"/>
    <w:rsid w:val="006B7985"/>
    <w:rsid w:val="006C2C27"/>
    <w:rsid w:val="006C3987"/>
    <w:rsid w:val="006C58D4"/>
    <w:rsid w:val="006C6469"/>
    <w:rsid w:val="006C6F50"/>
    <w:rsid w:val="006C73EA"/>
    <w:rsid w:val="006C7852"/>
    <w:rsid w:val="006D0AA6"/>
    <w:rsid w:val="006D0BF5"/>
    <w:rsid w:val="006D3B19"/>
    <w:rsid w:val="006D5092"/>
    <w:rsid w:val="006D56EC"/>
    <w:rsid w:val="006E2279"/>
    <w:rsid w:val="006E536C"/>
    <w:rsid w:val="006E5469"/>
    <w:rsid w:val="006F06D9"/>
    <w:rsid w:val="006F0F9A"/>
    <w:rsid w:val="006F3B79"/>
    <w:rsid w:val="006F5B54"/>
    <w:rsid w:val="006F67AF"/>
    <w:rsid w:val="006F7B51"/>
    <w:rsid w:val="00700B50"/>
    <w:rsid w:val="007013EB"/>
    <w:rsid w:val="0070190D"/>
    <w:rsid w:val="00702060"/>
    <w:rsid w:val="007020F3"/>
    <w:rsid w:val="0071371F"/>
    <w:rsid w:val="00716C18"/>
    <w:rsid w:val="00721239"/>
    <w:rsid w:val="00722F59"/>
    <w:rsid w:val="00731C45"/>
    <w:rsid w:val="00732218"/>
    <w:rsid w:val="0073308A"/>
    <w:rsid w:val="0074236A"/>
    <w:rsid w:val="00742712"/>
    <w:rsid w:val="00744855"/>
    <w:rsid w:val="00745D4D"/>
    <w:rsid w:val="00746009"/>
    <w:rsid w:val="0074727C"/>
    <w:rsid w:val="00752389"/>
    <w:rsid w:val="0075568A"/>
    <w:rsid w:val="00755846"/>
    <w:rsid w:val="00761B62"/>
    <w:rsid w:val="00764E35"/>
    <w:rsid w:val="007653AD"/>
    <w:rsid w:val="007659D8"/>
    <w:rsid w:val="007706FE"/>
    <w:rsid w:val="00773818"/>
    <w:rsid w:val="0077536C"/>
    <w:rsid w:val="00775A54"/>
    <w:rsid w:val="00777140"/>
    <w:rsid w:val="0077722A"/>
    <w:rsid w:val="007808CC"/>
    <w:rsid w:val="00781FD5"/>
    <w:rsid w:val="0079545D"/>
    <w:rsid w:val="00795A03"/>
    <w:rsid w:val="00796231"/>
    <w:rsid w:val="00797355"/>
    <w:rsid w:val="007A1EC2"/>
    <w:rsid w:val="007A212C"/>
    <w:rsid w:val="007A3C25"/>
    <w:rsid w:val="007A43EF"/>
    <w:rsid w:val="007B3D5B"/>
    <w:rsid w:val="007B724A"/>
    <w:rsid w:val="007B78D6"/>
    <w:rsid w:val="007C0D8C"/>
    <w:rsid w:val="007C6246"/>
    <w:rsid w:val="007C6A3B"/>
    <w:rsid w:val="007D2018"/>
    <w:rsid w:val="007D20E7"/>
    <w:rsid w:val="007D5A95"/>
    <w:rsid w:val="007E00C5"/>
    <w:rsid w:val="007E2895"/>
    <w:rsid w:val="007E674F"/>
    <w:rsid w:val="007E6D58"/>
    <w:rsid w:val="007E7189"/>
    <w:rsid w:val="007F0D24"/>
    <w:rsid w:val="007F11B8"/>
    <w:rsid w:val="007F4CBC"/>
    <w:rsid w:val="007F7C95"/>
    <w:rsid w:val="0080172F"/>
    <w:rsid w:val="008027E0"/>
    <w:rsid w:val="00807C5A"/>
    <w:rsid w:val="0081297D"/>
    <w:rsid w:val="00817341"/>
    <w:rsid w:val="00817CB9"/>
    <w:rsid w:val="00821E08"/>
    <w:rsid w:val="0082696B"/>
    <w:rsid w:val="00827036"/>
    <w:rsid w:val="00832094"/>
    <w:rsid w:val="00842EA9"/>
    <w:rsid w:val="00851558"/>
    <w:rsid w:val="0085185C"/>
    <w:rsid w:val="008547DC"/>
    <w:rsid w:val="008553CC"/>
    <w:rsid w:val="00857507"/>
    <w:rsid w:val="00863EA5"/>
    <w:rsid w:val="00875A21"/>
    <w:rsid w:val="00875FCD"/>
    <w:rsid w:val="008846D4"/>
    <w:rsid w:val="008847F2"/>
    <w:rsid w:val="00886781"/>
    <w:rsid w:val="00887C71"/>
    <w:rsid w:val="00894DE3"/>
    <w:rsid w:val="008950C8"/>
    <w:rsid w:val="00896258"/>
    <w:rsid w:val="00896322"/>
    <w:rsid w:val="008A18DA"/>
    <w:rsid w:val="008A19CA"/>
    <w:rsid w:val="008A202D"/>
    <w:rsid w:val="008A2090"/>
    <w:rsid w:val="008A42D0"/>
    <w:rsid w:val="008A4A88"/>
    <w:rsid w:val="008C6FCC"/>
    <w:rsid w:val="008C7EE2"/>
    <w:rsid w:val="008D11D6"/>
    <w:rsid w:val="008D1AAE"/>
    <w:rsid w:val="008D4C74"/>
    <w:rsid w:val="008D4DA5"/>
    <w:rsid w:val="008D5995"/>
    <w:rsid w:val="008D7A3B"/>
    <w:rsid w:val="008D7D2E"/>
    <w:rsid w:val="008E1725"/>
    <w:rsid w:val="008E3677"/>
    <w:rsid w:val="008E3F80"/>
    <w:rsid w:val="008E67AC"/>
    <w:rsid w:val="008E728D"/>
    <w:rsid w:val="008E7B40"/>
    <w:rsid w:val="008F1A2B"/>
    <w:rsid w:val="008F34D6"/>
    <w:rsid w:val="008F3CEC"/>
    <w:rsid w:val="008F511C"/>
    <w:rsid w:val="00904AF3"/>
    <w:rsid w:val="00905905"/>
    <w:rsid w:val="0090660B"/>
    <w:rsid w:val="00907DB4"/>
    <w:rsid w:val="00910A2D"/>
    <w:rsid w:val="00913C9E"/>
    <w:rsid w:val="00913FCE"/>
    <w:rsid w:val="00914360"/>
    <w:rsid w:val="00914403"/>
    <w:rsid w:val="00915D31"/>
    <w:rsid w:val="00916C30"/>
    <w:rsid w:val="00922FF1"/>
    <w:rsid w:val="00926DB3"/>
    <w:rsid w:val="009307B4"/>
    <w:rsid w:val="00931D10"/>
    <w:rsid w:val="00933000"/>
    <w:rsid w:val="00933149"/>
    <w:rsid w:val="00934F2B"/>
    <w:rsid w:val="00934F50"/>
    <w:rsid w:val="00936F50"/>
    <w:rsid w:val="0094044D"/>
    <w:rsid w:val="00941B4C"/>
    <w:rsid w:val="00951C88"/>
    <w:rsid w:val="00951FC4"/>
    <w:rsid w:val="009535BC"/>
    <w:rsid w:val="00960582"/>
    <w:rsid w:val="00961BBF"/>
    <w:rsid w:val="0096346B"/>
    <w:rsid w:val="00966402"/>
    <w:rsid w:val="009708FD"/>
    <w:rsid w:val="00970ED0"/>
    <w:rsid w:val="00973479"/>
    <w:rsid w:val="00975F96"/>
    <w:rsid w:val="00976EB9"/>
    <w:rsid w:val="00977A90"/>
    <w:rsid w:val="0098472E"/>
    <w:rsid w:val="009849E4"/>
    <w:rsid w:val="009861E4"/>
    <w:rsid w:val="00987DDA"/>
    <w:rsid w:val="0099147D"/>
    <w:rsid w:val="00996111"/>
    <w:rsid w:val="009A175A"/>
    <w:rsid w:val="009A4727"/>
    <w:rsid w:val="009B09A0"/>
    <w:rsid w:val="009B35B6"/>
    <w:rsid w:val="009B4A1F"/>
    <w:rsid w:val="009B7ECE"/>
    <w:rsid w:val="009C15E8"/>
    <w:rsid w:val="009C56B0"/>
    <w:rsid w:val="009C7D2A"/>
    <w:rsid w:val="009D0BFD"/>
    <w:rsid w:val="009D2FAB"/>
    <w:rsid w:val="009E2244"/>
    <w:rsid w:val="009E3451"/>
    <w:rsid w:val="009E3599"/>
    <w:rsid w:val="009E37CE"/>
    <w:rsid w:val="009E5966"/>
    <w:rsid w:val="009E7FB2"/>
    <w:rsid w:val="009F1BC1"/>
    <w:rsid w:val="009F2198"/>
    <w:rsid w:val="009F223C"/>
    <w:rsid w:val="00A00A30"/>
    <w:rsid w:val="00A01820"/>
    <w:rsid w:val="00A05DB2"/>
    <w:rsid w:val="00A06205"/>
    <w:rsid w:val="00A07A67"/>
    <w:rsid w:val="00A07ED6"/>
    <w:rsid w:val="00A100B9"/>
    <w:rsid w:val="00A109D5"/>
    <w:rsid w:val="00A15297"/>
    <w:rsid w:val="00A169D0"/>
    <w:rsid w:val="00A2101B"/>
    <w:rsid w:val="00A21131"/>
    <w:rsid w:val="00A226C3"/>
    <w:rsid w:val="00A24C69"/>
    <w:rsid w:val="00A25717"/>
    <w:rsid w:val="00A25F35"/>
    <w:rsid w:val="00A36022"/>
    <w:rsid w:val="00A366CC"/>
    <w:rsid w:val="00A43971"/>
    <w:rsid w:val="00A44096"/>
    <w:rsid w:val="00A45477"/>
    <w:rsid w:val="00A45743"/>
    <w:rsid w:val="00A461E3"/>
    <w:rsid w:val="00A47235"/>
    <w:rsid w:val="00A54831"/>
    <w:rsid w:val="00A54AE7"/>
    <w:rsid w:val="00A57B5D"/>
    <w:rsid w:val="00A64ADD"/>
    <w:rsid w:val="00A65967"/>
    <w:rsid w:val="00A74C4C"/>
    <w:rsid w:val="00A756BA"/>
    <w:rsid w:val="00A812D7"/>
    <w:rsid w:val="00A82CD3"/>
    <w:rsid w:val="00A82F94"/>
    <w:rsid w:val="00A84B72"/>
    <w:rsid w:val="00A86937"/>
    <w:rsid w:val="00A87413"/>
    <w:rsid w:val="00A939AC"/>
    <w:rsid w:val="00A956AD"/>
    <w:rsid w:val="00A96315"/>
    <w:rsid w:val="00A965A1"/>
    <w:rsid w:val="00AA12E1"/>
    <w:rsid w:val="00AA2086"/>
    <w:rsid w:val="00AA32E3"/>
    <w:rsid w:val="00AA46ED"/>
    <w:rsid w:val="00AA6823"/>
    <w:rsid w:val="00AB0706"/>
    <w:rsid w:val="00AB5D86"/>
    <w:rsid w:val="00AC10BD"/>
    <w:rsid w:val="00AC511C"/>
    <w:rsid w:val="00AC55D5"/>
    <w:rsid w:val="00AC6482"/>
    <w:rsid w:val="00AC700B"/>
    <w:rsid w:val="00AD05CB"/>
    <w:rsid w:val="00AD10B0"/>
    <w:rsid w:val="00AD2748"/>
    <w:rsid w:val="00AD2D23"/>
    <w:rsid w:val="00AE4EC6"/>
    <w:rsid w:val="00AF065F"/>
    <w:rsid w:val="00AF118B"/>
    <w:rsid w:val="00AF11DB"/>
    <w:rsid w:val="00AF4E35"/>
    <w:rsid w:val="00B00435"/>
    <w:rsid w:val="00B007B5"/>
    <w:rsid w:val="00B02AB5"/>
    <w:rsid w:val="00B03583"/>
    <w:rsid w:val="00B06528"/>
    <w:rsid w:val="00B069C0"/>
    <w:rsid w:val="00B07F2E"/>
    <w:rsid w:val="00B10277"/>
    <w:rsid w:val="00B104DE"/>
    <w:rsid w:val="00B11CB0"/>
    <w:rsid w:val="00B11D86"/>
    <w:rsid w:val="00B12694"/>
    <w:rsid w:val="00B12A06"/>
    <w:rsid w:val="00B130F1"/>
    <w:rsid w:val="00B14D48"/>
    <w:rsid w:val="00B164FA"/>
    <w:rsid w:val="00B17598"/>
    <w:rsid w:val="00B260A2"/>
    <w:rsid w:val="00B314E0"/>
    <w:rsid w:val="00B3295D"/>
    <w:rsid w:val="00B343F2"/>
    <w:rsid w:val="00B3636F"/>
    <w:rsid w:val="00B3649A"/>
    <w:rsid w:val="00B36C6D"/>
    <w:rsid w:val="00B37BB0"/>
    <w:rsid w:val="00B37E70"/>
    <w:rsid w:val="00B4471D"/>
    <w:rsid w:val="00B54AB8"/>
    <w:rsid w:val="00B56F17"/>
    <w:rsid w:val="00B6207B"/>
    <w:rsid w:val="00B62E42"/>
    <w:rsid w:val="00B63341"/>
    <w:rsid w:val="00B64376"/>
    <w:rsid w:val="00B65BA7"/>
    <w:rsid w:val="00B72D5B"/>
    <w:rsid w:val="00B7305E"/>
    <w:rsid w:val="00B73C55"/>
    <w:rsid w:val="00B75997"/>
    <w:rsid w:val="00B7741A"/>
    <w:rsid w:val="00B77CBC"/>
    <w:rsid w:val="00B804CA"/>
    <w:rsid w:val="00B806CF"/>
    <w:rsid w:val="00B820E5"/>
    <w:rsid w:val="00B84FD8"/>
    <w:rsid w:val="00B85F56"/>
    <w:rsid w:val="00B93D1B"/>
    <w:rsid w:val="00B95E3E"/>
    <w:rsid w:val="00B973B8"/>
    <w:rsid w:val="00BA2949"/>
    <w:rsid w:val="00BA37F0"/>
    <w:rsid w:val="00BA4252"/>
    <w:rsid w:val="00BA5FDB"/>
    <w:rsid w:val="00BB06A4"/>
    <w:rsid w:val="00BB1E76"/>
    <w:rsid w:val="00BB3442"/>
    <w:rsid w:val="00BB4F88"/>
    <w:rsid w:val="00BB52BA"/>
    <w:rsid w:val="00BC4730"/>
    <w:rsid w:val="00BC4791"/>
    <w:rsid w:val="00BC690D"/>
    <w:rsid w:val="00BC696C"/>
    <w:rsid w:val="00BD4393"/>
    <w:rsid w:val="00BD73FB"/>
    <w:rsid w:val="00BE0CF7"/>
    <w:rsid w:val="00BE160F"/>
    <w:rsid w:val="00BE2FDA"/>
    <w:rsid w:val="00BE4E3C"/>
    <w:rsid w:val="00BF36F3"/>
    <w:rsid w:val="00BF3FFA"/>
    <w:rsid w:val="00C00A35"/>
    <w:rsid w:val="00C00BBE"/>
    <w:rsid w:val="00C03D1C"/>
    <w:rsid w:val="00C06787"/>
    <w:rsid w:val="00C1134C"/>
    <w:rsid w:val="00C1140C"/>
    <w:rsid w:val="00C12685"/>
    <w:rsid w:val="00C13DF9"/>
    <w:rsid w:val="00C14419"/>
    <w:rsid w:val="00C145C4"/>
    <w:rsid w:val="00C15F3B"/>
    <w:rsid w:val="00C1668E"/>
    <w:rsid w:val="00C20997"/>
    <w:rsid w:val="00C223D9"/>
    <w:rsid w:val="00C229FD"/>
    <w:rsid w:val="00C23D5B"/>
    <w:rsid w:val="00C31F9F"/>
    <w:rsid w:val="00C3386D"/>
    <w:rsid w:val="00C34B99"/>
    <w:rsid w:val="00C3752F"/>
    <w:rsid w:val="00C37D68"/>
    <w:rsid w:val="00C4215C"/>
    <w:rsid w:val="00C43BDE"/>
    <w:rsid w:val="00C50665"/>
    <w:rsid w:val="00C5645A"/>
    <w:rsid w:val="00C60CBE"/>
    <w:rsid w:val="00C619DB"/>
    <w:rsid w:val="00C6407D"/>
    <w:rsid w:val="00C64CEE"/>
    <w:rsid w:val="00C659E3"/>
    <w:rsid w:val="00C663E5"/>
    <w:rsid w:val="00C7065D"/>
    <w:rsid w:val="00C73495"/>
    <w:rsid w:val="00C73A95"/>
    <w:rsid w:val="00C75968"/>
    <w:rsid w:val="00C77B3A"/>
    <w:rsid w:val="00C85EFC"/>
    <w:rsid w:val="00C8610B"/>
    <w:rsid w:val="00C879A3"/>
    <w:rsid w:val="00C87D48"/>
    <w:rsid w:val="00C910B1"/>
    <w:rsid w:val="00C91182"/>
    <w:rsid w:val="00C92E68"/>
    <w:rsid w:val="00C93E57"/>
    <w:rsid w:val="00C954D1"/>
    <w:rsid w:val="00C96141"/>
    <w:rsid w:val="00CA1347"/>
    <w:rsid w:val="00CA189C"/>
    <w:rsid w:val="00CA1D1C"/>
    <w:rsid w:val="00CA294E"/>
    <w:rsid w:val="00CA38FA"/>
    <w:rsid w:val="00CA3F8B"/>
    <w:rsid w:val="00CA6C74"/>
    <w:rsid w:val="00CB092C"/>
    <w:rsid w:val="00CB1E43"/>
    <w:rsid w:val="00CB52C3"/>
    <w:rsid w:val="00CB5814"/>
    <w:rsid w:val="00CC2520"/>
    <w:rsid w:val="00CC3379"/>
    <w:rsid w:val="00CC38A8"/>
    <w:rsid w:val="00CC3C88"/>
    <w:rsid w:val="00CC3CD9"/>
    <w:rsid w:val="00CC4501"/>
    <w:rsid w:val="00CC7465"/>
    <w:rsid w:val="00CD34AB"/>
    <w:rsid w:val="00CD4E9D"/>
    <w:rsid w:val="00CD5111"/>
    <w:rsid w:val="00CD6AB6"/>
    <w:rsid w:val="00CE10B8"/>
    <w:rsid w:val="00CE17C6"/>
    <w:rsid w:val="00CE6811"/>
    <w:rsid w:val="00CE76B2"/>
    <w:rsid w:val="00CF3F2F"/>
    <w:rsid w:val="00CF499D"/>
    <w:rsid w:val="00D00EDE"/>
    <w:rsid w:val="00D0339B"/>
    <w:rsid w:val="00D03BEF"/>
    <w:rsid w:val="00D10220"/>
    <w:rsid w:val="00D1102A"/>
    <w:rsid w:val="00D147DE"/>
    <w:rsid w:val="00D1517C"/>
    <w:rsid w:val="00D16B03"/>
    <w:rsid w:val="00D21116"/>
    <w:rsid w:val="00D227D2"/>
    <w:rsid w:val="00D247AD"/>
    <w:rsid w:val="00D30DB3"/>
    <w:rsid w:val="00D334BF"/>
    <w:rsid w:val="00D3514F"/>
    <w:rsid w:val="00D41044"/>
    <w:rsid w:val="00D43A7D"/>
    <w:rsid w:val="00D45414"/>
    <w:rsid w:val="00D466AD"/>
    <w:rsid w:val="00D47D41"/>
    <w:rsid w:val="00D509F8"/>
    <w:rsid w:val="00D53B7C"/>
    <w:rsid w:val="00D6012B"/>
    <w:rsid w:val="00D6136E"/>
    <w:rsid w:val="00D6612B"/>
    <w:rsid w:val="00D67613"/>
    <w:rsid w:val="00D76005"/>
    <w:rsid w:val="00D7756B"/>
    <w:rsid w:val="00D8236C"/>
    <w:rsid w:val="00D90095"/>
    <w:rsid w:val="00D901CC"/>
    <w:rsid w:val="00D91DA8"/>
    <w:rsid w:val="00D9206E"/>
    <w:rsid w:val="00DA1470"/>
    <w:rsid w:val="00DA162E"/>
    <w:rsid w:val="00DA4DD5"/>
    <w:rsid w:val="00DA5B3D"/>
    <w:rsid w:val="00DB0772"/>
    <w:rsid w:val="00DB19FE"/>
    <w:rsid w:val="00DB1ABA"/>
    <w:rsid w:val="00DB3C1F"/>
    <w:rsid w:val="00DB46B7"/>
    <w:rsid w:val="00DB6B8B"/>
    <w:rsid w:val="00DC0131"/>
    <w:rsid w:val="00DC0E0F"/>
    <w:rsid w:val="00DC33C6"/>
    <w:rsid w:val="00DC5475"/>
    <w:rsid w:val="00DD0140"/>
    <w:rsid w:val="00DD111D"/>
    <w:rsid w:val="00DD163C"/>
    <w:rsid w:val="00DD28AC"/>
    <w:rsid w:val="00DD44A3"/>
    <w:rsid w:val="00DD6785"/>
    <w:rsid w:val="00DD6843"/>
    <w:rsid w:val="00DE07EE"/>
    <w:rsid w:val="00DE2AB7"/>
    <w:rsid w:val="00DE528D"/>
    <w:rsid w:val="00DE6F1C"/>
    <w:rsid w:val="00DF216B"/>
    <w:rsid w:val="00E00CC5"/>
    <w:rsid w:val="00E0335A"/>
    <w:rsid w:val="00E039DA"/>
    <w:rsid w:val="00E042DF"/>
    <w:rsid w:val="00E13B80"/>
    <w:rsid w:val="00E14500"/>
    <w:rsid w:val="00E21D58"/>
    <w:rsid w:val="00E26115"/>
    <w:rsid w:val="00E31C86"/>
    <w:rsid w:val="00E34CB8"/>
    <w:rsid w:val="00E36E3F"/>
    <w:rsid w:val="00E429CB"/>
    <w:rsid w:val="00E442C1"/>
    <w:rsid w:val="00E47E3F"/>
    <w:rsid w:val="00E51BC1"/>
    <w:rsid w:val="00E521D5"/>
    <w:rsid w:val="00E52DA0"/>
    <w:rsid w:val="00E54623"/>
    <w:rsid w:val="00E56D45"/>
    <w:rsid w:val="00E575D6"/>
    <w:rsid w:val="00E61BC8"/>
    <w:rsid w:val="00E635AA"/>
    <w:rsid w:val="00E72D0F"/>
    <w:rsid w:val="00E742EE"/>
    <w:rsid w:val="00E75725"/>
    <w:rsid w:val="00E81442"/>
    <w:rsid w:val="00E823B7"/>
    <w:rsid w:val="00E823D9"/>
    <w:rsid w:val="00E823FD"/>
    <w:rsid w:val="00E9011D"/>
    <w:rsid w:val="00E92522"/>
    <w:rsid w:val="00E946BB"/>
    <w:rsid w:val="00E95C50"/>
    <w:rsid w:val="00E95D2E"/>
    <w:rsid w:val="00EA072B"/>
    <w:rsid w:val="00EA175A"/>
    <w:rsid w:val="00EA1A33"/>
    <w:rsid w:val="00EA27BD"/>
    <w:rsid w:val="00EA3384"/>
    <w:rsid w:val="00EA701F"/>
    <w:rsid w:val="00EB08C7"/>
    <w:rsid w:val="00EB0954"/>
    <w:rsid w:val="00EB1126"/>
    <w:rsid w:val="00EB1BED"/>
    <w:rsid w:val="00EB410D"/>
    <w:rsid w:val="00EB4634"/>
    <w:rsid w:val="00EB465C"/>
    <w:rsid w:val="00EB706D"/>
    <w:rsid w:val="00EB71BC"/>
    <w:rsid w:val="00EC12F2"/>
    <w:rsid w:val="00EC1304"/>
    <w:rsid w:val="00EC2A65"/>
    <w:rsid w:val="00ED3C98"/>
    <w:rsid w:val="00ED3DE5"/>
    <w:rsid w:val="00ED4DB9"/>
    <w:rsid w:val="00ED6728"/>
    <w:rsid w:val="00EE0EFA"/>
    <w:rsid w:val="00EE11EE"/>
    <w:rsid w:val="00EE2B8F"/>
    <w:rsid w:val="00EF0D39"/>
    <w:rsid w:val="00EF1111"/>
    <w:rsid w:val="00EF181A"/>
    <w:rsid w:val="00EF7285"/>
    <w:rsid w:val="00F04E69"/>
    <w:rsid w:val="00F0798E"/>
    <w:rsid w:val="00F14B85"/>
    <w:rsid w:val="00F1538C"/>
    <w:rsid w:val="00F23028"/>
    <w:rsid w:val="00F2387A"/>
    <w:rsid w:val="00F2562E"/>
    <w:rsid w:val="00F26B96"/>
    <w:rsid w:val="00F27C8F"/>
    <w:rsid w:val="00F3597C"/>
    <w:rsid w:val="00F36510"/>
    <w:rsid w:val="00F41CE9"/>
    <w:rsid w:val="00F447C3"/>
    <w:rsid w:val="00F44E85"/>
    <w:rsid w:val="00F468D5"/>
    <w:rsid w:val="00F46A69"/>
    <w:rsid w:val="00F51D0E"/>
    <w:rsid w:val="00F541B9"/>
    <w:rsid w:val="00F5537B"/>
    <w:rsid w:val="00F6138E"/>
    <w:rsid w:val="00F62A4A"/>
    <w:rsid w:val="00F64309"/>
    <w:rsid w:val="00F64D65"/>
    <w:rsid w:val="00F6736B"/>
    <w:rsid w:val="00F67448"/>
    <w:rsid w:val="00F67743"/>
    <w:rsid w:val="00F716E8"/>
    <w:rsid w:val="00F73C00"/>
    <w:rsid w:val="00F800AF"/>
    <w:rsid w:val="00F81A25"/>
    <w:rsid w:val="00F847DF"/>
    <w:rsid w:val="00F87ECB"/>
    <w:rsid w:val="00F87EDC"/>
    <w:rsid w:val="00FA0750"/>
    <w:rsid w:val="00FA44D2"/>
    <w:rsid w:val="00FA72EC"/>
    <w:rsid w:val="00FB1FE5"/>
    <w:rsid w:val="00FB27B7"/>
    <w:rsid w:val="00FB46CA"/>
    <w:rsid w:val="00FB5DE7"/>
    <w:rsid w:val="00FB7DB6"/>
    <w:rsid w:val="00FC42B7"/>
    <w:rsid w:val="00FD2DBB"/>
    <w:rsid w:val="00FE55DC"/>
    <w:rsid w:val="00FE61D8"/>
    <w:rsid w:val="00FE6783"/>
    <w:rsid w:val="00FF240F"/>
    <w:rsid w:val="00FF2635"/>
    <w:rsid w:val="00FF5863"/>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A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18B1"/>
    <w:pPr>
      <w:spacing w:after="120"/>
    </w:pPr>
    <w:rPr>
      <w:rFonts w:ascii="Arial" w:hAnsi="Arial"/>
      <w:color w:val="53565A"/>
      <w:szCs w:val="24"/>
    </w:rPr>
  </w:style>
  <w:style w:type="paragraph" w:styleId="Heading1">
    <w:name w:val="heading 1"/>
    <w:basedOn w:val="Normal"/>
    <w:next w:val="Normal"/>
    <w:link w:val="Heading1Char"/>
    <w:uiPriority w:val="9"/>
    <w:qFormat/>
    <w:rsid w:val="00365496"/>
    <w:pPr>
      <w:keepNext/>
      <w:spacing w:before="240"/>
      <w:outlineLvl w:val="0"/>
    </w:pPr>
    <w:rPr>
      <w:rFonts w:cs="Arial"/>
      <w:color w:val="AF262E"/>
      <w:sz w:val="24"/>
      <w:szCs w:val="20"/>
    </w:rPr>
  </w:style>
  <w:style w:type="paragraph" w:styleId="Heading2">
    <w:name w:val="heading 2"/>
    <w:basedOn w:val="Normal"/>
    <w:next w:val="Normal"/>
    <w:link w:val="Heading2Char"/>
    <w:uiPriority w:val="9"/>
    <w:unhideWhenUsed/>
    <w:qFormat/>
    <w:rsid w:val="002F616C"/>
    <w:pPr>
      <w:keepNext/>
      <w:spacing w:before="240"/>
      <w:outlineLvl w:val="1"/>
    </w:pPr>
    <w:rPr>
      <w:rFonts w:cs="Arial"/>
      <w:b/>
      <w:szCs w:val="20"/>
    </w:rPr>
  </w:style>
  <w:style w:type="paragraph" w:styleId="Heading3">
    <w:name w:val="heading 3"/>
    <w:basedOn w:val="tablename"/>
    <w:next w:val="Normal"/>
    <w:link w:val="Heading3Char"/>
    <w:uiPriority w:val="9"/>
    <w:unhideWhenUsed/>
    <w:qFormat/>
    <w:rsid w:val="008547D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trotext">
    <w:name w:val="Intro text"/>
    <w:basedOn w:val="Normal"/>
    <w:next w:val="Normal"/>
    <w:qFormat/>
    <w:rsid w:val="00365496"/>
    <w:pPr>
      <w:spacing w:before="300" w:after="360" w:line="320" w:lineRule="atLeast"/>
    </w:pPr>
    <w:rPr>
      <w:rFonts w:cs="Arial"/>
      <w:color w:val="AF262E"/>
      <w:spacing w:val="-10"/>
      <w:sz w:val="28"/>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000000" w:themeColor="text1"/>
    </w:rPr>
  </w:style>
  <w:style w:type="paragraph" w:customStyle="1" w:styleId="heading2black">
    <w:name w:val="# heading 2 black"/>
    <w:basedOn w:val="Normal"/>
    <w:next w:val="Normal"/>
    <w:rsid w:val="00C659E3"/>
    <w:pPr>
      <w:keepNext/>
      <w:spacing w:before="240"/>
    </w:pPr>
    <w:rPr>
      <w:rFonts w:cs="Arial"/>
      <w:b/>
      <w:color w:val="auto"/>
      <w:szCs w:val="20"/>
    </w:rPr>
  </w:style>
  <w:style w:type="paragraph" w:styleId="Title">
    <w:name w:val="Title"/>
    <w:basedOn w:val="Normal"/>
    <w:next w:val="Normal"/>
    <w:link w:val="TitleChar"/>
    <w:uiPriority w:val="10"/>
    <w:qFormat/>
    <w:rsid w:val="00A756BA"/>
    <w:pPr>
      <w:spacing w:line="420" w:lineRule="exact"/>
      <w:ind w:right="3357"/>
      <w:contextualSpacing/>
    </w:pPr>
    <w:rPr>
      <w:rFonts w:ascii="Arial Bold" w:hAnsi="Arial Bold"/>
      <w:b/>
      <w:color w:val="AF262E"/>
      <w:sz w:val="44"/>
      <w:szCs w:val="40"/>
    </w:rPr>
  </w:style>
  <w:style w:type="character" w:customStyle="1" w:styleId="TitleChar">
    <w:name w:val="Title Char"/>
    <w:basedOn w:val="DefaultParagraphFont"/>
    <w:link w:val="Title"/>
    <w:uiPriority w:val="10"/>
    <w:rsid w:val="00A756BA"/>
    <w:rPr>
      <w:rFonts w:ascii="Arial Bold" w:hAnsi="Arial Bold"/>
      <w:b/>
      <w:color w:val="AF262E"/>
      <w:sz w:val="44"/>
      <w:szCs w:val="40"/>
    </w:rPr>
  </w:style>
  <w:style w:type="paragraph" w:customStyle="1" w:styleId="heading1blue">
    <w:name w:val="# heading 1 blue"/>
    <w:basedOn w:val="Normal"/>
    <w:next w:val="Normal"/>
    <w:qFormat/>
    <w:rsid w:val="00365496"/>
    <w:pPr>
      <w:keepNext/>
      <w:spacing w:before="240"/>
    </w:pPr>
    <w:rPr>
      <w:rFonts w:cs="Arial"/>
      <w:color w:val="AF262E"/>
      <w:sz w:val="24"/>
      <w:szCs w:val="20"/>
    </w:rPr>
  </w:style>
  <w:style w:type="paragraph" w:customStyle="1" w:styleId="tablename">
    <w:name w:val="# table name"/>
    <w:basedOn w:val="Normal"/>
    <w:qFormat/>
    <w:rsid w:val="00365496"/>
    <w:pPr>
      <w:keepNext/>
      <w:spacing w:before="240"/>
    </w:pPr>
    <w:rPr>
      <w:rFonts w:cs="Arial"/>
      <w:b/>
      <w:color w:val="D51E35"/>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character" w:customStyle="1" w:styleId="Heading1Char">
    <w:name w:val="Heading 1 Char"/>
    <w:basedOn w:val="DefaultParagraphFont"/>
    <w:link w:val="Heading1"/>
    <w:uiPriority w:val="9"/>
    <w:rsid w:val="00365496"/>
    <w:rPr>
      <w:rFonts w:ascii="Arial" w:hAnsi="Arial" w:cs="Arial"/>
      <w:color w:val="AF262E"/>
      <w:sz w:val="24"/>
    </w:rPr>
  </w:style>
  <w:style w:type="character" w:customStyle="1" w:styleId="Heading2Char">
    <w:name w:val="Heading 2 Char"/>
    <w:basedOn w:val="DefaultParagraphFont"/>
    <w:link w:val="Heading2"/>
    <w:uiPriority w:val="9"/>
    <w:rsid w:val="002F616C"/>
    <w:rPr>
      <w:rFonts w:ascii="Arial" w:hAnsi="Arial" w:cs="Arial"/>
      <w:b/>
      <w:color w:val="53565A"/>
    </w:rPr>
  </w:style>
  <w:style w:type="character" w:customStyle="1" w:styleId="Heading3Char">
    <w:name w:val="Heading 3 Char"/>
    <w:basedOn w:val="DefaultParagraphFont"/>
    <w:link w:val="Heading3"/>
    <w:uiPriority w:val="9"/>
    <w:rsid w:val="008547DC"/>
    <w:rPr>
      <w:rFonts w:ascii="Arial" w:hAnsi="Arial" w:cs="Arial"/>
      <w:b/>
      <w:color w:val="064EA8"/>
      <w:sz w:val="18"/>
      <w:szCs w:val="18"/>
    </w:rPr>
  </w:style>
  <w:style w:type="paragraph" w:styleId="ListBullet">
    <w:name w:val="List Bullet"/>
    <w:basedOn w:val="ListParagraph"/>
    <w:uiPriority w:val="99"/>
    <w:unhideWhenUsed/>
    <w:rsid w:val="008547DC"/>
    <w:pPr>
      <w:numPr>
        <w:numId w:val="3"/>
      </w:numPr>
    </w:pPr>
    <w:rPr>
      <w:rFonts w:cs="Arial"/>
      <w:szCs w:val="20"/>
    </w:rPr>
  </w:style>
  <w:style w:type="paragraph" w:styleId="ListParagraph">
    <w:name w:val="List Paragraph"/>
    <w:basedOn w:val="Normal"/>
    <w:uiPriority w:val="34"/>
    <w:qFormat/>
    <w:rsid w:val="008547DC"/>
    <w:pPr>
      <w:ind w:left="720"/>
      <w:contextualSpacing/>
    </w:pPr>
  </w:style>
  <w:style w:type="paragraph" w:styleId="Subtitle">
    <w:name w:val="Subtitle"/>
    <w:basedOn w:val="Normal"/>
    <w:next w:val="Normal"/>
    <w:link w:val="SubtitleChar"/>
    <w:uiPriority w:val="11"/>
    <w:qFormat/>
    <w:rsid w:val="00A756BA"/>
    <w:pPr>
      <w:spacing w:before="180" w:line="320" w:lineRule="exact"/>
      <w:ind w:right="3357"/>
      <w:contextualSpacing/>
    </w:pPr>
    <w:rPr>
      <w:sz w:val="32"/>
    </w:rPr>
  </w:style>
  <w:style w:type="character" w:customStyle="1" w:styleId="SubtitleChar">
    <w:name w:val="Subtitle Char"/>
    <w:basedOn w:val="DefaultParagraphFont"/>
    <w:link w:val="Subtitle"/>
    <w:uiPriority w:val="11"/>
    <w:rsid w:val="00A756BA"/>
    <w:rPr>
      <w:rFonts w:ascii="Arial" w:hAnsi="Arial"/>
      <w:color w:val="53565A"/>
      <w:sz w:val="32"/>
      <w:szCs w:val="24"/>
    </w:rPr>
  </w:style>
  <w:style w:type="character" w:styleId="IntenseEmphasis">
    <w:name w:val="Intense Emphasis"/>
    <w:basedOn w:val="DefaultParagraphFont"/>
    <w:uiPriority w:val="21"/>
    <w:qFormat/>
    <w:rsid w:val="00365496"/>
    <w:rPr>
      <w:i/>
      <w:iCs/>
      <w:color w:val="D51E35"/>
    </w:rPr>
  </w:style>
  <w:style w:type="paragraph" w:styleId="IntenseQuote">
    <w:name w:val="Intense Quote"/>
    <w:basedOn w:val="Normal"/>
    <w:next w:val="Normal"/>
    <w:link w:val="IntenseQuoteChar"/>
    <w:uiPriority w:val="30"/>
    <w:qFormat/>
    <w:rsid w:val="00365496"/>
    <w:pPr>
      <w:pBdr>
        <w:top w:val="single" w:sz="4" w:space="10" w:color="4F81BD" w:themeColor="accent1"/>
        <w:bottom w:val="single" w:sz="4" w:space="10" w:color="4F81BD" w:themeColor="accent1"/>
      </w:pBdr>
      <w:spacing w:before="360" w:after="360"/>
      <w:ind w:left="864" w:right="864"/>
      <w:jc w:val="center"/>
    </w:pPr>
    <w:rPr>
      <w:i/>
      <w:iCs/>
      <w:color w:val="D51E35"/>
    </w:rPr>
  </w:style>
  <w:style w:type="character" w:customStyle="1" w:styleId="IntenseQuoteChar">
    <w:name w:val="Intense Quote Char"/>
    <w:basedOn w:val="DefaultParagraphFont"/>
    <w:link w:val="IntenseQuote"/>
    <w:uiPriority w:val="30"/>
    <w:rsid w:val="00365496"/>
    <w:rPr>
      <w:rFonts w:ascii="Arial" w:hAnsi="Arial"/>
      <w:i/>
      <w:iCs/>
      <w:color w:val="D51E35"/>
      <w:szCs w:val="24"/>
    </w:rPr>
  </w:style>
  <w:style w:type="character" w:styleId="IntenseReference">
    <w:name w:val="Intense Reference"/>
    <w:basedOn w:val="DefaultParagraphFont"/>
    <w:uiPriority w:val="32"/>
    <w:qFormat/>
    <w:rsid w:val="00365496"/>
    <w:rPr>
      <w:b/>
      <w:bCs/>
      <w:smallCaps/>
      <w:color w:val="D51E35"/>
      <w:spacing w:val="5"/>
    </w:rPr>
  </w:style>
  <w:style w:type="paragraph" w:styleId="Revision">
    <w:name w:val="Revision"/>
    <w:hidden/>
    <w:uiPriority w:val="99"/>
    <w:semiHidden/>
    <w:rsid w:val="00B75997"/>
    <w:rPr>
      <w:rFonts w:ascii="Arial" w:hAnsi="Arial"/>
      <w:color w:val="53565A"/>
      <w:szCs w:val="24"/>
    </w:rPr>
  </w:style>
  <w:style w:type="character" w:styleId="CommentReference">
    <w:name w:val="annotation reference"/>
    <w:basedOn w:val="DefaultParagraphFont"/>
    <w:uiPriority w:val="99"/>
    <w:semiHidden/>
    <w:unhideWhenUsed/>
    <w:rsid w:val="00F5537B"/>
    <w:rPr>
      <w:sz w:val="16"/>
      <w:szCs w:val="16"/>
    </w:rPr>
  </w:style>
  <w:style w:type="paragraph" w:styleId="CommentText">
    <w:name w:val="annotation text"/>
    <w:basedOn w:val="Normal"/>
    <w:link w:val="CommentTextChar"/>
    <w:uiPriority w:val="99"/>
    <w:unhideWhenUsed/>
    <w:rsid w:val="00F5537B"/>
    <w:pPr>
      <w:spacing w:after="0"/>
    </w:pPr>
    <w:rPr>
      <w:szCs w:val="20"/>
    </w:rPr>
  </w:style>
  <w:style w:type="character" w:customStyle="1" w:styleId="CommentTextChar">
    <w:name w:val="Comment Text Char"/>
    <w:basedOn w:val="DefaultParagraphFont"/>
    <w:link w:val="CommentText"/>
    <w:uiPriority w:val="99"/>
    <w:rsid w:val="00F5537B"/>
    <w:rPr>
      <w:rFonts w:ascii="Arial" w:hAnsi="Arial"/>
      <w:color w:val="53565A"/>
    </w:rPr>
  </w:style>
  <w:style w:type="paragraph" w:customStyle="1" w:styleId="bodycopy">
    <w:name w:val="# body copy"/>
    <w:basedOn w:val="Normal"/>
    <w:qFormat/>
    <w:rsid w:val="0045234D"/>
    <w:rPr>
      <w:rFonts w:cs="Arial"/>
      <w:color w:val="C0504D" w:themeColor="accent2"/>
      <w:szCs w:val="20"/>
    </w:rPr>
  </w:style>
  <w:style w:type="paragraph" w:customStyle="1" w:styleId="TableText0">
    <w:name w:val="Table Text"/>
    <w:basedOn w:val="Normal"/>
    <w:qFormat/>
    <w:rsid w:val="003C40CD"/>
    <w:pPr>
      <w:spacing w:after="60"/>
    </w:pPr>
    <w:rPr>
      <w:rFonts w:cs="Arial"/>
      <w:color w:val="C0504D" w:themeColor="accent2"/>
      <w:sz w:val="18"/>
      <w:szCs w:val="18"/>
    </w:rPr>
  </w:style>
  <w:style w:type="character" w:styleId="Hyperlink">
    <w:name w:val="Hyperlink"/>
    <w:basedOn w:val="DefaultParagraphFont"/>
    <w:uiPriority w:val="99"/>
    <w:unhideWhenUsed/>
    <w:rsid w:val="00453775"/>
    <w:rPr>
      <w:color w:val="0000FF" w:themeColor="hyperlink"/>
      <w:u w:val="single"/>
    </w:rPr>
  </w:style>
  <w:style w:type="character" w:styleId="UnresolvedMention">
    <w:name w:val="Unresolved Mention"/>
    <w:basedOn w:val="DefaultParagraphFont"/>
    <w:uiPriority w:val="99"/>
    <w:rsid w:val="0045377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3C00"/>
    <w:pPr>
      <w:spacing w:after="120"/>
    </w:pPr>
    <w:rPr>
      <w:b/>
      <w:bCs/>
    </w:rPr>
  </w:style>
  <w:style w:type="character" w:customStyle="1" w:styleId="CommentSubjectChar">
    <w:name w:val="Comment Subject Char"/>
    <w:basedOn w:val="CommentTextChar"/>
    <w:link w:val="CommentSubject"/>
    <w:uiPriority w:val="99"/>
    <w:semiHidden/>
    <w:rsid w:val="00F73C00"/>
    <w:rPr>
      <w:rFonts w:ascii="Arial" w:hAnsi="Arial"/>
      <w:b/>
      <w:bCs/>
      <w:color w:val="53565A"/>
    </w:rPr>
  </w:style>
  <w:style w:type="character" w:styleId="Mention">
    <w:name w:val="Mention"/>
    <w:basedOn w:val="DefaultParagraphFont"/>
    <w:uiPriority w:val="99"/>
    <w:unhideWhenUsed/>
    <w:rsid w:val="00614DA2"/>
    <w:rPr>
      <w:color w:val="2B579A"/>
      <w:shd w:val="clear" w:color="auto" w:fill="E1DFDD"/>
    </w:rPr>
  </w:style>
  <w:style w:type="paragraph" w:customStyle="1" w:styleId="bodycopynospace">
    <w:name w:val="# body copy (no space)"/>
    <w:basedOn w:val="bodycopy"/>
    <w:qFormat/>
    <w:rsid w:val="00E51BC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localjobsfirst.vic.gov.au/about/policy-updates-and-transitional-arrangements"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localjobsfirst.vic.gov.au/key-documents"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icn.org.au/icn_vic/vm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Jayne E Oliver (DJPR)</DisplayName>
        <AccountId>49</AccountId>
        <AccountType/>
      </UserInfo>
      <UserInfo>
        <DisplayName>Leslie A Sorensen (DJPR)</DisplayName>
        <AccountId>579</AccountId>
        <AccountType/>
      </UserInfo>
      <UserInfo>
        <DisplayName>Richard A Exley (DJPR)</DisplayName>
        <AccountId>35</AccountId>
        <AccountType/>
      </UserInfo>
      <UserInfo>
        <DisplayName>Sean E Brown (DJPR)</DisplayName>
        <AccountId>33</AccountId>
        <AccountType/>
      </UserInfo>
      <UserInfo>
        <DisplayName>Dylan P Thomas (DJPR)</DisplayName>
        <AccountId>1450</AccountId>
        <AccountType/>
      </UserInfo>
      <UserInfo>
        <DisplayName>Jane Barnett (DJPR)</DisplayName>
        <AccountId>3416</AccountId>
        <AccountType/>
      </UserInfo>
    </SharedWithUsers>
    <lcf76f155ced4ddcb4097134ff3c332f xmlns="bd07834f-d95b-4883-aa18-4cf54a60a803">
      <Terms xmlns="http://schemas.microsoft.com/office/infopath/2007/PartnerControls"/>
    </lcf76f155ced4ddcb4097134ff3c332f>
    <pfeg xmlns="bd07834f-d95b-4883-aa18-4cf54a60a803" xsi:nil="true"/>
    <TaxCatchAll xmlns="32e98561-183e-4de5-80c3-a793f40b4ede" xsi:nil="true"/>
    <test xmlns="bd07834f-d95b-4883-aa18-4cf54a60a8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8" ma:contentTypeDescription="Create a new document." ma:contentTypeScope="" ma:versionID="3aaad7e708d4da83c85dbdd64fccd814">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dffe2db8b64ef7e82a2271b773e61532"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5115B-A874-41DB-A67C-33517F29AF8E}">
  <ds:schemaRefs>
    <ds:schemaRef ds:uri="http://schemas.microsoft.com/office/2006/metadata/properties"/>
    <ds:schemaRef ds:uri="http://schemas.microsoft.com/office/infopath/2007/PartnerControls"/>
    <ds:schemaRef ds:uri="32e98561-183e-4de5-80c3-a793f40b4ede"/>
    <ds:schemaRef ds:uri="bd07834f-d95b-4883-aa18-4cf54a60a803"/>
  </ds:schemaRefs>
</ds:datastoreItem>
</file>

<file path=customXml/itemProps2.xml><?xml version="1.0" encoding="utf-8"?>
<ds:datastoreItem xmlns:ds="http://schemas.openxmlformats.org/officeDocument/2006/customXml" ds:itemID="{CACB921E-A4DF-49CC-AC19-66356020B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D9AFE-3108-4782-9F25-6390C1914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Links>
    <vt:vector size="18" baseType="variant">
      <vt:variant>
        <vt:i4>8257646</vt:i4>
      </vt:variant>
      <vt:variant>
        <vt:i4>9</vt:i4>
      </vt:variant>
      <vt:variant>
        <vt:i4>0</vt:i4>
      </vt:variant>
      <vt:variant>
        <vt:i4>5</vt:i4>
      </vt:variant>
      <vt:variant>
        <vt:lpwstr>https://localjobsfirst.vic.gov.au/key-documents</vt:lpwstr>
      </vt:variant>
      <vt:variant>
        <vt:lpwstr/>
      </vt:variant>
      <vt:variant>
        <vt:i4>8257646</vt:i4>
      </vt:variant>
      <vt:variant>
        <vt:i4>3</vt:i4>
      </vt:variant>
      <vt:variant>
        <vt:i4>0</vt:i4>
      </vt:variant>
      <vt:variant>
        <vt:i4>5</vt:i4>
      </vt:variant>
      <vt:variant>
        <vt:lpwstr>https://localjobsfirst.vic.gov.au/key-documents</vt:lpwstr>
      </vt:variant>
      <vt:variant>
        <vt:lpwstr/>
      </vt:variant>
      <vt:variant>
        <vt:i4>7471126</vt:i4>
      </vt:variant>
      <vt:variant>
        <vt:i4>0</vt:i4>
      </vt:variant>
      <vt:variant>
        <vt:i4>0</vt:i4>
      </vt:variant>
      <vt:variant>
        <vt:i4>5</vt:i4>
      </vt:variant>
      <vt:variant>
        <vt:lpwstr>https://icn.org.au/icn_vic/vmc/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2022-09-27T20:25:00Z</dcterms:created>
  <dcterms:modified xsi:type="dcterms:W3CDTF">2022-10-17T01:20:00Z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0x010100332B5021F6FA5748BD595AC6B2FEC278</vt:lpwstr>
  </property>
  <property fmtid="{D5CDD505-2E9C-101B-9397-08002B2CF9AE}" pid="3" name="Order">
    <vt:r8>298100</vt:r8>
  </property>
  <property fmtid="{D5CDD505-2E9C-101B-9397-08002B2CF9AE}" pid="4" name="ComplianceAssetId">
    <vt:lpwstr/>
  </property>
  <property fmtid="{D5CDD505-2E9C-101B-9397-08002B2CF9AE}" pid="5" name="DEDJTRDivision">
    <vt:lpwstr>1;#Employment Investment and Trade|55ce1999-68b6-4f37-bdce-009ad410cd2a</vt:lpwstr>
  </property>
  <property fmtid="{D5CDD505-2E9C-101B-9397-08002B2CF9AE}" pid="6" name="DEDJTRGroup">
    <vt:lpwstr>2;#Industry Development and Innovation|ad92c5f5-bb8b-41ed-b6fd-be2ed2394642</vt:lpwstr>
  </property>
  <property fmtid="{D5CDD505-2E9C-101B-9397-08002B2CF9AE}" pid="7" name="DEDJTRSecurityClassification">
    <vt:lpwstr/>
  </property>
  <property fmtid="{D5CDD505-2E9C-101B-9397-08002B2CF9AE}" pid="8" name="DEDJTRBranch">
    <vt:lpwstr/>
  </property>
  <property fmtid="{D5CDD505-2E9C-101B-9397-08002B2CF9AE}" pid="9" name="DEDJTRSection">
    <vt:lpwstr/>
  </property>
  <property fmtid="{D5CDD505-2E9C-101B-9397-08002B2CF9AE}" pid="10" name="e4da834bacf8456d94e18d5d66490b90">
    <vt:lpwstr>Industry Development and Innovation|ad92c5f5-bb8b-41ed-b6fd-be2ed2394642</vt:lpwstr>
  </property>
  <property fmtid="{D5CDD505-2E9C-101B-9397-08002B2CF9AE}" pid="11" name="xd_Signature">
    <vt:bool>false</vt:bool>
  </property>
  <property fmtid="{D5CDD505-2E9C-101B-9397-08002B2CF9AE}" pid="12" name="xd_ProgID">
    <vt:lpwstr/>
  </property>
  <property fmtid="{D5CDD505-2E9C-101B-9397-08002B2CF9AE}" pid="13" name="be9de15831a746f4b3f0ba041df97669">
    <vt:lpwstr>Employment Investment and Trade|55ce1999-68b6-4f37-bdce-009ad410cd2a</vt:lpwstr>
  </property>
  <property fmtid="{D5CDD505-2E9C-101B-9397-08002B2CF9AE}" pid="14" name="TemplateUrl">
    <vt:lpwstr/>
  </property>
  <property fmtid="{D5CDD505-2E9C-101B-9397-08002B2CF9AE}" pid="15" name="b4605c5f9d584382a57fb8476d85f713">
    <vt:lpwstr>Employment Investment and Trade|55ce1999-68b6-4f37-bdce-009ad410cd2a</vt:lpwstr>
  </property>
  <property fmtid="{D5CDD505-2E9C-101B-9397-08002B2CF9AE}" pid="16" name="g46a9f61d38540a784cfecbd3da27bca">
    <vt:lpwstr>Industry Development and Innovation|ad92c5f5-bb8b-41ed-b6fd-be2ed2394642</vt:lpwstr>
  </property>
  <property fmtid="{D5CDD505-2E9C-101B-9397-08002B2CF9AE}" pid="17" name="MediaServiceImageTags">
    <vt:lpwstr/>
  </property>
  <property fmtid="{D5CDD505-2E9C-101B-9397-08002B2CF9AE}" pid="18" name="MSIP_Label_d00a4df9-c942-4b09-b23a-6c1023f6de27_Enabled">
    <vt:lpwstr>true</vt:lpwstr>
  </property>
  <property fmtid="{D5CDD505-2E9C-101B-9397-08002B2CF9AE}" pid="19" name="MSIP_Label_d00a4df9-c942-4b09-b23a-6c1023f6de27_SetDate">
    <vt:lpwstr>2022-09-27T03:25:52Z</vt:lpwstr>
  </property>
  <property fmtid="{D5CDD505-2E9C-101B-9397-08002B2CF9AE}" pid="20" name="MSIP_Label_d00a4df9-c942-4b09-b23a-6c1023f6de27_Method">
    <vt:lpwstr>Privileged</vt:lpwstr>
  </property>
  <property fmtid="{D5CDD505-2E9C-101B-9397-08002B2CF9AE}" pid="21" name="MSIP_Label_d00a4df9-c942-4b09-b23a-6c1023f6de27_Name">
    <vt:lpwstr>Official (DJPR)</vt:lpwstr>
  </property>
  <property fmtid="{D5CDD505-2E9C-101B-9397-08002B2CF9AE}" pid="22" name="MSIP_Label_d00a4df9-c942-4b09-b23a-6c1023f6de27_SiteId">
    <vt:lpwstr>722ea0be-3e1c-4b11-ad6f-9401d6856e24</vt:lpwstr>
  </property>
  <property fmtid="{D5CDD505-2E9C-101B-9397-08002B2CF9AE}" pid="23" name="MSIP_Label_d00a4df9-c942-4b09-b23a-6c1023f6de27_ActionId">
    <vt:lpwstr>49e65c0c-9b7e-4a13-a265-f212e77e4888</vt:lpwstr>
  </property>
  <property fmtid="{D5CDD505-2E9C-101B-9397-08002B2CF9AE}" pid="24" name="MSIP_Label_d00a4df9-c942-4b09-b23a-6c1023f6de27_ContentBits">
    <vt:lpwstr>3</vt:lpwstr>
  </property>
</Properties>
</file>