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E49C" w14:textId="7D16AF60" w:rsidR="00542204" w:rsidRPr="00753E81" w:rsidRDefault="00F6358A" w:rsidP="0082668C">
      <w:pPr>
        <w:pStyle w:val="Subtitle"/>
        <w:spacing w:before="120" w:line="240" w:lineRule="auto"/>
        <w:ind w:right="521"/>
        <w:contextualSpacing w:val="0"/>
        <w:rPr>
          <w:rFonts w:ascii="VIC" w:hAnsi="VIC"/>
          <w:b/>
          <w:color w:val="AF262E"/>
          <w:sz w:val="44"/>
          <w:szCs w:val="40"/>
        </w:rPr>
      </w:pPr>
      <w:r w:rsidRPr="00F6358A">
        <w:rPr>
          <w:rFonts w:ascii="VIC" w:hAnsi="VIC"/>
          <w:b/>
          <w:color w:val="AF262E"/>
          <w:sz w:val="44"/>
          <w:szCs w:val="40"/>
        </w:rPr>
        <w:t xml:space="preserve">Local Jobs First Policy Updates  </w:t>
      </w:r>
    </w:p>
    <w:p w14:paraId="4268E04C" w14:textId="2263490B" w:rsidR="00A756BA" w:rsidRPr="00753E81" w:rsidRDefault="00DF1051" w:rsidP="0082668C">
      <w:pPr>
        <w:pStyle w:val="Subtitle"/>
        <w:spacing w:before="120"/>
        <w:ind w:right="2080"/>
        <w:contextualSpacing w:val="0"/>
        <w:rPr>
          <w:rFonts w:ascii="VIC" w:hAnsi="VIC"/>
        </w:rPr>
      </w:pPr>
      <w:r w:rsidRPr="00DF1051">
        <w:rPr>
          <w:rFonts w:ascii="VIC" w:hAnsi="VIC"/>
        </w:rPr>
        <w:t xml:space="preserve">Summary of </w:t>
      </w:r>
      <w:r w:rsidR="004E57BF">
        <w:rPr>
          <w:rFonts w:ascii="VIC" w:hAnsi="VIC"/>
        </w:rPr>
        <w:t>k</w:t>
      </w:r>
      <w:r w:rsidRPr="00DF1051">
        <w:rPr>
          <w:rFonts w:ascii="VIC" w:hAnsi="VIC"/>
        </w:rPr>
        <w:t xml:space="preserve">ey </w:t>
      </w:r>
      <w:r w:rsidR="004E57BF">
        <w:rPr>
          <w:rFonts w:ascii="VIC" w:hAnsi="VIC"/>
        </w:rPr>
        <w:t>c</w:t>
      </w:r>
      <w:r w:rsidRPr="00DF1051">
        <w:rPr>
          <w:rFonts w:ascii="VIC" w:hAnsi="VIC"/>
        </w:rPr>
        <w:t xml:space="preserve">hanges </w:t>
      </w:r>
      <w:r>
        <w:rPr>
          <w:rFonts w:ascii="VIC" w:hAnsi="VIC"/>
        </w:rPr>
        <w:t xml:space="preserve">- </w:t>
      </w:r>
      <w:r w:rsidR="005318A3" w:rsidRPr="00753E81">
        <w:rPr>
          <w:rFonts w:ascii="VIC" w:hAnsi="VIC"/>
        </w:rPr>
        <w:t>October 2022</w:t>
      </w:r>
    </w:p>
    <w:p w14:paraId="3A16C800" w14:textId="40D91F8E" w:rsidR="00542204" w:rsidRPr="00753E81" w:rsidRDefault="00623A15" w:rsidP="003744DD">
      <w:pPr>
        <w:pStyle w:val="Introtext"/>
        <w:spacing w:before="360" w:after="120"/>
        <w:rPr>
          <w:rFonts w:ascii="VIC" w:hAnsi="VIC"/>
        </w:rPr>
        <w:sectPr w:rsidR="00542204" w:rsidRPr="00753E81" w:rsidSect="00010598">
          <w:headerReference w:type="default" r:id="rId10"/>
          <w:footerReference w:type="default" r:id="rId11"/>
          <w:headerReference w:type="first" r:id="rId12"/>
          <w:pgSz w:w="11906" w:h="16838"/>
          <w:pgMar w:top="2694" w:right="1440" w:bottom="1440" w:left="1440" w:header="2397" w:footer="567" w:gutter="0"/>
          <w:cols w:space="708"/>
          <w:titlePg/>
          <w:docGrid w:linePitch="360"/>
        </w:sectPr>
      </w:pPr>
      <w:r w:rsidRPr="00753E81">
        <w:rPr>
          <w:rFonts w:ascii="VIC" w:hAnsi="VIC"/>
        </w:rPr>
        <w:t xml:space="preserve">The </w:t>
      </w:r>
      <w:r w:rsidRPr="00753E81">
        <w:rPr>
          <w:rFonts w:ascii="VIC" w:hAnsi="VIC"/>
          <w:i/>
          <w:iCs/>
        </w:rPr>
        <w:t>Local Jobs First Policy</w:t>
      </w:r>
      <w:r w:rsidRPr="00753E81">
        <w:rPr>
          <w:rFonts w:ascii="VIC" w:hAnsi="VIC"/>
        </w:rPr>
        <w:t xml:space="preserve">, </w:t>
      </w:r>
      <w:r w:rsidRPr="00753E81">
        <w:rPr>
          <w:rFonts w:ascii="VIC" w:hAnsi="VIC"/>
          <w:i/>
          <w:iCs/>
        </w:rPr>
        <w:t>Agency Guidelines</w:t>
      </w:r>
      <w:r w:rsidRPr="00753E81">
        <w:rPr>
          <w:rFonts w:ascii="VIC" w:hAnsi="VIC"/>
        </w:rPr>
        <w:t xml:space="preserve"> and </w:t>
      </w:r>
      <w:r w:rsidRPr="00753E81">
        <w:rPr>
          <w:rFonts w:ascii="VIC" w:hAnsi="VIC"/>
          <w:i/>
          <w:iCs/>
        </w:rPr>
        <w:t>Supplier Guidelines</w:t>
      </w:r>
      <w:r w:rsidRPr="00753E81">
        <w:rPr>
          <w:rFonts w:ascii="VIC" w:hAnsi="VIC"/>
        </w:rPr>
        <w:t xml:space="preserve"> have been updated and refreshed to strengthen policy outcomes</w:t>
      </w:r>
      <w:r w:rsidR="00876155">
        <w:rPr>
          <w:rFonts w:ascii="VIC" w:hAnsi="VIC"/>
        </w:rPr>
        <w:t xml:space="preserve"> and </w:t>
      </w:r>
      <w:r w:rsidRPr="00753E81">
        <w:rPr>
          <w:rFonts w:ascii="VIC" w:hAnsi="VIC"/>
        </w:rPr>
        <w:t>simplify application for agencies and industry.</w:t>
      </w:r>
    </w:p>
    <w:p w14:paraId="3290A73F" w14:textId="3FAA0B5D" w:rsidR="008547DC" w:rsidRPr="00F21424" w:rsidRDefault="008547DC" w:rsidP="006518B1">
      <w:pPr>
        <w:pStyle w:val="Heading3"/>
        <w:rPr>
          <w:rFonts w:ascii="VIC" w:hAnsi="VIC"/>
          <w:sz w:val="2"/>
          <w:szCs w:val="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5000" w:type="pct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1952"/>
        <w:gridCol w:w="7290"/>
      </w:tblGrid>
      <w:tr w:rsidR="00C804D6" w:rsidRPr="00753E81" w14:paraId="5ADEEEE8" w14:textId="77777777" w:rsidTr="00BF1B48">
        <w:trPr>
          <w:tblHeader/>
        </w:trPr>
        <w:tc>
          <w:tcPr>
            <w:tcW w:w="1056" w:type="pct"/>
            <w:tcBorders>
              <w:top w:val="single" w:sz="4" w:space="0" w:color="AF262E"/>
              <w:bottom w:val="single" w:sz="4" w:space="0" w:color="AF262E"/>
            </w:tcBorders>
            <w:shd w:val="clear" w:color="auto" w:fill="AF262E"/>
            <w:vAlign w:val="center"/>
          </w:tcPr>
          <w:p w14:paraId="726CF247" w14:textId="23E47B79" w:rsidR="00C804D6" w:rsidRPr="00753E81" w:rsidRDefault="000038B6" w:rsidP="000038B6">
            <w:pPr>
              <w:spacing w:before="60" w:after="60"/>
              <w:rPr>
                <w:rFonts w:ascii="VIC" w:hAnsi="VIC"/>
                <w:b/>
                <w:color w:val="FFFFFF" w:themeColor="background1"/>
              </w:rPr>
            </w:pPr>
            <w:r>
              <w:rPr>
                <w:rFonts w:ascii="VIC" w:hAnsi="VIC"/>
                <w:b/>
                <w:color w:val="FFFFFF" w:themeColor="background1"/>
              </w:rPr>
              <w:t>Theme</w:t>
            </w:r>
          </w:p>
        </w:tc>
        <w:tc>
          <w:tcPr>
            <w:tcW w:w="3944" w:type="pct"/>
            <w:tcBorders>
              <w:top w:val="single" w:sz="4" w:space="0" w:color="AF262E"/>
              <w:bottom w:val="single" w:sz="4" w:space="0" w:color="AF262E"/>
            </w:tcBorders>
            <w:shd w:val="clear" w:color="auto" w:fill="AF262E"/>
            <w:vAlign w:val="center"/>
          </w:tcPr>
          <w:p w14:paraId="58977831" w14:textId="1D1C9FDB" w:rsidR="00C804D6" w:rsidRPr="00753E81" w:rsidRDefault="00C804D6" w:rsidP="000038B6">
            <w:pPr>
              <w:spacing w:before="60" w:after="60"/>
              <w:rPr>
                <w:rFonts w:ascii="VIC" w:hAnsi="VIC"/>
                <w:b/>
                <w:color w:val="FFFFFF" w:themeColor="background1"/>
              </w:rPr>
            </w:pPr>
            <w:r w:rsidRPr="00753E81">
              <w:rPr>
                <w:rFonts w:ascii="VIC" w:hAnsi="VIC"/>
                <w:b/>
                <w:color w:val="FFFFFF" w:themeColor="background1"/>
              </w:rPr>
              <w:t xml:space="preserve">Key </w:t>
            </w:r>
            <w:r w:rsidR="00F6358A">
              <w:rPr>
                <w:rFonts w:ascii="VIC" w:hAnsi="VIC"/>
                <w:b/>
                <w:color w:val="FFFFFF" w:themeColor="background1"/>
              </w:rPr>
              <w:t>changes</w:t>
            </w:r>
          </w:p>
        </w:tc>
      </w:tr>
      <w:tr w:rsidR="00C804D6" w:rsidRPr="00753E81" w14:paraId="06E3A934" w14:textId="77777777" w:rsidTr="00BF1B48">
        <w:tc>
          <w:tcPr>
            <w:tcW w:w="1056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35800E94" w14:textId="6A7E0849" w:rsidR="00C804D6" w:rsidRPr="00753E81" w:rsidRDefault="00C804D6" w:rsidP="000038B6">
            <w:pPr>
              <w:spacing w:before="60" w:after="60"/>
              <w:rPr>
                <w:rFonts w:ascii="VIC" w:hAnsi="VIC"/>
              </w:rPr>
            </w:pPr>
            <w:r w:rsidRPr="00753E81">
              <w:rPr>
                <w:rFonts w:ascii="VIC" w:hAnsi="VIC"/>
              </w:rPr>
              <w:t>Major Projects Skills Guarantee (MPSG)</w:t>
            </w:r>
          </w:p>
        </w:tc>
        <w:tc>
          <w:tcPr>
            <w:tcW w:w="3944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2F41EE5D" w14:textId="3DDE31B8" w:rsidR="00F4240E" w:rsidRPr="00021718" w:rsidRDefault="00953D95" w:rsidP="00010598">
            <w:pPr>
              <w:pStyle w:val="ListParagraph"/>
              <w:numPr>
                <w:ilvl w:val="0"/>
                <w:numId w:val="15"/>
              </w:numPr>
              <w:spacing w:before="120"/>
              <w:ind w:left="357" w:hanging="357"/>
              <w:contextualSpacing w:val="0"/>
              <w:rPr>
                <w:rFonts w:ascii="VIC" w:hAnsi="VIC"/>
              </w:rPr>
            </w:pPr>
            <w:r>
              <w:rPr>
                <w:rFonts w:ascii="VIC" w:hAnsi="VIC"/>
              </w:rPr>
              <w:t>N</w:t>
            </w:r>
            <w:r w:rsidR="00C804D6" w:rsidRPr="00021718">
              <w:rPr>
                <w:rFonts w:ascii="VIC" w:hAnsi="VIC"/>
              </w:rPr>
              <w:t>ew MPSG Policy Statement now available, to complement the Local Jobs First Policy</w:t>
            </w:r>
            <w:r w:rsidR="005B023C">
              <w:rPr>
                <w:rFonts w:ascii="VIC" w:hAnsi="VIC"/>
              </w:rPr>
              <w:t xml:space="preserve"> (LJF)</w:t>
            </w:r>
            <w:r w:rsidR="00C804D6" w:rsidRPr="00021718">
              <w:rPr>
                <w:rFonts w:ascii="VIC" w:hAnsi="VIC"/>
              </w:rPr>
              <w:t>.</w:t>
            </w:r>
            <w:r w:rsidR="001A025A" w:rsidRPr="00021718">
              <w:rPr>
                <w:rFonts w:ascii="VIC" w:hAnsi="VIC"/>
              </w:rPr>
              <w:t xml:space="preserve"> The MPSG Policy Statement d</w:t>
            </w:r>
            <w:r w:rsidR="00F4240E" w:rsidRPr="00021718">
              <w:rPr>
                <w:rFonts w:ascii="VIC" w:hAnsi="VIC"/>
              </w:rPr>
              <w:t>escribes MPSG’s core purpose, how it works, and how it benefits workers and industry</w:t>
            </w:r>
            <w:r w:rsidR="006B4097" w:rsidRPr="00021718">
              <w:rPr>
                <w:rFonts w:ascii="VIC" w:hAnsi="VIC"/>
              </w:rPr>
              <w:t xml:space="preserve"> and interacts with other policies</w:t>
            </w:r>
            <w:r w:rsidR="001A025A" w:rsidRPr="00021718">
              <w:rPr>
                <w:rFonts w:ascii="VIC" w:hAnsi="VIC"/>
              </w:rPr>
              <w:t>.</w:t>
            </w:r>
          </w:p>
          <w:p w14:paraId="3B8266D8" w14:textId="62CF2724" w:rsidR="00AE2D84" w:rsidRPr="00021718" w:rsidRDefault="00953D95" w:rsidP="00010598">
            <w:pPr>
              <w:pStyle w:val="ListParagraph"/>
              <w:numPr>
                <w:ilvl w:val="0"/>
                <w:numId w:val="15"/>
              </w:numPr>
              <w:spacing w:before="120"/>
              <w:ind w:left="357" w:hanging="357"/>
              <w:contextualSpacing w:val="0"/>
              <w:rPr>
                <w:rFonts w:ascii="VIC" w:hAnsi="VIC"/>
              </w:rPr>
            </w:pPr>
            <w:r>
              <w:rPr>
                <w:rFonts w:ascii="VIC" w:hAnsi="VIC"/>
              </w:rPr>
              <w:t>A</w:t>
            </w:r>
            <w:r w:rsidR="00AE2D84" w:rsidRPr="00021718">
              <w:rPr>
                <w:rFonts w:ascii="VIC" w:hAnsi="VIC"/>
              </w:rPr>
              <w:t>pproach to calculating the minimum MPSG requirement for all new MPSG projects</w:t>
            </w:r>
            <w:r w:rsidR="00BE374A" w:rsidRPr="00021718">
              <w:rPr>
                <w:rFonts w:ascii="VIC" w:hAnsi="VIC"/>
              </w:rPr>
              <w:t xml:space="preserve"> is being simplified</w:t>
            </w:r>
            <w:r w:rsidR="00AE2D84" w:rsidRPr="00021718">
              <w:rPr>
                <w:rFonts w:ascii="VIC" w:hAnsi="VIC"/>
              </w:rPr>
              <w:t xml:space="preserve"> from 31 January 2023</w:t>
            </w:r>
            <w:r w:rsidR="00BE374A" w:rsidRPr="00021718">
              <w:rPr>
                <w:rFonts w:ascii="VIC" w:hAnsi="VIC"/>
              </w:rPr>
              <w:t xml:space="preserve">. From this date, </w:t>
            </w:r>
            <w:r w:rsidR="00AE2D84" w:rsidRPr="00021718">
              <w:rPr>
                <w:rFonts w:ascii="VIC" w:hAnsi="VIC"/>
              </w:rPr>
              <w:t>contractors</w:t>
            </w:r>
            <w:r w:rsidR="00BE374A" w:rsidRPr="00021718">
              <w:rPr>
                <w:rFonts w:ascii="VIC" w:hAnsi="VIC"/>
              </w:rPr>
              <w:t xml:space="preserve"> will no longer be required</w:t>
            </w:r>
            <w:r w:rsidR="00AE2D84" w:rsidRPr="00021718">
              <w:rPr>
                <w:rFonts w:ascii="VIC" w:hAnsi="VIC"/>
              </w:rPr>
              <w:t xml:space="preserve"> to use the Deemed Hours Formula to estimate labour hours</w:t>
            </w:r>
            <w:r w:rsidR="00BE374A" w:rsidRPr="00021718">
              <w:rPr>
                <w:rFonts w:ascii="VIC" w:hAnsi="VIC"/>
              </w:rPr>
              <w:t xml:space="preserve"> when bidding for MPSG projects.</w:t>
            </w:r>
          </w:p>
          <w:p w14:paraId="2436A6BC" w14:textId="760DFE71" w:rsidR="00C46D09" w:rsidRPr="00021718" w:rsidRDefault="00C46D09" w:rsidP="0001059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20"/>
              <w:ind w:left="357" w:hanging="357"/>
              <w:contextualSpacing w:val="0"/>
              <w:rPr>
                <w:rFonts w:ascii="VIC" w:hAnsi="VIC"/>
              </w:rPr>
            </w:pPr>
            <w:r w:rsidRPr="00021718">
              <w:rPr>
                <w:rFonts w:ascii="VIC" w:hAnsi="VIC"/>
              </w:rPr>
              <w:t>Updated definitions of apprentices, trainees and cadets clarify who can be counted towards MPSG:</w:t>
            </w:r>
          </w:p>
          <w:p w14:paraId="5FA74500" w14:textId="77777777" w:rsidR="00C46D09" w:rsidRPr="00021718" w:rsidRDefault="00C46D09" w:rsidP="00010598">
            <w:pPr>
              <w:pStyle w:val="ListParagraph"/>
              <w:numPr>
                <w:ilvl w:val="1"/>
                <w:numId w:val="17"/>
              </w:numPr>
              <w:shd w:val="clear" w:color="auto" w:fill="FFFFFF"/>
              <w:spacing w:after="0"/>
              <w:ind w:left="1077" w:hanging="357"/>
              <w:contextualSpacing w:val="0"/>
              <w:rPr>
                <w:rFonts w:ascii="VIC" w:hAnsi="VIC"/>
              </w:rPr>
            </w:pPr>
            <w:r w:rsidRPr="00021718">
              <w:rPr>
                <w:rFonts w:ascii="VIC" w:hAnsi="VIC"/>
              </w:rPr>
              <w:t>MPSG is for entry level roles only</w:t>
            </w:r>
          </w:p>
          <w:p w14:paraId="2F0EEE83" w14:textId="25EDD352" w:rsidR="00C46D09" w:rsidRPr="00021718" w:rsidRDefault="00E177AF" w:rsidP="00010598">
            <w:pPr>
              <w:pStyle w:val="ListParagraph"/>
              <w:numPr>
                <w:ilvl w:val="1"/>
                <w:numId w:val="17"/>
              </w:numPr>
              <w:shd w:val="clear" w:color="auto" w:fill="FFFFFF"/>
              <w:spacing w:after="0"/>
              <w:ind w:left="1077" w:hanging="357"/>
              <w:contextualSpacing w:val="0"/>
              <w:rPr>
                <w:rFonts w:ascii="VIC" w:hAnsi="VIC"/>
              </w:rPr>
            </w:pPr>
            <w:r>
              <w:rPr>
                <w:rFonts w:ascii="VIC" w:hAnsi="VIC"/>
              </w:rPr>
              <w:t>W</w:t>
            </w:r>
            <w:r w:rsidR="00C46D09" w:rsidRPr="00021718">
              <w:rPr>
                <w:rFonts w:ascii="VIC" w:hAnsi="VIC"/>
              </w:rPr>
              <w:t>ork must be directly tied to</w:t>
            </w:r>
            <w:r>
              <w:rPr>
                <w:rFonts w:ascii="VIC" w:hAnsi="VIC"/>
              </w:rPr>
              <w:t xml:space="preserve"> their</w:t>
            </w:r>
            <w:r w:rsidR="00C46D09" w:rsidRPr="00021718">
              <w:rPr>
                <w:rFonts w:ascii="VIC" w:hAnsi="VIC"/>
              </w:rPr>
              <w:t xml:space="preserve"> associated tertiary qualification</w:t>
            </w:r>
          </w:p>
          <w:p w14:paraId="0D75DD2E" w14:textId="24FAB9E9" w:rsidR="00C46D09" w:rsidRPr="00021718" w:rsidRDefault="00C46D09" w:rsidP="00010598">
            <w:pPr>
              <w:pStyle w:val="ListParagraph"/>
              <w:numPr>
                <w:ilvl w:val="1"/>
                <w:numId w:val="17"/>
              </w:numPr>
              <w:shd w:val="clear" w:color="auto" w:fill="FFFFFF"/>
              <w:spacing w:after="0"/>
              <w:ind w:left="1077" w:hanging="357"/>
              <w:contextualSpacing w:val="0"/>
              <w:rPr>
                <w:rFonts w:ascii="VIC" w:hAnsi="VIC"/>
              </w:rPr>
            </w:pPr>
            <w:r w:rsidRPr="00021718">
              <w:rPr>
                <w:rFonts w:ascii="VIC" w:hAnsi="VIC"/>
              </w:rPr>
              <w:t>Professional traineeships cannot count towards MPSG</w:t>
            </w:r>
          </w:p>
          <w:p w14:paraId="0CBC0482" w14:textId="3E267AA7" w:rsidR="00C804D6" w:rsidRPr="00021718" w:rsidRDefault="001709E9" w:rsidP="0001059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20"/>
              <w:ind w:left="357" w:hanging="357"/>
              <w:contextualSpacing w:val="0"/>
              <w:rPr>
                <w:rFonts w:ascii="VIC" w:hAnsi="VIC"/>
              </w:rPr>
            </w:pPr>
            <w:r w:rsidRPr="00021718">
              <w:rPr>
                <w:rFonts w:ascii="VIC" w:hAnsi="VIC"/>
              </w:rPr>
              <w:t>C</w:t>
            </w:r>
            <w:r w:rsidR="00034230" w:rsidRPr="00021718">
              <w:rPr>
                <w:rFonts w:ascii="VIC" w:hAnsi="VIC"/>
              </w:rPr>
              <w:t>larified guidance for how hours worked off-site to deliver inputs to a project, such as prefabricated or modular components, can count towards the MPSG requirement</w:t>
            </w:r>
            <w:r w:rsidR="00F2192E" w:rsidRPr="00021718">
              <w:rPr>
                <w:rFonts w:ascii="VIC" w:hAnsi="VIC"/>
              </w:rPr>
              <w:t>. Bidders are encouraged to contact their off-site suppliers to understand their apprentice, trainee and cadet use on the project</w:t>
            </w:r>
            <w:r w:rsidR="00605B83">
              <w:rPr>
                <w:rFonts w:ascii="VIC" w:hAnsi="VIC"/>
              </w:rPr>
              <w:t>.</w:t>
            </w:r>
          </w:p>
        </w:tc>
      </w:tr>
      <w:tr w:rsidR="00C804D6" w:rsidRPr="00753E81" w14:paraId="179F68A4" w14:textId="77777777" w:rsidTr="00BF1B48">
        <w:tc>
          <w:tcPr>
            <w:tcW w:w="1056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66DEF3B3" w14:textId="27A28BD5" w:rsidR="00C804D6" w:rsidRPr="00753E81" w:rsidRDefault="00FF33B4" w:rsidP="000038B6">
            <w:pPr>
              <w:spacing w:before="60" w:after="60"/>
              <w:rPr>
                <w:rFonts w:ascii="VIC" w:hAnsi="VIC"/>
              </w:rPr>
            </w:pPr>
            <w:r w:rsidRPr="00753E81">
              <w:rPr>
                <w:rFonts w:ascii="VIC" w:hAnsi="VIC"/>
              </w:rPr>
              <w:t>Grants and loans</w:t>
            </w:r>
          </w:p>
        </w:tc>
        <w:tc>
          <w:tcPr>
            <w:tcW w:w="3944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0AAA0FDC" w14:textId="653C3401" w:rsidR="00B453E9" w:rsidRDefault="001272D5" w:rsidP="0001059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20"/>
              <w:ind w:left="357" w:hanging="357"/>
              <w:contextualSpacing w:val="0"/>
              <w:rPr>
                <w:rFonts w:ascii="VIC" w:hAnsi="VIC"/>
              </w:rPr>
            </w:pPr>
            <w:r w:rsidRPr="00B23582">
              <w:rPr>
                <w:rFonts w:ascii="VIC" w:hAnsi="VIC"/>
              </w:rPr>
              <w:t xml:space="preserve">Expanded </w:t>
            </w:r>
            <w:r w:rsidR="00C93382" w:rsidRPr="00B23582">
              <w:rPr>
                <w:rFonts w:ascii="VIC" w:hAnsi="VIC"/>
              </w:rPr>
              <w:t xml:space="preserve">guidance for </w:t>
            </w:r>
            <w:r w:rsidR="00B23582">
              <w:rPr>
                <w:rFonts w:ascii="VIC" w:hAnsi="VIC"/>
              </w:rPr>
              <w:t xml:space="preserve">LJF application to </w:t>
            </w:r>
            <w:r w:rsidR="00C93382" w:rsidRPr="00B23582">
              <w:rPr>
                <w:rFonts w:ascii="VIC" w:hAnsi="VIC"/>
              </w:rPr>
              <w:t>grants and loans</w:t>
            </w:r>
            <w:r w:rsidR="00605B83">
              <w:rPr>
                <w:rFonts w:ascii="VIC" w:hAnsi="VIC"/>
              </w:rPr>
              <w:t>.</w:t>
            </w:r>
          </w:p>
          <w:p w14:paraId="49706EA8" w14:textId="212F204C" w:rsidR="00B453E9" w:rsidRDefault="005D3D35" w:rsidP="0001059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20"/>
              <w:ind w:left="357" w:hanging="357"/>
              <w:contextualSpacing w:val="0"/>
              <w:rPr>
                <w:rFonts w:ascii="VIC" w:hAnsi="VIC"/>
              </w:rPr>
            </w:pPr>
            <w:r w:rsidRPr="00B453E9">
              <w:rPr>
                <w:rFonts w:ascii="VIC" w:hAnsi="VIC"/>
              </w:rPr>
              <w:t>Highlighted that LJF applies to grants to local governments</w:t>
            </w:r>
            <w:r w:rsidR="00BA5899">
              <w:rPr>
                <w:rFonts w:ascii="VIC" w:hAnsi="VIC"/>
              </w:rPr>
              <w:t>.</w:t>
            </w:r>
          </w:p>
          <w:p w14:paraId="24D90D33" w14:textId="541B240A" w:rsidR="00B453E9" w:rsidRDefault="005D3D35" w:rsidP="0001059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20"/>
              <w:ind w:left="357" w:hanging="357"/>
              <w:contextualSpacing w:val="0"/>
              <w:rPr>
                <w:rFonts w:ascii="VIC" w:hAnsi="VIC"/>
              </w:rPr>
            </w:pPr>
            <w:r w:rsidRPr="00B453E9">
              <w:rPr>
                <w:rFonts w:ascii="VIC" w:hAnsi="VIC"/>
              </w:rPr>
              <w:t>Clarified that grant or loan recipients are considered as suppliers for LJF purposes</w:t>
            </w:r>
            <w:r w:rsidR="00BA5899">
              <w:rPr>
                <w:rFonts w:ascii="VIC" w:hAnsi="VIC"/>
              </w:rPr>
              <w:t>.</w:t>
            </w:r>
          </w:p>
          <w:p w14:paraId="123802A1" w14:textId="665721EC" w:rsidR="005D3D35" w:rsidRPr="00B453E9" w:rsidRDefault="00B453E9" w:rsidP="00010598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20"/>
              <w:ind w:left="357" w:hanging="357"/>
              <w:contextualSpacing w:val="0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Clarified that </w:t>
            </w:r>
            <w:r w:rsidR="005D3D35" w:rsidRPr="00B453E9">
              <w:rPr>
                <w:rFonts w:ascii="VIC" w:hAnsi="VIC"/>
              </w:rPr>
              <w:t>grant</w:t>
            </w:r>
            <w:r w:rsidR="00B74FD3">
              <w:rPr>
                <w:rFonts w:ascii="VIC" w:hAnsi="VIC"/>
              </w:rPr>
              <w:t>s</w:t>
            </w:r>
            <w:r w:rsidR="005D3D35" w:rsidRPr="00B453E9">
              <w:rPr>
                <w:rFonts w:ascii="VIC" w:hAnsi="VIC"/>
              </w:rPr>
              <w:t xml:space="preserve"> </w:t>
            </w:r>
            <w:r w:rsidR="00615EAC">
              <w:rPr>
                <w:rFonts w:ascii="VIC" w:hAnsi="VIC"/>
              </w:rPr>
              <w:t>and</w:t>
            </w:r>
            <w:r w:rsidR="005D3D35" w:rsidRPr="00B453E9">
              <w:rPr>
                <w:rFonts w:ascii="VIC" w:hAnsi="VIC"/>
              </w:rPr>
              <w:t xml:space="preserve"> loan</w:t>
            </w:r>
            <w:r w:rsidR="00615EAC">
              <w:rPr>
                <w:rFonts w:ascii="VIC" w:hAnsi="VIC"/>
              </w:rPr>
              <w:t>s</w:t>
            </w:r>
            <w:r w:rsidR="005D3D35" w:rsidRPr="00B453E9">
              <w:rPr>
                <w:rFonts w:ascii="VIC" w:hAnsi="VIC"/>
              </w:rPr>
              <w:t xml:space="preserve"> with a state contribution of $50 million or above may be treated as Strategic Projec</w:t>
            </w:r>
            <w:r>
              <w:rPr>
                <w:rFonts w:ascii="VIC" w:hAnsi="VIC"/>
              </w:rPr>
              <w:t>t</w:t>
            </w:r>
            <w:r w:rsidR="00615EAC">
              <w:rPr>
                <w:rFonts w:ascii="VIC" w:hAnsi="VIC"/>
              </w:rPr>
              <w:t>s</w:t>
            </w:r>
            <w:r w:rsidR="001C767D">
              <w:rPr>
                <w:rFonts w:ascii="VIC" w:hAnsi="VIC"/>
              </w:rPr>
              <w:t xml:space="preserve"> and </w:t>
            </w:r>
            <w:r w:rsidR="005D3D35" w:rsidRPr="00B453E9">
              <w:rPr>
                <w:rFonts w:ascii="VIC" w:hAnsi="VIC"/>
              </w:rPr>
              <w:t>agencies must first contact DJPR to confirm how LJF will apply</w:t>
            </w:r>
            <w:r w:rsidR="00E25373">
              <w:rPr>
                <w:rFonts w:ascii="VIC" w:hAnsi="VIC"/>
              </w:rPr>
              <w:t>.</w:t>
            </w:r>
          </w:p>
        </w:tc>
      </w:tr>
    </w:tbl>
    <w:p w14:paraId="636A4808" w14:textId="77777777" w:rsidR="00447515" w:rsidRDefault="00447515">
      <w:r>
        <w:br w:type="page"/>
      </w:r>
    </w:p>
    <w:tbl>
      <w:tblPr>
        <w:tblStyle w:val="TableGrid"/>
        <w:tblpPr w:leftFromText="180" w:rightFromText="180" w:vertAnchor="text" w:tblpXSpec="right" w:tblpY="1"/>
        <w:tblOverlap w:val="never"/>
        <w:tblW w:w="5000" w:type="pct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1952"/>
        <w:gridCol w:w="7290"/>
      </w:tblGrid>
      <w:tr w:rsidR="00FF33B4" w:rsidRPr="00753E81" w14:paraId="48F84763" w14:textId="77777777" w:rsidTr="00BF1B48">
        <w:tc>
          <w:tcPr>
            <w:tcW w:w="1056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36A117C7" w14:textId="7C62552B" w:rsidR="00FF33B4" w:rsidRPr="00753E81" w:rsidRDefault="00753E81" w:rsidP="000038B6">
            <w:pPr>
              <w:spacing w:before="60" w:after="60"/>
              <w:rPr>
                <w:rFonts w:ascii="VIC" w:hAnsi="VIC"/>
              </w:rPr>
            </w:pPr>
            <w:r w:rsidRPr="00753E81">
              <w:rPr>
                <w:rFonts w:ascii="VIC" w:hAnsi="VIC"/>
              </w:rPr>
              <w:lastRenderedPageBreak/>
              <w:t xml:space="preserve">Panels </w:t>
            </w:r>
            <w:r w:rsidR="000038B6">
              <w:rPr>
                <w:rFonts w:ascii="VIC" w:hAnsi="VIC"/>
              </w:rPr>
              <w:t>(</w:t>
            </w:r>
            <w:r w:rsidRPr="00753E81">
              <w:rPr>
                <w:rFonts w:ascii="VIC" w:hAnsi="VIC"/>
              </w:rPr>
              <w:t>including</w:t>
            </w:r>
            <w:r w:rsidR="000038B6">
              <w:rPr>
                <w:rFonts w:ascii="VIC" w:hAnsi="VIC"/>
              </w:rPr>
              <w:t xml:space="preserve"> sole supplier</w:t>
            </w:r>
            <w:r w:rsidR="006E2B56">
              <w:rPr>
                <w:rFonts w:ascii="VIC" w:hAnsi="VIC"/>
              </w:rPr>
              <w:t xml:space="preserve"> standing offer</w:t>
            </w:r>
            <w:r w:rsidR="000038B6">
              <w:rPr>
                <w:rFonts w:ascii="VIC" w:hAnsi="VIC"/>
              </w:rPr>
              <w:t xml:space="preserve"> contracts)</w:t>
            </w:r>
            <w:r w:rsidRPr="00753E81">
              <w:rPr>
                <w:rFonts w:ascii="VIC" w:hAnsi="VIC"/>
              </w:rPr>
              <w:t xml:space="preserve"> </w:t>
            </w:r>
          </w:p>
        </w:tc>
        <w:tc>
          <w:tcPr>
            <w:tcW w:w="3944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6217C3B8" w14:textId="04A1ADAF" w:rsidR="004F6CDF" w:rsidRPr="000038B6" w:rsidRDefault="00100188" w:rsidP="00010598">
            <w:pPr>
              <w:pStyle w:val="ListParagraph"/>
              <w:numPr>
                <w:ilvl w:val="0"/>
                <w:numId w:val="20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0038B6">
              <w:rPr>
                <w:rFonts w:ascii="VIC" w:hAnsi="VIC"/>
              </w:rPr>
              <w:t xml:space="preserve">Panels guidance expanded to better explain types of panels including </w:t>
            </w:r>
            <w:r w:rsidR="000038B6" w:rsidRPr="000038B6">
              <w:rPr>
                <w:rFonts w:ascii="VIC" w:hAnsi="VIC"/>
              </w:rPr>
              <w:t>State Purchase Contracts (SPCs) and Sole Entity Purchase Contracts (SEPCs)</w:t>
            </w:r>
            <w:r w:rsidR="00BA5899">
              <w:rPr>
                <w:rFonts w:ascii="VIC" w:hAnsi="VIC"/>
              </w:rPr>
              <w:t>.</w:t>
            </w:r>
          </w:p>
          <w:p w14:paraId="44BC5212" w14:textId="77777777" w:rsidR="004F6CDF" w:rsidRPr="000038B6" w:rsidRDefault="00100188" w:rsidP="00010598">
            <w:pPr>
              <w:pStyle w:val="ListParagraph"/>
              <w:numPr>
                <w:ilvl w:val="0"/>
                <w:numId w:val="20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0038B6">
              <w:rPr>
                <w:rFonts w:ascii="VIC" w:hAnsi="VIC"/>
              </w:rPr>
              <w:t>Updated process for applying LJF when an agency is establishing or renewing an SPC or SEPC and the estimated or historical contract spend meets the LJF thresholds:</w:t>
            </w:r>
          </w:p>
          <w:p w14:paraId="07A5496B" w14:textId="4990D5F0" w:rsidR="004F6CDF" w:rsidRPr="000038B6" w:rsidRDefault="00100188" w:rsidP="00010598">
            <w:pPr>
              <w:pStyle w:val="ListParagraph"/>
              <w:numPr>
                <w:ilvl w:val="0"/>
                <w:numId w:val="21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0038B6">
              <w:rPr>
                <w:rFonts w:ascii="VIC" w:hAnsi="VIC"/>
              </w:rPr>
              <w:t xml:space="preserve">Agency must consult with </w:t>
            </w:r>
            <w:r w:rsidR="002D1758">
              <w:rPr>
                <w:rFonts w:ascii="VIC" w:hAnsi="VIC"/>
              </w:rPr>
              <w:t xml:space="preserve">the </w:t>
            </w:r>
            <w:r w:rsidRPr="000038B6">
              <w:rPr>
                <w:rFonts w:ascii="VIC" w:hAnsi="VIC"/>
              </w:rPr>
              <w:t>D</w:t>
            </w:r>
            <w:r w:rsidR="002D1758">
              <w:rPr>
                <w:rFonts w:ascii="VIC" w:hAnsi="VIC"/>
              </w:rPr>
              <w:t xml:space="preserve">epartment of </w:t>
            </w:r>
            <w:r w:rsidRPr="000038B6">
              <w:rPr>
                <w:rFonts w:ascii="VIC" w:hAnsi="VIC"/>
              </w:rPr>
              <w:t>J</w:t>
            </w:r>
            <w:r w:rsidR="002D1758">
              <w:rPr>
                <w:rFonts w:ascii="VIC" w:hAnsi="VIC"/>
              </w:rPr>
              <w:t xml:space="preserve">obs </w:t>
            </w:r>
            <w:r w:rsidRPr="000038B6">
              <w:rPr>
                <w:rFonts w:ascii="VIC" w:hAnsi="VIC"/>
              </w:rPr>
              <w:t>P</w:t>
            </w:r>
            <w:r w:rsidR="002D1758">
              <w:rPr>
                <w:rFonts w:ascii="VIC" w:hAnsi="VIC"/>
              </w:rPr>
              <w:t>recin</w:t>
            </w:r>
            <w:r w:rsidR="00027ADE">
              <w:rPr>
                <w:rFonts w:ascii="VIC" w:hAnsi="VIC"/>
              </w:rPr>
              <w:t>c</w:t>
            </w:r>
            <w:r w:rsidR="002D1758">
              <w:rPr>
                <w:rFonts w:ascii="VIC" w:hAnsi="VIC"/>
              </w:rPr>
              <w:t xml:space="preserve">ts and </w:t>
            </w:r>
            <w:r w:rsidRPr="000038B6">
              <w:rPr>
                <w:rFonts w:ascii="VIC" w:hAnsi="VIC"/>
              </w:rPr>
              <w:t>R</w:t>
            </w:r>
            <w:r w:rsidR="002D1758">
              <w:rPr>
                <w:rFonts w:ascii="VIC" w:hAnsi="VIC"/>
              </w:rPr>
              <w:t>egions (DJPR)</w:t>
            </w:r>
            <w:r w:rsidR="00027ADE">
              <w:rPr>
                <w:rFonts w:ascii="VIC" w:hAnsi="VIC"/>
              </w:rPr>
              <w:t xml:space="preserve"> </w:t>
            </w:r>
            <w:r w:rsidRPr="000038B6">
              <w:rPr>
                <w:rFonts w:ascii="VIC" w:hAnsi="VIC"/>
              </w:rPr>
              <w:t>prior to contract establishment / market approach to determine how LJF will apply</w:t>
            </w:r>
          </w:p>
          <w:p w14:paraId="6AFE4F48" w14:textId="77777777" w:rsidR="004F6CDF" w:rsidRPr="000038B6" w:rsidRDefault="00100188" w:rsidP="00010598">
            <w:pPr>
              <w:pStyle w:val="ListParagraph"/>
              <w:numPr>
                <w:ilvl w:val="0"/>
                <w:numId w:val="21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0038B6">
              <w:rPr>
                <w:rFonts w:ascii="VIC" w:hAnsi="VIC"/>
              </w:rPr>
              <w:t>This includes SPCs or SEPCs where the contract may be awarded to a sole supplier</w:t>
            </w:r>
          </w:p>
          <w:p w14:paraId="5D19FC7E" w14:textId="665807A8" w:rsidR="00FF33B4" w:rsidRPr="000038B6" w:rsidRDefault="00100188" w:rsidP="00010598">
            <w:pPr>
              <w:pStyle w:val="ListParagraph"/>
              <w:numPr>
                <w:ilvl w:val="0"/>
                <w:numId w:val="21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0038B6">
              <w:rPr>
                <w:rFonts w:ascii="VIC" w:hAnsi="VIC"/>
              </w:rPr>
              <w:t>DJPR may advise that the contract should follow the LJF Standard or Strategic Project process, including preparation of</w:t>
            </w:r>
            <w:r w:rsidR="00027ADE">
              <w:rPr>
                <w:rFonts w:ascii="VIC" w:hAnsi="VIC"/>
              </w:rPr>
              <w:t xml:space="preserve"> </w:t>
            </w:r>
            <w:r w:rsidRPr="000038B6">
              <w:rPr>
                <w:rFonts w:ascii="VIC" w:hAnsi="VIC"/>
              </w:rPr>
              <w:t>a L</w:t>
            </w:r>
            <w:r w:rsidR="002D1758">
              <w:rPr>
                <w:rFonts w:ascii="VIC" w:hAnsi="VIC"/>
              </w:rPr>
              <w:t xml:space="preserve">ocal </w:t>
            </w:r>
            <w:r w:rsidRPr="000038B6">
              <w:rPr>
                <w:rFonts w:ascii="VIC" w:hAnsi="VIC"/>
              </w:rPr>
              <w:t>I</w:t>
            </w:r>
            <w:r w:rsidR="002D1758">
              <w:rPr>
                <w:rFonts w:ascii="VIC" w:hAnsi="VIC"/>
              </w:rPr>
              <w:t xml:space="preserve">ndustry </w:t>
            </w:r>
            <w:r w:rsidRPr="000038B6">
              <w:rPr>
                <w:rFonts w:ascii="VIC" w:hAnsi="VIC"/>
              </w:rPr>
              <w:t>D</w:t>
            </w:r>
            <w:r w:rsidR="002D1758">
              <w:rPr>
                <w:rFonts w:ascii="VIC" w:hAnsi="VIC"/>
              </w:rPr>
              <w:t xml:space="preserve">evelopment </w:t>
            </w:r>
            <w:r w:rsidRPr="000038B6">
              <w:rPr>
                <w:rFonts w:ascii="VIC" w:hAnsi="VIC"/>
              </w:rPr>
              <w:t>P</w:t>
            </w:r>
            <w:r w:rsidR="002D1758">
              <w:rPr>
                <w:rFonts w:ascii="VIC" w:hAnsi="VIC"/>
              </w:rPr>
              <w:t>lan.</w:t>
            </w:r>
          </w:p>
        </w:tc>
      </w:tr>
      <w:tr w:rsidR="000038B6" w:rsidRPr="00753E81" w14:paraId="6F7126EA" w14:textId="77777777" w:rsidTr="00BF1B48">
        <w:tc>
          <w:tcPr>
            <w:tcW w:w="1056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69B2927E" w14:textId="19DE9D40" w:rsidR="000038B6" w:rsidRPr="006E2B56" w:rsidRDefault="000038B6" w:rsidP="006E2B56">
            <w:pPr>
              <w:rPr>
                <w:rFonts w:ascii="VIC" w:hAnsi="VIC"/>
              </w:rPr>
            </w:pPr>
            <w:r w:rsidRPr="006E2B56">
              <w:rPr>
                <w:rFonts w:ascii="VIC" w:hAnsi="VIC"/>
              </w:rPr>
              <w:t>Local Jobs First Administrators</w:t>
            </w:r>
          </w:p>
        </w:tc>
        <w:tc>
          <w:tcPr>
            <w:tcW w:w="3944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10D7E274" w14:textId="254BC817" w:rsidR="006E2B56" w:rsidRDefault="006E2B56" w:rsidP="00010598">
            <w:pPr>
              <w:pStyle w:val="ListParagraph"/>
              <w:numPr>
                <w:ilvl w:val="0"/>
                <w:numId w:val="20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6E2B56">
              <w:rPr>
                <w:rFonts w:ascii="VIC" w:hAnsi="VIC"/>
              </w:rPr>
              <w:t>Updated description of the L</w:t>
            </w:r>
            <w:r w:rsidR="004052BC">
              <w:rPr>
                <w:rFonts w:ascii="VIC" w:hAnsi="VIC"/>
              </w:rPr>
              <w:t>JF</w:t>
            </w:r>
            <w:r w:rsidR="00027ADE">
              <w:rPr>
                <w:rFonts w:ascii="VIC" w:hAnsi="VIC"/>
              </w:rPr>
              <w:t xml:space="preserve"> </w:t>
            </w:r>
            <w:r w:rsidRPr="006E2B56">
              <w:rPr>
                <w:rFonts w:ascii="VIC" w:hAnsi="VIC"/>
              </w:rPr>
              <w:t>Administrator role</w:t>
            </w:r>
            <w:r w:rsidR="003111A5">
              <w:rPr>
                <w:rFonts w:ascii="VIC" w:hAnsi="VIC"/>
              </w:rPr>
              <w:t>.</w:t>
            </w:r>
          </w:p>
          <w:p w14:paraId="62A90DC5" w14:textId="72C87FB3" w:rsidR="006E2B56" w:rsidRPr="006E2B56" w:rsidRDefault="006E2B56" w:rsidP="00010598">
            <w:pPr>
              <w:pStyle w:val="ListParagraph"/>
              <w:numPr>
                <w:ilvl w:val="0"/>
                <w:numId w:val="20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6E2B56">
              <w:rPr>
                <w:rFonts w:ascii="VIC" w:hAnsi="VIC"/>
              </w:rPr>
              <w:t>Functions of the LJF Administrator role are expanded to include:</w:t>
            </w:r>
          </w:p>
          <w:p w14:paraId="0A822931" w14:textId="77777777" w:rsidR="006E2B56" w:rsidRPr="006E2B56" w:rsidRDefault="006E2B56" w:rsidP="00010598">
            <w:pPr>
              <w:pStyle w:val="ListParagraph"/>
              <w:numPr>
                <w:ilvl w:val="0"/>
                <w:numId w:val="23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6E2B56">
              <w:rPr>
                <w:rFonts w:ascii="VIC" w:hAnsi="VIC"/>
              </w:rPr>
              <w:t>Championing LJF application within the agency and providing general information on the policy</w:t>
            </w:r>
          </w:p>
          <w:p w14:paraId="3E73027C" w14:textId="77777777" w:rsidR="006E2B56" w:rsidRPr="006E2B56" w:rsidRDefault="006E2B56" w:rsidP="00010598">
            <w:pPr>
              <w:pStyle w:val="ListParagraph"/>
              <w:numPr>
                <w:ilvl w:val="0"/>
                <w:numId w:val="23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6E2B56">
              <w:rPr>
                <w:rFonts w:ascii="VIC" w:hAnsi="VIC"/>
              </w:rPr>
              <w:t>Acting as a coordination point for LJF communications</w:t>
            </w:r>
          </w:p>
          <w:p w14:paraId="5D33260A" w14:textId="24991CF0" w:rsidR="006E2B56" w:rsidRPr="006E2B56" w:rsidRDefault="006E2B56" w:rsidP="00010598">
            <w:pPr>
              <w:pStyle w:val="ListParagraph"/>
              <w:numPr>
                <w:ilvl w:val="0"/>
                <w:numId w:val="23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6E2B56">
              <w:rPr>
                <w:rFonts w:ascii="VIC" w:hAnsi="VIC"/>
              </w:rPr>
              <w:t>Supporting project teams with LJF processes including market approaches and contracting, if deemed appropriate by the agency</w:t>
            </w:r>
          </w:p>
          <w:p w14:paraId="02AAD9C6" w14:textId="6747D10D" w:rsidR="000038B6" w:rsidRPr="006E2B56" w:rsidRDefault="006E2B56" w:rsidP="00010598">
            <w:pPr>
              <w:pStyle w:val="ListParagraph"/>
              <w:numPr>
                <w:ilvl w:val="0"/>
                <w:numId w:val="20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 w:rsidRPr="006E2B56">
              <w:rPr>
                <w:rFonts w:ascii="VIC" w:hAnsi="VIC"/>
              </w:rPr>
              <w:t>Areas of confusion are clarified, including which functions an agency’s C</w:t>
            </w:r>
            <w:r w:rsidR="004052BC">
              <w:rPr>
                <w:rFonts w:ascii="VIC" w:hAnsi="VIC"/>
              </w:rPr>
              <w:t>hief Procurement Officer</w:t>
            </w:r>
            <w:r w:rsidRPr="006E2B56">
              <w:rPr>
                <w:rFonts w:ascii="VIC" w:hAnsi="VIC"/>
              </w:rPr>
              <w:t xml:space="preserve"> must perform</w:t>
            </w:r>
            <w:r w:rsidR="00E0072D">
              <w:rPr>
                <w:rFonts w:ascii="VIC" w:hAnsi="VIC"/>
              </w:rPr>
              <w:t>.</w:t>
            </w:r>
          </w:p>
        </w:tc>
      </w:tr>
      <w:tr w:rsidR="00A43F15" w:rsidRPr="00753E81" w14:paraId="1E7F0EA1" w14:textId="77777777" w:rsidTr="00BF1B48">
        <w:tc>
          <w:tcPr>
            <w:tcW w:w="1056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776406C3" w14:textId="77777777" w:rsidR="00A43F15" w:rsidRDefault="00A43F15" w:rsidP="006E2B56">
            <w:pPr>
              <w:rPr>
                <w:rFonts w:ascii="VIC" w:hAnsi="VIC"/>
              </w:rPr>
            </w:pPr>
          </w:p>
          <w:p w14:paraId="36EB9E3B" w14:textId="5A8D9DA9" w:rsidR="00A43F15" w:rsidRPr="006E2B56" w:rsidRDefault="00A43F15" w:rsidP="006E2B56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t>L</w:t>
            </w:r>
            <w:r w:rsidRPr="00A43F15">
              <w:rPr>
                <w:rFonts w:ascii="VIC" w:hAnsi="VIC"/>
              </w:rPr>
              <w:t>ocal sourcing changes</w:t>
            </w:r>
            <w:r>
              <w:rPr>
                <w:rFonts w:ascii="VIC" w:hAnsi="VIC"/>
              </w:rPr>
              <w:t xml:space="preserve"> on Strategic Projects</w:t>
            </w:r>
            <w:r w:rsidRPr="00A43F15">
              <w:rPr>
                <w:rFonts w:ascii="VIC" w:hAnsi="VIC"/>
              </w:rPr>
              <w:t xml:space="preserve"> </w:t>
            </w:r>
          </w:p>
        </w:tc>
        <w:tc>
          <w:tcPr>
            <w:tcW w:w="3944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082214A7" w14:textId="23C3217B" w:rsidR="00A43F15" w:rsidRPr="006E2B56" w:rsidRDefault="00205F7F" w:rsidP="00010598">
            <w:pPr>
              <w:pStyle w:val="ListParagraph"/>
              <w:numPr>
                <w:ilvl w:val="0"/>
                <w:numId w:val="20"/>
              </w:numPr>
              <w:spacing w:before="120"/>
              <w:ind w:hanging="357"/>
              <w:contextualSpacing w:val="0"/>
              <w:rPr>
                <w:rFonts w:ascii="VIC" w:hAnsi="VIC"/>
              </w:rPr>
            </w:pPr>
            <w:r>
              <w:rPr>
                <w:rFonts w:ascii="VIC" w:hAnsi="VIC"/>
              </w:rPr>
              <w:t>Reflected</w:t>
            </w:r>
            <w:r w:rsidRPr="00205F7F">
              <w:rPr>
                <w:rFonts w:ascii="VIC" w:hAnsi="VIC"/>
              </w:rPr>
              <w:t xml:space="preserve"> new process for agencies and suppliers to follow where proposed changes to local sourcing compared to commitments made in L</w:t>
            </w:r>
            <w:r w:rsidR="004052BC">
              <w:rPr>
                <w:rFonts w:ascii="VIC" w:hAnsi="VIC"/>
              </w:rPr>
              <w:t>ocal Industry Development Plans</w:t>
            </w:r>
            <w:r w:rsidRPr="00205F7F">
              <w:rPr>
                <w:rFonts w:ascii="VIC" w:hAnsi="VIC"/>
              </w:rPr>
              <w:t>, including the requirement to inform</w:t>
            </w:r>
            <w:r w:rsidR="004052BC">
              <w:rPr>
                <w:rFonts w:ascii="VIC" w:hAnsi="VIC"/>
              </w:rPr>
              <w:t xml:space="preserve"> the</w:t>
            </w:r>
            <w:r w:rsidRPr="00205F7F">
              <w:rPr>
                <w:rFonts w:ascii="VIC" w:hAnsi="VIC"/>
              </w:rPr>
              <w:t xml:space="preserve"> I</w:t>
            </w:r>
            <w:r w:rsidR="004052BC">
              <w:rPr>
                <w:rFonts w:ascii="VIC" w:hAnsi="VIC"/>
              </w:rPr>
              <w:t>ndustry Capability Network (Victoria)</w:t>
            </w:r>
            <w:r w:rsidRPr="00205F7F">
              <w:rPr>
                <w:rFonts w:ascii="VIC" w:hAnsi="VIC"/>
              </w:rPr>
              <w:t xml:space="preserve"> and DJPR if there has been a significant diversion</w:t>
            </w:r>
            <w:r>
              <w:rPr>
                <w:rFonts w:ascii="VIC" w:hAnsi="VIC"/>
              </w:rPr>
              <w:t xml:space="preserve"> (</w:t>
            </w:r>
            <w:r w:rsidRPr="00A43F15">
              <w:rPr>
                <w:rFonts w:ascii="VIC" w:hAnsi="VIC"/>
              </w:rPr>
              <w:t xml:space="preserve">introduced in </w:t>
            </w:r>
            <w:r w:rsidR="004052BC">
              <w:rPr>
                <w:rFonts w:ascii="VIC" w:hAnsi="VIC"/>
              </w:rPr>
              <w:t>June</w:t>
            </w:r>
            <w:r w:rsidR="004052BC" w:rsidRPr="00A43F15">
              <w:rPr>
                <w:rFonts w:ascii="VIC" w:hAnsi="VIC"/>
              </w:rPr>
              <w:t xml:space="preserve"> </w:t>
            </w:r>
            <w:r w:rsidRPr="00A43F15">
              <w:rPr>
                <w:rFonts w:ascii="VIC" w:hAnsi="VIC"/>
              </w:rPr>
              <w:t>2022)</w:t>
            </w:r>
            <w:r>
              <w:rPr>
                <w:rFonts w:ascii="VIC" w:hAnsi="VIC"/>
              </w:rPr>
              <w:t>.</w:t>
            </w:r>
          </w:p>
        </w:tc>
      </w:tr>
      <w:tr w:rsidR="00021718" w:rsidRPr="00753E81" w14:paraId="71BEA345" w14:textId="77777777" w:rsidTr="00BF1B48">
        <w:tc>
          <w:tcPr>
            <w:tcW w:w="1056" w:type="pct"/>
            <w:tcBorders>
              <w:top w:val="single" w:sz="4" w:space="0" w:color="AF262E"/>
              <w:bottom w:val="single" w:sz="4" w:space="0" w:color="AF262E"/>
            </w:tcBorders>
            <w:vAlign w:val="center"/>
          </w:tcPr>
          <w:p w14:paraId="7DD1FE0B" w14:textId="66B1CAE8" w:rsidR="00021718" w:rsidRPr="006E2B56" w:rsidRDefault="00021718" w:rsidP="006E2B56">
            <w:pPr>
              <w:rPr>
                <w:rFonts w:ascii="VIC" w:hAnsi="VIC"/>
              </w:rPr>
            </w:pPr>
            <w:r>
              <w:rPr>
                <w:rFonts w:ascii="VIC" w:hAnsi="VIC"/>
              </w:rPr>
              <w:t>Other</w:t>
            </w:r>
          </w:p>
        </w:tc>
        <w:tc>
          <w:tcPr>
            <w:tcW w:w="3944" w:type="pct"/>
            <w:tcBorders>
              <w:top w:val="single" w:sz="4" w:space="0" w:color="AF262E"/>
              <w:bottom w:val="single" w:sz="4" w:space="0" w:color="AF262E"/>
            </w:tcBorders>
            <w:shd w:val="clear" w:color="auto" w:fill="auto"/>
            <w:vAlign w:val="center"/>
          </w:tcPr>
          <w:p w14:paraId="7C0BF4E3" w14:textId="7AE47987" w:rsidR="007E684F" w:rsidRPr="000E2950" w:rsidRDefault="00133BFC" w:rsidP="000E2950">
            <w:pPr>
              <w:spacing w:before="120"/>
              <w:rPr>
                <w:rFonts w:ascii="VIC" w:hAnsi="VIC"/>
              </w:rPr>
            </w:pPr>
            <w:r>
              <w:rPr>
                <w:rFonts w:ascii="VIC" w:hAnsi="VIC"/>
              </w:rPr>
              <w:t>Other clarifications to address areas of confusion</w:t>
            </w:r>
            <w:r w:rsidR="00B15920">
              <w:rPr>
                <w:rFonts w:ascii="VIC" w:hAnsi="VIC"/>
              </w:rPr>
              <w:t xml:space="preserve">, including </w:t>
            </w:r>
            <w:r w:rsidR="00937F2C">
              <w:rPr>
                <w:rFonts w:ascii="VIC" w:hAnsi="VIC"/>
              </w:rPr>
              <w:t>reporting requirements</w:t>
            </w:r>
            <w:r w:rsidR="00F60CE5">
              <w:rPr>
                <w:rFonts w:ascii="VIC" w:hAnsi="VIC"/>
              </w:rPr>
              <w:t xml:space="preserve"> and timeframes</w:t>
            </w:r>
            <w:r w:rsidR="00F25631">
              <w:rPr>
                <w:rFonts w:ascii="VIC" w:hAnsi="VIC"/>
              </w:rPr>
              <w:t xml:space="preserve">, </w:t>
            </w:r>
            <w:r w:rsidR="008C48BD">
              <w:rPr>
                <w:rFonts w:ascii="VIC" w:hAnsi="VIC"/>
              </w:rPr>
              <w:t>Local Industry Development Plan submission process and scoring guidance</w:t>
            </w:r>
            <w:r w:rsidR="00191BCA">
              <w:rPr>
                <w:rFonts w:ascii="VIC" w:hAnsi="VIC"/>
              </w:rPr>
              <w:t>, market led proposals</w:t>
            </w:r>
            <w:r w:rsidR="00EB1A6F">
              <w:rPr>
                <w:rFonts w:ascii="VIC" w:hAnsi="VIC"/>
              </w:rPr>
              <w:t>, and inclusion of Statutory Declaration template.</w:t>
            </w:r>
          </w:p>
        </w:tc>
      </w:tr>
    </w:tbl>
    <w:p w14:paraId="2FC5ED70" w14:textId="2F0DC9D9" w:rsidR="00D047A4" w:rsidRPr="00447515" w:rsidRDefault="00FE3A36" w:rsidP="00447515">
      <w:pPr>
        <w:pStyle w:val="Heading2"/>
        <w:rPr>
          <w:rFonts w:ascii="VIC" w:hAnsi="VIC"/>
        </w:rPr>
      </w:pPr>
      <w:r>
        <w:rPr>
          <w:rFonts w:ascii="VIC" w:hAnsi="VIC"/>
        </w:rPr>
        <w:t>U</w:t>
      </w:r>
      <w:r w:rsidR="000B3CCC">
        <w:rPr>
          <w:rFonts w:ascii="VIC" w:hAnsi="VIC"/>
        </w:rPr>
        <w:t>pdated</w:t>
      </w:r>
      <w:r>
        <w:rPr>
          <w:rFonts w:ascii="VIC" w:hAnsi="VIC"/>
        </w:rPr>
        <w:t xml:space="preserve"> </w:t>
      </w:r>
      <w:r w:rsidRPr="00FE3A36">
        <w:rPr>
          <w:rFonts w:ascii="VIC" w:hAnsi="VIC"/>
          <w:i/>
          <w:iCs/>
        </w:rPr>
        <w:t>Local Jobs First Policy</w:t>
      </w:r>
      <w:r w:rsidRPr="00FE3A36">
        <w:rPr>
          <w:rFonts w:ascii="VIC" w:hAnsi="VIC"/>
        </w:rPr>
        <w:t xml:space="preserve">, </w:t>
      </w:r>
      <w:r w:rsidRPr="00FE3A36">
        <w:rPr>
          <w:rFonts w:ascii="VIC" w:hAnsi="VIC"/>
          <w:i/>
          <w:iCs/>
        </w:rPr>
        <w:t>Agency Guidelines</w:t>
      </w:r>
      <w:r w:rsidRPr="00FE3A36">
        <w:rPr>
          <w:rFonts w:ascii="VIC" w:hAnsi="VIC"/>
        </w:rPr>
        <w:t xml:space="preserve"> and </w:t>
      </w:r>
      <w:r w:rsidRPr="00FE3A36">
        <w:rPr>
          <w:rFonts w:ascii="VIC" w:hAnsi="VIC"/>
          <w:i/>
          <w:iCs/>
        </w:rPr>
        <w:t>Supplier Guidelines</w:t>
      </w:r>
      <w:r w:rsidRPr="00FE3A36">
        <w:rPr>
          <w:rFonts w:ascii="VIC" w:hAnsi="VIC"/>
        </w:rPr>
        <w:t xml:space="preserve"> </w:t>
      </w:r>
      <w:r w:rsidR="005E7417">
        <w:rPr>
          <w:rFonts w:ascii="VIC" w:hAnsi="VIC"/>
        </w:rPr>
        <w:t xml:space="preserve">and </w:t>
      </w:r>
      <w:r w:rsidR="00F84C62">
        <w:rPr>
          <w:rFonts w:ascii="VIC" w:hAnsi="VIC"/>
        </w:rPr>
        <w:t xml:space="preserve">other </w:t>
      </w:r>
      <w:r w:rsidR="005E7417">
        <w:rPr>
          <w:rFonts w:ascii="VIC" w:hAnsi="VIC"/>
        </w:rPr>
        <w:t>supporting</w:t>
      </w:r>
      <w:r w:rsidR="00F84C62">
        <w:rPr>
          <w:rFonts w:ascii="VIC" w:hAnsi="VIC"/>
        </w:rPr>
        <w:t xml:space="preserve"> documents including FAQs</w:t>
      </w:r>
      <w:r w:rsidR="005E7417">
        <w:rPr>
          <w:rFonts w:ascii="VIC" w:hAnsi="VIC"/>
        </w:rPr>
        <w:t xml:space="preserve"> </w:t>
      </w:r>
      <w:r w:rsidR="00D047A4">
        <w:rPr>
          <w:rFonts w:ascii="VIC" w:hAnsi="VIC"/>
        </w:rPr>
        <w:t xml:space="preserve">are </w:t>
      </w:r>
      <w:r w:rsidR="00D86E83">
        <w:rPr>
          <w:rFonts w:ascii="VIC" w:hAnsi="VIC"/>
        </w:rPr>
        <w:t>available</w:t>
      </w:r>
      <w:r>
        <w:rPr>
          <w:rFonts w:ascii="VIC" w:hAnsi="VIC"/>
        </w:rPr>
        <w:t xml:space="preserve"> now</w:t>
      </w:r>
      <w:r w:rsidR="00F058CE">
        <w:rPr>
          <w:rFonts w:ascii="VIC" w:hAnsi="VIC"/>
        </w:rPr>
        <w:t xml:space="preserve"> on the </w:t>
      </w:r>
      <w:hyperlink r:id="rId13" w:history="1">
        <w:r w:rsidR="00F058CE" w:rsidRPr="00F058CE">
          <w:rPr>
            <w:rStyle w:val="Hyperlink"/>
            <w:rFonts w:ascii="VIC" w:hAnsi="VIC"/>
          </w:rPr>
          <w:t>Local Jobs First website</w:t>
        </w:r>
      </w:hyperlink>
      <w:r w:rsidR="00F058CE">
        <w:rPr>
          <w:rFonts w:ascii="VIC" w:hAnsi="VIC"/>
        </w:rPr>
        <w:t>.</w:t>
      </w:r>
      <w:r w:rsidR="00D047A4">
        <w:rPr>
          <w:rFonts w:ascii="VIC" w:hAnsi="VIC"/>
        </w:rPr>
        <w:t xml:space="preserve"> </w:t>
      </w:r>
    </w:p>
    <w:sectPr w:rsidR="00D047A4" w:rsidRPr="00447515" w:rsidSect="00B471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1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4D08" w14:textId="77777777" w:rsidR="00FE042B" w:rsidRDefault="00FE042B" w:rsidP="006518B1">
      <w:r>
        <w:separator/>
      </w:r>
    </w:p>
  </w:endnote>
  <w:endnote w:type="continuationSeparator" w:id="0">
    <w:p w14:paraId="3C4658D2" w14:textId="77777777" w:rsidR="00FE042B" w:rsidRDefault="00FE042B" w:rsidP="006518B1">
      <w:r>
        <w:continuationSeparator/>
      </w:r>
    </w:p>
  </w:endnote>
  <w:endnote w:type="continuationNotice" w:id="1">
    <w:p w14:paraId="77F52C62" w14:textId="77777777" w:rsidR="00FE042B" w:rsidRDefault="00FE04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D8DE" w14:textId="29C653BE" w:rsidR="006518B1" w:rsidRPr="00F62A4A" w:rsidRDefault="007E0367" w:rsidP="006518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8877405" wp14:editId="0711CC28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4" name="MSIPCMc2ab40fe9e732654fbfb0bb9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35D08" w14:textId="5CFD86CD" w:rsidR="007E0367" w:rsidRPr="007E0367" w:rsidRDefault="007E0367" w:rsidP="007E0367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7E0367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77405" id="_x0000_t202" coordsize="21600,21600" o:spt="202" path="m,l,21600r21600,l21600,xe">
              <v:stroke joinstyle="miter"/>
              <v:path gradientshapeok="t" o:connecttype="rect"/>
            </v:shapetype>
            <v:shape id="MSIPCMc2ab40fe9e732654fbfb0bb9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OT8YA98AAAALAQAADwAAAAAAAAAAAAAAAABwBAAAZHJzL2Rvd25yZXYueG1sUEsFBgAA&#10;AAAEAAQA8wAAAHwFAAAAAA==&#10;" o:allowincell="f" filled="f" stroked="f" strokeweight=".5pt">
              <v:textbox inset=",0,,0">
                <w:txbxContent>
                  <w:p w14:paraId="62535D08" w14:textId="5CFD86CD" w:rsidR="007E0367" w:rsidRPr="007E0367" w:rsidRDefault="007E0367" w:rsidP="007E0367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7E0367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204231074"/>
      <w:docPartObj>
        <w:docPartGallery w:val="Page Numbers (Bottom of Page)"/>
        <w:docPartUnique/>
      </w:docPartObj>
    </w:sdtPr>
    <w:sdtEndPr/>
    <w:sdtContent>
      <w:sdt>
        <w:sdtPr>
          <w:id w:val="273139613"/>
          <w:docPartObj>
            <w:docPartGallery w:val="Page Numbers (Top of Page)"/>
            <w:docPartUnique/>
          </w:docPartObj>
        </w:sdtPr>
        <w:sdtEndPr/>
        <w:sdtContent>
          <w:p w14:paraId="4E47A9CA" w14:textId="08AB1A39" w:rsidR="006518B1" w:rsidRPr="00F62A4A" w:rsidRDefault="006518B1" w:rsidP="006518B1">
            <w:pPr>
              <w:pStyle w:val="Footer"/>
            </w:pPr>
            <w:r w:rsidRPr="002F616C">
              <w:ptab w:relativeTo="margin" w:alignment="left" w:leader="none"/>
            </w:r>
            <w:r w:rsidRPr="002F616C">
              <w:t>Factsheet title</w:t>
            </w:r>
            <w:r>
              <w:tab/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CA3F8B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B93D1B">
              <w:rPr>
                <w:noProof/>
              </w:rPr>
              <w:fldChar w:fldCharType="begin"/>
            </w:r>
            <w:r w:rsidR="00B93D1B">
              <w:rPr>
                <w:noProof/>
              </w:rPr>
              <w:instrText xml:space="preserve"> NUMPAGES  </w:instrText>
            </w:r>
            <w:r w:rsidR="00B93D1B">
              <w:rPr>
                <w:noProof/>
              </w:rPr>
              <w:fldChar w:fldCharType="separate"/>
            </w:r>
            <w:r w:rsidR="00CA3F8B">
              <w:rPr>
                <w:noProof/>
              </w:rPr>
              <w:t>2</w:t>
            </w:r>
            <w:r w:rsidR="00B93D1B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F2D0" w14:textId="3FAA95C3" w:rsidR="00AA12E1" w:rsidRDefault="00AA1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6B96" w14:textId="68D6486E" w:rsidR="00AA12E1" w:rsidRDefault="00AA12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E077" w14:textId="58DEFBC2" w:rsidR="00AA12E1" w:rsidRDefault="007E03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5" behindDoc="0" locked="0" layoutInCell="0" allowOverlap="1" wp14:anchorId="7D6D31F1" wp14:editId="304BD8F4">
              <wp:simplePos x="0" y="10249218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7" name="MSIPCMe6fc40218a5845c01b68d501" descr="{&quot;HashCode&quot;:376260202,&quot;Height&quot;:841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29B773" w14:textId="44EF809D" w:rsidR="007E0367" w:rsidRPr="007E0367" w:rsidRDefault="007E0367" w:rsidP="007E0367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7E0367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D31F1" id="_x0000_t202" coordsize="21600,21600" o:spt="202" path="m,l,21600r21600,l21600,xe">
              <v:stroke joinstyle="miter"/>
              <v:path gradientshapeok="t" o:connecttype="rect"/>
            </v:shapetype>
            <v:shape id="MSIPCMe6fc40218a5845c01b68d501" o:spid="_x0000_s1029" type="#_x0000_t202" alt="{&quot;HashCode&quot;:376260202,&quot;Height&quot;:841.0,&quot;Width&quot;:595.0,&quot;Placement&quot;:&quot;Footer&quot;,&quot;Index&quot;:&quot;FirstPage&quot;,&quot;Section&quot;:2,&quot;Top&quot;:0.0,&quot;Left&quot;:0.0}" style="position:absolute;margin-left:0;margin-top:807pt;width:595.3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6B29B773" w14:textId="44EF809D" w:rsidR="007E0367" w:rsidRPr="007E0367" w:rsidRDefault="007E0367" w:rsidP="007E0367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7E0367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D173" w14:textId="77777777" w:rsidR="00FE042B" w:rsidRDefault="00FE042B" w:rsidP="006518B1">
      <w:r>
        <w:separator/>
      </w:r>
    </w:p>
  </w:footnote>
  <w:footnote w:type="continuationSeparator" w:id="0">
    <w:p w14:paraId="69DF2232" w14:textId="77777777" w:rsidR="00FE042B" w:rsidRDefault="00FE042B" w:rsidP="006518B1">
      <w:r>
        <w:continuationSeparator/>
      </w:r>
    </w:p>
  </w:footnote>
  <w:footnote w:type="continuationNotice" w:id="1">
    <w:p w14:paraId="31A71835" w14:textId="77777777" w:rsidR="00FE042B" w:rsidRDefault="00FE042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2CE9" w14:textId="633B0135" w:rsidR="008F511C" w:rsidRDefault="007E0367" w:rsidP="006518B1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69AA423E" wp14:editId="42FCEDB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8" name="MSIPCMb5ad4efeafe905adbe88825f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EE1B90" w14:textId="0DF6513F" w:rsidR="007E0367" w:rsidRPr="007E0367" w:rsidRDefault="007E0367" w:rsidP="007E0367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7E0367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A423E" id="_x0000_t202" coordsize="21600,21600" o:spt="202" path="m,l,21600r21600,l21600,xe">
              <v:stroke joinstyle="miter"/>
              <v:path gradientshapeok="t" o:connecttype="rect"/>
            </v:shapetype>
            <v:shape id="MSIPCMb5ad4efeafe905adbe88825f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3EE1B90" w14:textId="0DF6513F" w:rsidR="007E0367" w:rsidRPr="007E0367" w:rsidRDefault="007E0367" w:rsidP="007E0367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7E0367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3DF9">
      <w:rPr>
        <w:noProof/>
        <w:lang w:val="en-GB" w:eastAsia="en-GB"/>
      </w:rPr>
      <w:drawing>
        <wp:anchor distT="0" distB="0" distL="114300" distR="114300" simplePos="0" relativeHeight="251623424" behindDoc="1" locked="1" layoutInCell="0" allowOverlap="1" wp14:anchorId="67E9A460" wp14:editId="48873A3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576000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ED743" w14:textId="77777777" w:rsidR="008F511C" w:rsidRPr="00D21116" w:rsidRDefault="008F511C" w:rsidP="006518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82BC" w14:textId="7A0B1E69" w:rsidR="00D41044" w:rsidRDefault="00863EA5" w:rsidP="00A756BA">
    <w:pPr>
      <w:pStyle w:val="Title"/>
    </w:pPr>
    <w:r>
      <w:rPr>
        <w:noProof/>
        <w:lang w:val="en-GB" w:eastAsia="en-GB"/>
      </w:rPr>
      <w:drawing>
        <wp:anchor distT="0" distB="0" distL="114300" distR="114300" simplePos="0" relativeHeight="251639808" behindDoc="1" locked="0" layoutInCell="1" allowOverlap="1" wp14:anchorId="610AE752" wp14:editId="179A8CFF">
          <wp:simplePos x="0" y="0"/>
          <wp:positionH relativeFrom="column">
            <wp:posOffset>-914400</wp:posOffset>
          </wp:positionH>
          <wp:positionV relativeFrom="page">
            <wp:posOffset>4047</wp:posOffset>
          </wp:positionV>
          <wp:extent cx="7558768" cy="10683905"/>
          <wp:effectExtent l="0" t="0" r="0" b="0"/>
          <wp:wrapNone/>
          <wp:docPr id="48" name="Pictur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74DF" w14:textId="6BD27715" w:rsidR="00AA12E1" w:rsidRDefault="00AA12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CA8D" w14:textId="6CC4CCBA" w:rsidR="004B77C8" w:rsidRDefault="002B10EE" w:rsidP="006518B1">
    <w:r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4F77C65A" wp14:editId="54EEF2EE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60000" cy="10692000"/>
          <wp:effectExtent l="0" t="0" r="9525" b="1905"/>
          <wp:wrapNone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853FF" w14:textId="77777777" w:rsidR="004B77C8" w:rsidRPr="00D21116" w:rsidRDefault="004B77C8" w:rsidP="006518B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7101" w14:textId="6605E478" w:rsidR="00AA12E1" w:rsidRDefault="007E03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248" behindDoc="0" locked="0" layoutInCell="0" allowOverlap="1" wp14:anchorId="0B1ACE9A" wp14:editId="280D00E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1" name="MSIPCM6665437c8d6dc417b1640daa" descr="{&quot;HashCode&quot;:352122633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18B1CB" w14:textId="7A9E23AD" w:rsidR="007E0367" w:rsidRPr="007E0367" w:rsidRDefault="007E0367" w:rsidP="007E0367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7E0367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ACE9A" id="_x0000_t202" coordsize="21600,21600" o:spt="202" path="m,l,21600r21600,l21600,xe">
              <v:stroke joinstyle="miter"/>
              <v:path gradientshapeok="t" o:connecttype="rect"/>
            </v:shapetype>
            <v:shape id="MSIPCM6665437c8d6dc417b1640daa" o:spid="_x0000_s1028" type="#_x0000_t202" alt="{&quot;HashCode&quot;:352122633,&quot;Height&quot;:841.0,&quot;Width&quot;:595.0,&quot;Placement&quot;:&quot;Header&quot;,&quot;Index&quot;:&quot;FirstPage&quot;,&quot;Section&quot;:2,&quot;Top&quot;:0.0,&quot;Left&quot;:0.0}" style="position:absolute;margin-left:0;margin-top:15pt;width:595.3pt;height:19.8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7A18B1CB" w14:textId="7A9E23AD" w:rsidR="007E0367" w:rsidRPr="007E0367" w:rsidRDefault="007E0367" w:rsidP="007E0367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7E0367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C4B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4C5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A28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FAD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500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C83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000F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C2E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AF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569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4526290"/>
    <w:multiLevelType w:val="hybridMultilevel"/>
    <w:tmpl w:val="591AB684"/>
    <w:lvl w:ilvl="0" w:tplc="548C07A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A155A"/>
    <w:multiLevelType w:val="hybridMultilevel"/>
    <w:tmpl w:val="8D86BC60"/>
    <w:lvl w:ilvl="0" w:tplc="C9AC57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84A60"/>
    <w:multiLevelType w:val="hybridMultilevel"/>
    <w:tmpl w:val="1658827A"/>
    <w:lvl w:ilvl="0" w:tplc="C9AC57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223C32"/>
    <w:multiLevelType w:val="hybridMultilevel"/>
    <w:tmpl w:val="3AECF3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C57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804E8"/>
    <w:multiLevelType w:val="hybridMultilevel"/>
    <w:tmpl w:val="D7DEFCE0"/>
    <w:lvl w:ilvl="0" w:tplc="C9AC57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CA01E7"/>
    <w:multiLevelType w:val="hybridMultilevel"/>
    <w:tmpl w:val="5164E35E"/>
    <w:lvl w:ilvl="0" w:tplc="C9AC57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10933"/>
    <w:multiLevelType w:val="hybridMultilevel"/>
    <w:tmpl w:val="249E1EBC"/>
    <w:lvl w:ilvl="0" w:tplc="93B4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00D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IC" w:hAnsi="VIC" w:hint="default"/>
      </w:rPr>
    </w:lvl>
    <w:lvl w:ilvl="2" w:tplc="8CAC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E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C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8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D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4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0D2DE0"/>
    <w:multiLevelType w:val="hybridMultilevel"/>
    <w:tmpl w:val="4922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434A3B"/>
    <w:multiLevelType w:val="hybridMultilevel"/>
    <w:tmpl w:val="1DE8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D74D0"/>
    <w:multiLevelType w:val="hybridMultilevel"/>
    <w:tmpl w:val="55B43E86"/>
    <w:lvl w:ilvl="0" w:tplc="FDA0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AD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A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E1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A0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A1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00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A1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8F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6B0CFB"/>
    <w:multiLevelType w:val="hybridMultilevel"/>
    <w:tmpl w:val="71E6E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512743"/>
    <w:multiLevelType w:val="hybridMultilevel"/>
    <w:tmpl w:val="ED987178"/>
    <w:lvl w:ilvl="0" w:tplc="7482F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CA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05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229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46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43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43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25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D45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0"/>
  </w:num>
  <w:num w:numId="15">
    <w:abstractNumId w:val="19"/>
  </w:num>
  <w:num w:numId="16">
    <w:abstractNumId w:val="17"/>
  </w:num>
  <w:num w:numId="17">
    <w:abstractNumId w:val="13"/>
  </w:num>
  <w:num w:numId="18">
    <w:abstractNumId w:val="16"/>
  </w:num>
  <w:num w:numId="19">
    <w:abstractNumId w:val="14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CFA"/>
    <w:rsid w:val="000038B6"/>
    <w:rsid w:val="00010598"/>
    <w:rsid w:val="00021718"/>
    <w:rsid w:val="00027ADE"/>
    <w:rsid w:val="00034230"/>
    <w:rsid w:val="00055849"/>
    <w:rsid w:val="0006796E"/>
    <w:rsid w:val="000B3CCC"/>
    <w:rsid w:val="000C6715"/>
    <w:rsid w:val="000D009C"/>
    <w:rsid w:val="000D7905"/>
    <w:rsid w:val="000E2950"/>
    <w:rsid w:val="000E5362"/>
    <w:rsid w:val="000F6C1A"/>
    <w:rsid w:val="00100188"/>
    <w:rsid w:val="001040A9"/>
    <w:rsid w:val="00104B0C"/>
    <w:rsid w:val="001057CB"/>
    <w:rsid w:val="001272D5"/>
    <w:rsid w:val="00130712"/>
    <w:rsid w:val="00133BFC"/>
    <w:rsid w:val="001576FE"/>
    <w:rsid w:val="00162CFA"/>
    <w:rsid w:val="001709E9"/>
    <w:rsid w:val="00170B16"/>
    <w:rsid w:val="0017653B"/>
    <w:rsid w:val="00187685"/>
    <w:rsid w:val="00191BCA"/>
    <w:rsid w:val="00194B40"/>
    <w:rsid w:val="00196779"/>
    <w:rsid w:val="00197275"/>
    <w:rsid w:val="001A025A"/>
    <w:rsid w:val="001A4BCA"/>
    <w:rsid w:val="001C3026"/>
    <w:rsid w:val="001C767D"/>
    <w:rsid w:val="001D26CA"/>
    <w:rsid w:val="001E6777"/>
    <w:rsid w:val="001F6527"/>
    <w:rsid w:val="00205F7F"/>
    <w:rsid w:val="00216B75"/>
    <w:rsid w:val="0026126A"/>
    <w:rsid w:val="002619C4"/>
    <w:rsid w:val="0026215C"/>
    <w:rsid w:val="002732E1"/>
    <w:rsid w:val="002745C1"/>
    <w:rsid w:val="002930EA"/>
    <w:rsid w:val="002A2707"/>
    <w:rsid w:val="002B10EE"/>
    <w:rsid w:val="002D1758"/>
    <w:rsid w:val="002D5013"/>
    <w:rsid w:val="002D7F8B"/>
    <w:rsid w:val="002E7F2D"/>
    <w:rsid w:val="002F616C"/>
    <w:rsid w:val="003111A5"/>
    <w:rsid w:val="00315404"/>
    <w:rsid w:val="0031573F"/>
    <w:rsid w:val="0033283A"/>
    <w:rsid w:val="003519FB"/>
    <w:rsid w:val="00365496"/>
    <w:rsid w:val="003743A1"/>
    <w:rsid w:val="003744DD"/>
    <w:rsid w:val="003C2BAA"/>
    <w:rsid w:val="003D1B25"/>
    <w:rsid w:val="003E00C3"/>
    <w:rsid w:val="003F250E"/>
    <w:rsid w:val="003F616F"/>
    <w:rsid w:val="00404D3C"/>
    <w:rsid w:val="004052BC"/>
    <w:rsid w:val="004366F7"/>
    <w:rsid w:val="00441AB0"/>
    <w:rsid w:val="00447515"/>
    <w:rsid w:val="004476A5"/>
    <w:rsid w:val="00452284"/>
    <w:rsid w:val="00486C45"/>
    <w:rsid w:val="00492738"/>
    <w:rsid w:val="004B77C8"/>
    <w:rsid w:val="004C4F98"/>
    <w:rsid w:val="004D0514"/>
    <w:rsid w:val="004D497D"/>
    <w:rsid w:val="004E30EF"/>
    <w:rsid w:val="004E426D"/>
    <w:rsid w:val="004E57BF"/>
    <w:rsid w:val="004F4FFD"/>
    <w:rsid w:val="004F6CDF"/>
    <w:rsid w:val="005200A8"/>
    <w:rsid w:val="005256F5"/>
    <w:rsid w:val="005318A3"/>
    <w:rsid w:val="00542204"/>
    <w:rsid w:val="0059771B"/>
    <w:rsid w:val="005A43C4"/>
    <w:rsid w:val="005B023C"/>
    <w:rsid w:val="005B20C6"/>
    <w:rsid w:val="005D3D35"/>
    <w:rsid w:val="005E7417"/>
    <w:rsid w:val="005F4AAF"/>
    <w:rsid w:val="005F5F61"/>
    <w:rsid w:val="00605B83"/>
    <w:rsid w:val="00615EAC"/>
    <w:rsid w:val="00622A86"/>
    <w:rsid w:val="00623A15"/>
    <w:rsid w:val="0063704E"/>
    <w:rsid w:val="00647F38"/>
    <w:rsid w:val="006518B1"/>
    <w:rsid w:val="00666BFA"/>
    <w:rsid w:val="00674B7E"/>
    <w:rsid w:val="006856D9"/>
    <w:rsid w:val="006A7062"/>
    <w:rsid w:val="006B4097"/>
    <w:rsid w:val="006B556A"/>
    <w:rsid w:val="006B7428"/>
    <w:rsid w:val="006C2C27"/>
    <w:rsid w:val="006E2B56"/>
    <w:rsid w:val="006F3B79"/>
    <w:rsid w:val="007013EB"/>
    <w:rsid w:val="007020F3"/>
    <w:rsid w:val="00722F59"/>
    <w:rsid w:val="00745D4D"/>
    <w:rsid w:val="00753E81"/>
    <w:rsid w:val="00794C9C"/>
    <w:rsid w:val="007958F6"/>
    <w:rsid w:val="007A212C"/>
    <w:rsid w:val="007A43EF"/>
    <w:rsid w:val="007B78D6"/>
    <w:rsid w:val="007C6A3B"/>
    <w:rsid w:val="007E0367"/>
    <w:rsid w:val="007E2895"/>
    <w:rsid w:val="007E684F"/>
    <w:rsid w:val="00817CB9"/>
    <w:rsid w:val="0082668C"/>
    <w:rsid w:val="00851558"/>
    <w:rsid w:val="00852A5B"/>
    <w:rsid w:val="008547DC"/>
    <w:rsid w:val="00863EA5"/>
    <w:rsid w:val="00875CCF"/>
    <w:rsid w:val="00876155"/>
    <w:rsid w:val="008778DD"/>
    <w:rsid w:val="008950C8"/>
    <w:rsid w:val="008C1470"/>
    <w:rsid w:val="008C48BD"/>
    <w:rsid w:val="008F136A"/>
    <w:rsid w:val="008F511C"/>
    <w:rsid w:val="00904AF3"/>
    <w:rsid w:val="00914403"/>
    <w:rsid w:val="009307B4"/>
    <w:rsid w:val="0093088B"/>
    <w:rsid w:val="00937F2C"/>
    <w:rsid w:val="00951FC4"/>
    <w:rsid w:val="00953D95"/>
    <w:rsid w:val="009C56B0"/>
    <w:rsid w:val="009C77F2"/>
    <w:rsid w:val="009D0BFD"/>
    <w:rsid w:val="009E3451"/>
    <w:rsid w:val="009F0996"/>
    <w:rsid w:val="00A07A67"/>
    <w:rsid w:val="00A07ED6"/>
    <w:rsid w:val="00A15297"/>
    <w:rsid w:val="00A3287A"/>
    <w:rsid w:val="00A36022"/>
    <w:rsid w:val="00A43F15"/>
    <w:rsid w:val="00A7116F"/>
    <w:rsid w:val="00A756BA"/>
    <w:rsid w:val="00AA12E1"/>
    <w:rsid w:val="00AA1893"/>
    <w:rsid w:val="00AC55D5"/>
    <w:rsid w:val="00AD2D23"/>
    <w:rsid w:val="00AE2D84"/>
    <w:rsid w:val="00AF4E35"/>
    <w:rsid w:val="00B069C0"/>
    <w:rsid w:val="00B15920"/>
    <w:rsid w:val="00B164FA"/>
    <w:rsid w:val="00B23582"/>
    <w:rsid w:val="00B3337D"/>
    <w:rsid w:val="00B3636F"/>
    <w:rsid w:val="00B453E9"/>
    <w:rsid w:val="00B471DE"/>
    <w:rsid w:val="00B611BE"/>
    <w:rsid w:val="00B74FD3"/>
    <w:rsid w:val="00B75997"/>
    <w:rsid w:val="00B93D1B"/>
    <w:rsid w:val="00BA2949"/>
    <w:rsid w:val="00BA4252"/>
    <w:rsid w:val="00BA5899"/>
    <w:rsid w:val="00BA5FDB"/>
    <w:rsid w:val="00BB06A4"/>
    <w:rsid w:val="00BB52BA"/>
    <w:rsid w:val="00BC4791"/>
    <w:rsid w:val="00BE374A"/>
    <w:rsid w:val="00BF1B48"/>
    <w:rsid w:val="00C13DF9"/>
    <w:rsid w:val="00C14419"/>
    <w:rsid w:val="00C20997"/>
    <w:rsid w:val="00C46D09"/>
    <w:rsid w:val="00C63D5B"/>
    <w:rsid w:val="00C659E3"/>
    <w:rsid w:val="00C663E5"/>
    <w:rsid w:val="00C804D6"/>
    <w:rsid w:val="00C879A3"/>
    <w:rsid w:val="00C93382"/>
    <w:rsid w:val="00CA38FA"/>
    <w:rsid w:val="00CA3F8B"/>
    <w:rsid w:val="00CC3379"/>
    <w:rsid w:val="00CD0E87"/>
    <w:rsid w:val="00CD4E9D"/>
    <w:rsid w:val="00CF0CC6"/>
    <w:rsid w:val="00CF62DB"/>
    <w:rsid w:val="00D00EDE"/>
    <w:rsid w:val="00D047A4"/>
    <w:rsid w:val="00D21116"/>
    <w:rsid w:val="00D227D2"/>
    <w:rsid w:val="00D247AD"/>
    <w:rsid w:val="00D2528F"/>
    <w:rsid w:val="00D334BF"/>
    <w:rsid w:val="00D36BB2"/>
    <w:rsid w:val="00D41044"/>
    <w:rsid w:val="00D76005"/>
    <w:rsid w:val="00D86E83"/>
    <w:rsid w:val="00DA02EF"/>
    <w:rsid w:val="00DA5B3D"/>
    <w:rsid w:val="00DB0772"/>
    <w:rsid w:val="00DC0E0F"/>
    <w:rsid w:val="00DD163C"/>
    <w:rsid w:val="00DD6843"/>
    <w:rsid w:val="00DF1051"/>
    <w:rsid w:val="00DF2FDE"/>
    <w:rsid w:val="00E0072D"/>
    <w:rsid w:val="00E13B80"/>
    <w:rsid w:val="00E167F9"/>
    <w:rsid w:val="00E177AF"/>
    <w:rsid w:val="00E25373"/>
    <w:rsid w:val="00E34CB8"/>
    <w:rsid w:val="00E5612D"/>
    <w:rsid w:val="00E9011D"/>
    <w:rsid w:val="00EB1A6F"/>
    <w:rsid w:val="00ED3C98"/>
    <w:rsid w:val="00F058CE"/>
    <w:rsid w:val="00F21424"/>
    <w:rsid w:val="00F2192E"/>
    <w:rsid w:val="00F25631"/>
    <w:rsid w:val="00F27C8F"/>
    <w:rsid w:val="00F4240E"/>
    <w:rsid w:val="00F60093"/>
    <w:rsid w:val="00F60CE5"/>
    <w:rsid w:val="00F62A4A"/>
    <w:rsid w:val="00F6358A"/>
    <w:rsid w:val="00F64309"/>
    <w:rsid w:val="00F81A25"/>
    <w:rsid w:val="00F84C62"/>
    <w:rsid w:val="00FE042B"/>
    <w:rsid w:val="00FE3A36"/>
    <w:rsid w:val="00FE61D8"/>
    <w:rsid w:val="00FE7A33"/>
    <w:rsid w:val="00FF33B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AA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18B1"/>
    <w:pPr>
      <w:spacing w:after="120"/>
    </w:pPr>
    <w:rPr>
      <w:rFonts w:ascii="Arial" w:hAnsi="Arial"/>
      <w:color w:val="53565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96"/>
    <w:pPr>
      <w:keepNext/>
      <w:spacing w:before="240"/>
      <w:outlineLvl w:val="0"/>
    </w:pPr>
    <w:rPr>
      <w:rFonts w:cs="Arial"/>
      <w:color w:val="AF262E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16C"/>
    <w:pPr>
      <w:keepNext/>
      <w:spacing w:before="240"/>
      <w:outlineLvl w:val="1"/>
    </w:pPr>
    <w:rPr>
      <w:rFonts w:cs="Arial"/>
      <w:b/>
      <w:szCs w:val="20"/>
    </w:rPr>
  </w:style>
  <w:style w:type="paragraph" w:styleId="Heading3">
    <w:name w:val="heading 3"/>
    <w:basedOn w:val="tablename"/>
    <w:next w:val="Normal"/>
    <w:link w:val="Heading3Char"/>
    <w:uiPriority w:val="9"/>
    <w:unhideWhenUsed/>
    <w:qFormat/>
    <w:rsid w:val="008547D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trotext">
    <w:name w:val="Intro text"/>
    <w:basedOn w:val="Normal"/>
    <w:next w:val="Normal"/>
    <w:qFormat/>
    <w:rsid w:val="00365496"/>
    <w:pPr>
      <w:spacing w:before="300" w:after="360" w:line="320" w:lineRule="atLeast"/>
    </w:pPr>
    <w:rPr>
      <w:rFonts w:cs="Arial"/>
      <w:color w:val="AF262E"/>
      <w:spacing w:val="-10"/>
      <w:sz w:val="28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000000" w:themeColor="text1"/>
    </w:rPr>
  </w:style>
  <w:style w:type="paragraph" w:customStyle="1" w:styleId="heading2black">
    <w:name w:val="# heading 2 black"/>
    <w:basedOn w:val="Normal"/>
    <w:next w:val="Normal"/>
    <w:rsid w:val="00C659E3"/>
    <w:pPr>
      <w:keepNext/>
      <w:spacing w:before="240"/>
    </w:pPr>
    <w:rPr>
      <w:rFonts w:cs="Arial"/>
      <w:b/>
      <w:color w:val="auto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56BA"/>
    <w:pPr>
      <w:spacing w:line="420" w:lineRule="exact"/>
      <w:ind w:right="3357"/>
      <w:contextualSpacing/>
    </w:pPr>
    <w:rPr>
      <w:rFonts w:ascii="Arial Bold" w:hAnsi="Arial Bold"/>
      <w:b/>
      <w:color w:val="AF262E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756BA"/>
    <w:rPr>
      <w:rFonts w:ascii="Arial Bold" w:hAnsi="Arial Bold"/>
      <w:b/>
      <w:color w:val="AF262E"/>
      <w:sz w:val="44"/>
      <w:szCs w:val="40"/>
    </w:rPr>
  </w:style>
  <w:style w:type="paragraph" w:customStyle="1" w:styleId="heading1blue">
    <w:name w:val="# heading 1 blue"/>
    <w:basedOn w:val="Normal"/>
    <w:next w:val="Normal"/>
    <w:rsid w:val="00365496"/>
    <w:pPr>
      <w:keepNext/>
      <w:spacing w:before="240"/>
    </w:pPr>
    <w:rPr>
      <w:rFonts w:cs="Arial"/>
      <w:color w:val="AF262E"/>
      <w:sz w:val="24"/>
      <w:szCs w:val="20"/>
    </w:rPr>
  </w:style>
  <w:style w:type="paragraph" w:customStyle="1" w:styleId="tablename">
    <w:name w:val="# table name"/>
    <w:basedOn w:val="Normal"/>
    <w:qFormat/>
    <w:rsid w:val="00365496"/>
    <w:pPr>
      <w:keepNext/>
      <w:spacing w:before="240"/>
    </w:pPr>
    <w:rPr>
      <w:rFonts w:cs="Arial"/>
      <w:b/>
      <w:color w:val="D51E35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1F652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5496"/>
    <w:rPr>
      <w:rFonts w:ascii="Arial" w:hAnsi="Arial" w:cs="Arial"/>
      <w:color w:val="AF262E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616C"/>
    <w:rPr>
      <w:rFonts w:ascii="Arial" w:hAnsi="Arial" w:cs="Arial"/>
      <w:b/>
      <w:color w:val="53565A"/>
    </w:rPr>
  </w:style>
  <w:style w:type="character" w:customStyle="1" w:styleId="Heading3Char">
    <w:name w:val="Heading 3 Char"/>
    <w:basedOn w:val="DefaultParagraphFont"/>
    <w:link w:val="Heading3"/>
    <w:uiPriority w:val="9"/>
    <w:rsid w:val="008547DC"/>
    <w:rPr>
      <w:rFonts w:ascii="Arial" w:hAnsi="Arial" w:cs="Arial"/>
      <w:b/>
      <w:color w:val="064EA8"/>
      <w:sz w:val="18"/>
      <w:szCs w:val="18"/>
    </w:rPr>
  </w:style>
  <w:style w:type="paragraph" w:styleId="ListBullet">
    <w:name w:val="List Bullet"/>
    <w:basedOn w:val="ListParagraph"/>
    <w:uiPriority w:val="99"/>
    <w:unhideWhenUsed/>
    <w:rsid w:val="008547DC"/>
    <w:pPr>
      <w:numPr>
        <w:numId w:val="3"/>
      </w:numPr>
      <w:tabs>
        <w:tab w:val="num" w:pos="360"/>
      </w:tabs>
      <w:ind w:left="284" w:hanging="284"/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8547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756BA"/>
    <w:pPr>
      <w:spacing w:before="180" w:line="320" w:lineRule="exact"/>
      <w:ind w:right="3357"/>
      <w:contextualSpacing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756BA"/>
    <w:rPr>
      <w:rFonts w:ascii="Arial" w:hAnsi="Arial"/>
      <w:color w:val="53565A"/>
      <w:sz w:val="32"/>
      <w:szCs w:val="24"/>
    </w:rPr>
  </w:style>
  <w:style w:type="character" w:styleId="IntenseEmphasis">
    <w:name w:val="Intense Emphasis"/>
    <w:basedOn w:val="DefaultParagraphFont"/>
    <w:uiPriority w:val="21"/>
    <w:qFormat/>
    <w:rsid w:val="00365496"/>
    <w:rPr>
      <w:i/>
      <w:iCs/>
      <w:color w:val="D51E3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4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51E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496"/>
    <w:rPr>
      <w:rFonts w:ascii="Arial" w:hAnsi="Arial"/>
      <w:i/>
      <w:iCs/>
      <w:color w:val="D51E35"/>
      <w:szCs w:val="24"/>
    </w:rPr>
  </w:style>
  <w:style w:type="character" w:styleId="IntenseReference">
    <w:name w:val="Intense Reference"/>
    <w:basedOn w:val="DefaultParagraphFont"/>
    <w:uiPriority w:val="32"/>
    <w:qFormat/>
    <w:rsid w:val="00365496"/>
    <w:rPr>
      <w:b/>
      <w:bCs/>
      <w:smallCaps/>
      <w:color w:val="D51E35"/>
      <w:spacing w:val="5"/>
    </w:rPr>
  </w:style>
  <w:style w:type="paragraph" w:styleId="Revision">
    <w:name w:val="Revision"/>
    <w:hidden/>
    <w:uiPriority w:val="99"/>
    <w:semiHidden/>
    <w:rsid w:val="00B75997"/>
    <w:rPr>
      <w:rFonts w:ascii="Arial" w:hAnsi="Arial"/>
      <w:color w:val="53565A"/>
      <w:szCs w:val="24"/>
    </w:rPr>
  </w:style>
  <w:style w:type="paragraph" w:customStyle="1" w:styleId="xmsonormal">
    <w:name w:val="x_msonormal"/>
    <w:basedOn w:val="Normal"/>
    <w:rsid w:val="00753E81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2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8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87A"/>
    <w:rPr>
      <w:rFonts w:ascii="Arial" w:hAnsi="Arial"/>
      <w:color w:val="53565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87A"/>
    <w:rPr>
      <w:rFonts w:ascii="Arial" w:hAnsi="Arial"/>
      <w:b/>
      <w:bCs/>
      <w:color w:val="53565A"/>
    </w:rPr>
  </w:style>
  <w:style w:type="character" w:styleId="Hyperlink">
    <w:name w:val="Hyperlink"/>
    <w:basedOn w:val="DefaultParagraphFont"/>
    <w:uiPriority w:val="99"/>
    <w:unhideWhenUsed/>
    <w:rsid w:val="00D04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527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78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3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caljobsfirst.vic.gov.au/key-documents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B5021F6FA5748BD595AC6B2FEC278" ma:contentTypeVersion="18" ma:contentTypeDescription="Create a new document." ma:contentTypeScope="" ma:versionID="3aaad7e708d4da83c85dbdd64fccd814">
  <xsd:schema xmlns:xsd="http://www.w3.org/2001/XMLSchema" xmlns:xs="http://www.w3.org/2001/XMLSchema" xmlns:p="http://schemas.microsoft.com/office/2006/metadata/properties" xmlns:ns2="32e98561-183e-4de5-80c3-a793f40b4ede" xmlns:ns3="bd07834f-d95b-4883-aa18-4cf54a60a803" targetNamespace="http://schemas.microsoft.com/office/2006/metadata/properties" ma:root="true" ma:fieldsID="dffe2db8b64ef7e82a2271b773e61532" ns2:_="" ns3:_="">
    <xsd:import namespace="32e98561-183e-4de5-80c3-a793f40b4ede"/>
    <xsd:import namespace="bd07834f-d95b-4883-aa18-4cf54a60a8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pfeg" minOccurs="0"/>
                <xsd:element ref="ns3:tes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8561-183e-4de5-80c3-a793f40b4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be14d2c-131d-4567-97b9-d664a3902913}" ma:internalName="TaxCatchAll" ma:showField="CatchAllData" ma:web="32e98561-183e-4de5-80c3-a793f40b4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7834f-d95b-4883-aa18-4cf54a60a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feg" ma:index="20" nillable="true" ma:displayName="Number" ma:internalName="pfeg">
      <xsd:simpleType>
        <xsd:restriction base="dms:Number"/>
      </xsd:simpleType>
    </xsd:element>
    <xsd:element name="test" ma:index="21" nillable="true" ma:displayName="test" ma:format="DateTime" ma:internalName="test">
      <xsd:simpleType>
        <xsd:restriction base="dms:DateTim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7834f-d95b-4883-aa18-4cf54a60a803">
      <Terms xmlns="http://schemas.microsoft.com/office/infopath/2007/PartnerControls"/>
    </lcf76f155ced4ddcb4097134ff3c332f>
    <pfeg xmlns="bd07834f-d95b-4883-aa18-4cf54a60a803" xsi:nil="true"/>
    <TaxCatchAll xmlns="32e98561-183e-4de5-80c3-a793f40b4ede" xsi:nil="true"/>
    <test xmlns="bd07834f-d95b-4883-aa18-4cf54a60a803" xsi:nil="true"/>
    <SharedWithUsers xmlns="32e98561-183e-4de5-80c3-a793f40b4ede">
      <UserInfo>
        <DisplayName>Jayne E Oliver (DJPR)</DisplayName>
        <AccountId>49</AccountId>
        <AccountType/>
      </UserInfo>
      <UserInfo>
        <DisplayName>Leslie A Sorensen (DJPR)</DisplayName>
        <AccountId>579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3D9AFE-3108-4782-9F25-6390C1914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D572E-A38C-4D61-A07B-5D2D52D4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98561-183e-4de5-80c3-a793f40b4ede"/>
    <ds:schemaRef ds:uri="bd07834f-d95b-4883-aa18-4cf54a60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5115B-A874-41DB-A67C-33517F29AF8E}">
  <ds:schemaRefs>
    <ds:schemaRef ds:uri="http://schemas.microsoft.com/office/2006/metadata/properties"/>
    <ds:schemaRef ds:uri="http://schemas.microsoft.com/office/infopath/2007/PartnerControls"/>
    <ds:schemaRef ds:uri="bd07834f-d95b-4883-aa18-4cf54a60a803"/>
    <ds:schemaRef ds:uri="32e98561-183e-4de5-80c3-a793f40b4e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2022-10-05T06:19:00Z</dcterms:created>
  <dcterms:modified xsi:type="dcterms:W3CDTF">2022-10-06T04:37:00Z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0x010100332B5021F6FA5748BD595AC6B2FEC278</vt:lpwstr>
  </property>
  <property fmtid="{D5CDD505-2E9C-101B-9397-08002B2CF9AE}" pid="3" name="Order">
    <vt:r8>298100</vt:r8>
  </property>
  <property fmtid="{D5CDD505-2E9C-101B-9397-08002B2CF9AE}" pid="4" name="ComplianceAssetId">
    <vt:lpwstr/>
  </property>
  <property fmtid="{D5CDD505-2E9C-101B-9397-08002B2CF9AE}" pid="5" name="DEDJTRDivision">
    <vt:lpwstr>1;#Employment Investment and Trade|55ce1999-68b6-4f37-bdce-009ad410cd2a</vt:lpwstr>
  </property>
  <property fmtid="{D5CDD505-2E9C-101B-9397-08002B2CF9AE}" pid="6" name="DEDJTRGroup">
    <vt:lpwstr>2;#Industry Development and Innovation|ad92c5f5-bb8b-41ed-b6fd-be2ed2394642</vt:lpwstr>
  </property>
  <property fmtid="{D5CDD505-2E9C-101B-9397-08002B2CF9AE}" pid="7" name="DEDJTRSecurityClassification">
    <vt:lpwstr/>
  </property>
  <property fmtid="{D5CDD505-2E9C-101B-9397-08002B2CF9AE}" pid="8" name="DEDJTRBranch">
    <vt:lpwstr/>
  </property>
  <property fmtid="{D5CDD505-2E9C-101B-9397-08002B2CF9AE}" pid="9" name="DEDJTRSection">
    <vt:lpwstr/>
  </property>
  <property fmtid="{D5CDD505-2E9C-101B-9397-08002B2CF9AE}" pid="10" name="e4da834bacf8456d94e18d5d66490b90">
    <vt:lpwstr>Industry Development and Innovation|ad92c5f5-bb8b-41ed-b6fd-be2ed2394642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be9de15831a746f4b3f0ba041df97669">
    <vt:lpwstr>Employment Investment and Trade|55ce1999-68b6-4f37-bdce-009ad410cd2a</vt:lpwstr>
  </property>
  <property fmtid="{D5CDD505-2E9C-101B-9397-08002B2CF9AE}" pid="14" name="TemplateUrl">
    <vt:lpwstr/>
  </property>
  <property fmtid="{D5CDD505-2E9C-101B-9397-08002B2CF9AE}" pid="15" name="b4605c5f9d584382a57fb8476d85f713">
    <vt:lpwstr>Employment Investment and Trade|55ce1999-68b6-4f37-bdce-009ad410cd2a</vt:lpwstr>
  </property>
  <property fmtid="{D5CDD505-2E9C-101B-9397-08002B2CF9AE}" pid="16" name="g46a9f61d38540a784cfecbd3da27bca">
    <vt:lpwstr>Industry Development and Innovation|ad92c5f5-bb8b-41ed-b6fd-be2ed2394642</vt:lpwstr>
  </property>
  <property fmtid="{D5CDD505-2E9C-101B-9397-08002B2CF9AE}" pid="17" name="MediaServiceImageTags">
    <vt:lpwstr/>
  </property>
  <property fmtid="{D5CDD505-2E9C-101B-9397-08002B2CF9AE}" pid="18" name="MSIP_Label_d00a4df9-c942-4b09-b23a-6c1023f6de27_Enabled">
    <vt:lpwstr>true</vt:lpwstr>
  </property>
  <property fmtid="{D5CDD505-2E9C-101B-9397-08002B2CF9AE}" pid="19" name="MSIP_Label_d00a4df9-c942-4b09-b23a-6c1023f6de27_SetDate">
    <vt:lpwstr>2022-10-05T06:19:12Z</vt:lpwstr>
  </property>
  <property fmtid="{D5CDD505-2E9C-101B-9397-08002B2CF9AE}" pid="20" name="MSIP_Label_d00a4df9-c942-4b09-b23a-6c1023f6de27_Method">
    <vt:lpwstr>Privileged</vt:lpwstr>
  </property>
  <property fmtid="{D5CDD505-2E9C-101B-9397-08002B2CF9AE}" pid="21" name="MSIP_Label_d00a4df9-c942-4b09-b23a-6c1023f6de27_Name">
    <vt:lpwstr>Official (DJPR)</vt:lpwstr>
  </property>
  <property fmtid="{D5CDD505-2E9C-101B-9397-08002B2CF9AE}" pid="22" name="MSIP_Label_d00a4df9-c942-4b09-b23a-6c1023f6de27_SiteId">
    <vt:lpwstr>722ea0be-3e1c-4b11-ad6f-9401d6856e24</vt:lpwstr>
  </property>
  <property fmtid="{D5CDD505-2E9C-101B-9397-08002B2CF9AE}" pid="23" name="MSIP_Label_d00a4df9-c942-4b09-b23a-6c1023f6de27_ActionId">
    <vt:lpwstr>1963b101-979e-4738-be72-8974a47f6f86</vt:lpwstr>
  </property>
  <property fmtid="{D5CDD505-2E9C-101B-9397-08002B2CF9AE}" pid="24" name="MSIP_Label_d00a4df9-c942-4b09-b23a-6c1023f6de27_ContentBits">
    <vt:lpwstr>3</vt:lpwstr>
  </property>
</Properties>
</file>