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DC98" w14:textId="660F569B" w:rsidR="001C685F" w:rsidRPr="0035686A" w:rsidRDefault="001A18EB" w:rsidP="009E524A">
      <w:r w:rsidRPr="0035686A">
        <w:rPr>
          <w:noProof/>
        </w:rPr>
        <w:drawing>
          <wp:inline distT="0" distB="0" distL="0" distR="0" wp14:anchorId="5C4317D1" wp14:editId="7E8D747A">
            <wp:extent cx="3082426" cy="509270"/>
            <wp:effectExtent l="0" t="0" r="3810" b="0"/>
            <wp:docPr id="3" name="Picture 3" descr="Local Jobs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cal Jobs First"/>
                    <pic:cNvPicPr/>
                  </pic:nvPicPr>
                  <pic:blipFill>
                    <a:blip r:embed="rId11"/>
                    <a:stretch>
                      <a:fillRect/>
                    </a:stretch>
                  </pic:blipFill>
                  <pic:spPr>
                    <a:xfrm>
                      <a:off x="0" y="0"/>
                      <a:ext cx="3101891" cy="512486"/>
                    </a:xfrm>
                    <a:prstGeom prst="rect">
                      <a:avLst/>
                    </a:prstGeom>
                  </pic:spPr>
                </pic:pic>
              </a:graphicData>
            </a:graphic>
          </wp:inline>
        </w:drawing>
      </w:r>
      <w:r w:rsidR="009952E3" w:rsidRPr="0035686A">
        <w:t xml:space="preserve">   </w:t>
      </w:r>
      <w:r w:rsidR="009952E3" w:rsidRPr="0035686A">
        <w:rPr>
          <w:noProof/>
        </w:rPr>
        <w:drawing>
          <wp:inline distT="0" distB="0" distL="0" distR="0" wp14:anchorId="757A7463" wp14:editId="75CFF25F">
            <wp:extent cx="1263531" cy="720000"/>
            <wp:effectExtent l="0" t="0" r="0" b="4445"/>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pic:cNvPicPr/>
                  </pic:nvPicPr>
                  <pic:blipFill>
                    <a:blip r:embed="rId12"/>
                    <a:stretch>
                      <a:fillRect/>
                    </a:stretch>
                  </pic:blipFill>
                  <pic:spPr>
                    <a:xfrm>
                      <a:off x="0" y="0"/>
                      <a:ext cx="1263531" cy="720000"/>
                    </a:xfrm>
                    <a:prstGeom prst="rect">
                      <a:avLst/>
                    </a:prstGeom>
                  </pic:spPr>
                </pic:pic>
              </a:graphicData>
            </a:graphic>
          </wp:inline>
        </w:drawing>
      </w:r>
      <w:r w:rsidR="009952E3" w:rsidRPr="0035686A">
        <w:t xml:space="preserve"> </w:t>
      </w:r>
    </w:p>
    <w:p w14:paraId="2043698A" w14:textId="1D6D286A" w:rsidR="00281E86" w:rsidRPr="0035686A" w:rsidRDefault="00822889" w:rsidP="00151E14">
      <w:pPr>
        <w:pStyle w:val="Title"/>
        <w:spacing w:after="720"/>
        <w:rPr>
          <w:lang w:val="en-AU"/>
        </w:rPr>
      </w:pPr>
      <w:r w:rsidRPr="0035686A">
        <w:rPr>
          <w:lang w:val="en-AU"/>
        </w:rPr>
        <w:t xml:space="preserve">Annual Report </w:t>
      </w:r>
      <w:r w:rsidR="005A3BA1" w:rsidRPr="0035686A">
        <w:rPr>
          <w:lang w:val="en-AU"/>
        </w:rPr>
        <w:t>2024-25</w:t>
      </w:r>
    </w:p>
    <w:p w14:paraId="1368001D" w14:textId="77777777" w:rsidR="00D75B40" w:rsidRPr="0035686A" w:rsidRDefault="00D75B40" w:rsidP="00D75B40">
      <w:pPr>
        <w:rPr>
          <w:b/>
          <w:bCs/>
        </w:rPr>
      </w:pPr>
      <w:r w:rsidRPr="0035686A">
        <w:rPr>
          <w:b/>
          <w:bCs/>
        </w:rPr>
        <w:t>Acknowledgement of Country</w:t>
      </w:r>
    </w:p>
    <w:p w14:paraId="76FEE2ED" w14:textId="17D91647" w:rsidR="00D75B40" w:rsidRPr="0035686A" w:rsidRDefault="00D75B40" w:rsidP="00D75B40">
      <w:r w:rsidRPr="0035686A">
        <w:t>We acknowledge the traditional Aboriginal owners of Country throughout Victoria, their ongoing connection to this land and we pay our respects to their culture and their Elders past, present and future.</w:t>
      </w:r>
    </w:p>
    <w:p w14:paraId="7F21648F" w14:textId="1B3262A4" w:rsidR="000F7AD5" w:rsidRPr="0035686A" w:rsidRDefault="00BA59A6" w:rsidP="00D75B40">
      <w:pPr>
        <w:rPr>
          <w:b/>
          <w:bCs/>
        </w:rPr>
      </w:pPr>
      <w:r w:rsidRPr="0035686A">
        <w:rPr>
          <w:b/>
          <w:bCs/>
        </w:rPr>
        <w:t>Disclaimer</w:t>
      </w:r>
    </w:p>
    <w:p w14:paraId="3F1BB26B" w14:textId="65A86E2C" w:rsidR="000F7AD5" w:rsidRPr="0035686A" w:rsidRDefault="00BA59A6" w:rsidP="00B041B6">
      <w:r w:rsidRPr="0035686A">
        <w:t>This</w:t>
      </w:r>
      <w:r w:rsidR="00CF7EE1" w:rsidRPr="0035686A">
        <w:t xml:space="preserve"> </w:t>
      </w:r>
      <w:r w:rsidRPr="0035686A">
        <w:t>publication</w:t>
      </w:r>
      <w:r w:rsidR="00CF7EE1" w:rsidRPr="0035686A">
        <w:t xml:space="preserve"> </w:t>
      </w:r>
      <w:r w:rsidRPr="0035686A">
        <w:t>may</w:t>
      </w:r>
      <w:r w:rsidR="00CF7EE1" w:rsidRPr="0035686A">
        <w:t xml:space="preserve"> </w:t>
      </w:r>
      <w:r w:rsidRPr="0035686A">
        <w:t>be</w:t>
      </w:r>
      <w:r w:rsidR="00CF7EE1" w:rsidRPr="0035686A">
        <w:t xml:space="preserve"> </w:t>
      </w:r>
      <w:r w:rsidRPr="0035686A">
        <w:t>of</w:t>
      </w:r>
      <w:r w:rsidR="00CF7EE1" w:rsidRPr="0035686A">
        <w:t xml:space="preserve"> </w:t>
      </w:r>
      <w:r w:rsidRPr="0035686A">
        <w:t>assistance</w:t>
      </w:r>
      <w:r w:rsidR="00CF7EE1" w:rsidRPr="0035686A">
        <w:t xml:space="preserve"> </w:t>
      </w:r>
      <w:r w:rsidRPr="0035686A">
        <w:t>to</w:t>
      </w:r>
      <w:r w:rsidR="00CF7EE1" w:rsidRPr="0035686A">
        <w:t xml:space="preserve"> </w:t>
      </w:r>
      <w:r w:rsidRPr="0035686A">
        <w:t>you,</w:t>
      </w:r>
      <w:r w:rsidR="00CF7EE1" w:rsidRPr="0035686A">
        <w:t xml:space="preserve"> </w:t>
      </w:r>
      <w:r w:rsidRPr="0035686A">
        <w:t>but</w:t>
      </w:r>
      <w:r w:rsidR="00CF7EE1" w:rsidRPr="0035686A">
        <w:t xml:space="preserve"> </w:t>
      </w:r>
      <w:r w:rsidRPr="0035686A">
        <w:t>the</w:t>
      </w:r>
      <w:r w:rsidR="00CF7EE1" w:rsidRPr="0035686A">
        <w:t xml:space="preserve"> </w:t>
      </w:r>
      <w:r w:rsidRPr="0035686A">
        <w:t>State</w:t>
      </w:r>
      <w:r w:rsidR="00CF7EE1" w:rsidRPr="0035686A">
        <w:t xml:space="preserve"> </w:t>
      </w:r>
      <w:r w:rsidRPr="0035686A">
        <w:t>of</w:t>
      </w:r>
      <w:r w:rsidR="00CF7EE1" w:rsidRPr="0035686A">
        <w:t xml:space="preserve"> </w:t>
      </w:r>
      <w:r w:rsidRPr="0035686A">
        <w:t>Victoria</w:t>
      </w:r>
      <w:r w:rsidR="00CF7EE1" w:rsidRPr="0035686A">
        <w:t xml:space="preserve"> </w:t>
      </w:r>
      <w:r w:rsidRPr="0035686A">
        <w:t>and</w:t>
      </w:r>
      <w:r w:rsidR="00CF7EE1" w:rsidRPr="0035686A">
        <w:t xml:space="preserve"> </w:t>
      </w:r>
      <w:r w:rsidRPr="0035686A">
        <w:t>its</w:t>
      </w:r>
      <w:r w:rsidR="00CF7EE1" w:rsidRPr="0035686A">
        <w:t xml:space="preserve"> </w:t>
      </w:r>
      <w:r w:rsidRPr="0035686A">
        <w:t>employees</w:t>
      </w:r>
      <w:r w:rsidR="00CF7EE1" w:rsidRPr="0035686A">
        <w:t xml:space="preserve"> </w:t>
      </w:r>
      <w:r w:rsidRPr="0035686A">
        <w:t>do</w:t>
      </w:r>
      <w:r w:rsidR="00CF7EE1" w:rsidRPr="0035686A">
        <w:t xml:space="preserve"> </w:t>
      </w:r>
      <w:r w:rsidRPr="0035686A">
        <w:t>not</w:t>
      </w:r>
      <w:r w:rsidR="00CF7EE1" w:rsidRPr="0035686A">
        <w:t xml:space="preserve"> </w:t>
      </w:r>
      <w:r w:rsidRPr="0035686A">
        <w:t>guarantee</w:t>
      </w:r>
      <w:r w:rsidR="00CF7EE1" w:rsidRPr="0035686A">
        <w:t xml:space="preserve"> </w:t>
      </w:r>
      <w:r w:rsidRPr="0035686A">
        <w:t>that</w:t>
      </w:r>
      <w:r w:rsidR="00CF7EE1" w:rsidRPr="0035686A">
        <w:t xml:space="preserve"> </w:t>
      </w:r>
      <w:r w:rsidRPr="0035686A">
        <w:t>the</w:t>
      </w:r>
      <w:r w:rsidR="00CF7EE1" w:rsidRPr="0035686A">
        <w:t xml:space="preserve"> </w:t>
      </w:r>
      <w:r w:rsidRPr="0035686A">
        <w:t>publication</w:t>
      </w:r>
      <w:r w:rsidR="00CF7EE1" w:rsidRPr="0035686A">
        <w:t xml:space="preserve"> </w:t>
      </w:r>
      <w:r w:rsidRPr="0035686A">
        <w:t>is</w:t>
      </w:r>
      <w:r w:rsidR="00CF7EE1" w:rsidRPr="0035686A">
        <w:t xml:space="preserve"> </w:t>
      </w:r>
      <w:r w:rsidRPr="0035686A">
        <w:t>without</w:t>
      </w:r>
      <w:r w:rsidR="00CF7EE1" w:rsidRPr="0035686A">
        <w:t xml:space="preserve"> </w:t>
      </w:r>
      <w:r w:rsidRPr="0035686A">
        <w:t>flaw</w:t>
      </w:r>
      <w:r w:rsidR="00CF7EE1" w:rsidRPr="0035686A">
        <w:t xml:space="preserve"> </w:t>
      </w:r>
      <w:r w:rsidRPr="0035686A">
        <w:t>of</w:t>
      </w:r>
      <w:r w:rsidR="00CF7EE1" w:rsidRPr="0035686A">
        <w:t xml:space="preserve"> </w:t>
      </w:r>
      <w:r w:rsidRPr="0035686A">
        <w:t>any</w:t>
      </w:r>
      <w:r w:rsidR="00CF7EE1" w:rsidRPr="0035686A">
        <w:t xml:space="preserve"> </w:t>
      </w:r>
      <w:r w:rsidRPr="0035686A">
        <w:t>kind</w:t>
      </w:r>
      <w:r w:rsidR="00CF7EE1" w:rsidRPr="0035686A">
        <w:t xml:space="preserve"> </w:t>
      </w:r>
      <w:r w:rsidRPr="0035686A">
        <w:t>or</w:t>
      </w:r>
      <w:r w:rsidR="00CF7EE1" w:rsidRPr="0035686A">
        <w:t xml:space="preserve"> </w:t>
      </w:r>
      <w:r w:rsidRPr="0035686A">
        <w:t>is</w:t>
      </w:r>
      <w:r w:rsidR="00CF7EE1" w:rsidRPr="0035686A">
        <w:t xml:space="preserve"> </w:t>
      </w:r>
      <w:r w:rsidRPr="0035686A">
        <w:t>wholly</w:t>
      </w:r>
      <w:r w:rsidR="00CF7EE1" w:rsidRPr="0035686A">
        <w:t xml:space="preserve"> </w:t>
      </w:r>
      <w:r w:rsidRPr="0035686A">
        <w:t>appropriate</w:t>
      </w:r>
      <w:r w:rsidR="00CF7EE1" w:rsidRPr="0035686A">
        <w:t xml:space="preserve"> </w:t>
      </w:r>
      <w:r w:rsidRPr="0035686A">
        <w:t>for</w:t>
      </w:r>
      <w:r w:rsidR="00CF7EE1" w:rsidRPr="0035686A">
        <w:t xml:space="preserve"> </w:t>
      </w:r>
      <w:r w:rsidRPr="0035686A">
        <w:t>your</w:t>
      </w:r>
      <w:r w:rsidR="00CF7EE1" w:rsidRPr="0035686A">
        <w:t xml:space="preserve"> </w:t>
      </w:r>
      <w:r w:rsidRPr="0035686A">
        <w:t>particular</w:t>
      </w:r>
      <w:r w:rsidR="00CF7EE1" w:rsidRPr="0035686A">
        <w:t xml:space="preserve"> </w:t>
      </w:r>
      <w:r w:rsidRPr="0035686A">
        <w:t>purposes</w:t>
      </w:r>
      <w:r w:rsidR="00CF7EE1" w:rsidRPr="0035686A">
        <w:t xml:space="preserve"> </w:t>
      </w:r>
      <w:r w:rsidRPr="0035686A">
        <w:t>and</w:t>
      </w:r>
      <w:r w:rsidR="00CF7EE1" w:rsidRPr="0035686A">
        <w:t xml:space="preserve"> </w:t>
      </w:r>
      <w:r w:rsidRPr="0035686A">
        <w:t>therefore</w:t>
      </w:r>
      <w:r w:rsidR="00CF7EE1" w:rsidRPr="0035686A">
        <w:t xml:space="preserve"> </w:t>
      </w:r>
      <w:r w:rsidRPr="0035686A">
        <w:t>disclaims</w:t>
      </w:r>
      <w:r w:rsidR="00CF7EE1" w:rsidRPr="0035686A">
        <w:t xml:space="preserve"> </w:t>
      </w:r>
      <w:r w:rsidRPr="0035686A">
        <w:t>all</w:t>
      </w:r>
      <w:r w:rsidR="00CF7EE1" w:rsidRPr="0035686A">
        <w:t xml:space="preserve"> </w:t>
      </w:r>
      <w:r w:rsidRPr="0035686A">
        <w:t>liability</w:t>
      </w:r>
      <w:r w:rsidR="00CF7EE1" w:rsidRPr="0035686A">
        <w:t xml:space="preserve"> </w:t>
      </w:r>
      <w:r w:rsidRPr="0035686A">
        <w:t>for</w:t>
      </w:r>
      <w:r w:rsidR="00CF7EE1" w:rsidRPr="0035686A">
        <w:t xml:space="preserve"> </w:t>
      </w:r>
      <w:r w:rsidRPr="0035686A">
        <w:t>any</w:t>
      </w:r>
      <w:r w:rsidR="00CF7EE1" w:rsidRPr="0035686A">
        <w:t xml:space="preserve"> </w:t>
      </w:r>
      <w:r w:rsidRPr="0035686A">
        <w:t>error,</w:t>
      </w:r>
      <w:r w:rsidR="00CF7EE1" w:rsidRPr="0035686A">
        <w:t xml:space="preserve"> </w:t>
      </w:r>
      <w:r w:rsidRPr="0035686A">
        <w:t>loss</w:t>
      </w:r>
      <w:r w:rsidR="00CF7EE1" w:rsidRPr="0035686A">
        <w:t xml:space="preserve"> </w:t>
      </w:r>
      <w:r w:rsidRPr="0035686A">
        <w:t>or</w:t>
      </w:r>
      <w:r w:rsidR="00CF7EE1" w:rsidRPr="0035686A">
        <w:t xml:space="preserve"> </w:t>
      </w:r>
      <w:r w:rsidRPr="0035686A">
        <w:t>other</w:t>
      </w:r>
      <w:r w:rsidR="00CF7EE1" w:rsidRPr="0035686A">
        <w:t xml:space="preserve"> </w:t>
      </w:r>
      <w:r w:rsidRPr="0035686A">
        <w:t>consequence</w:t>
      </w:r>
      <w:r w:rsidR="00CF7EE1" w:rsidRPr="0035686A">
        <w:t xml:space="preserve"> </w:t>
      </w:r>
      <w:r w:rsidRPr="0035686A">
        <w:t>which</w:t>
      </w:r>
      <w:r w:rsidR="00CF7EE1" w:rsidRPr="0035686A">
        <w:t xml:space="preserve"> </w:t>
      </w:r>
      <w:r w:rsidRPr="0035686A">
        <w:t>may</w:t>
      </w:r>
      <w:r w:rsidR="00CF7EE1" w:rsidRPr="0035686A">
        <w:t xml:space="preserve"> </w:t>
      </w:r>
      <w:r w:rsidRPr="0035686A">
        <w:t>arise</w:t>
      </w:r>
      <w:r w:rsidR="00CF7EE1" w:rsidRPr="0035686A">
        <w:t xml:space="preserve"> </w:t>
      </w:r>
      <w:r w:rsidRPr="0035686A">
        <w:t>from</w:t>
      </w:r>
      <w:r w:rsidR="00CF7EE1" w:rsidRPr="0035686A">
        <w:t xml:space="preserve"> </w:t>
      </w:r>
      <w:r w:rsidRPr="0035686A">
        <w:t>you</w:t>
      </w:r>
      <w:r w:rsidR="00CF7EE1" w:rsidRPr="0035686A">
        <w:t xml:space="preserve"> </w:t>
      </w:r>
      <w:r w:rsidRPr="0035686A">
        <w:t>relying</w:t>
      </w:r>
      <w:r w:rsidR="00CF7EE1" w:rsidRPr="0035686A">
        <w:t xml:space="preserve"> </w:t>
      </w:r>
      <w:r w:rsidRPr="0035686A">
        <w:t>on</w:t>
      </w:r>
      <w:r w:rsidR="00CF7EE1" w:rsidRPr="0035686A">
        <w:t xml:space="preserve"> </w:t>
      </w:r>
      <w:r w:rsidRPr="0035686A">
        <w:t>any</w:t>
      </w:r>
      <w:r w:rsidR="00CF7EE1" w:rsidRPr="0035686A">
        <w:t xml:space="preserve"> </w:t>
      </w:r>
      <w:r w:rsidRPr="0035686A">
        <w:t>information</w:t>
      </w:r>
      <w:r w:rsidR="00CF7EE1" w:rsidRPr="0035686A">
        <w:t xml:space="preserve"> </w:t>
      </w:r>
      <w:r w:rsidRPr="0035686A">
        <w:t>in</w:t>
      </w:r>
      <w:r w:rsidR="00CF7EE1" w:rsidRPr="0035686A">
        <w:t xml:space="preserve"> </w:t>
      </w:r>
      <w:r w:rsidRPr="0035686A">
        <w:t>this</w:t>
      </w:r>
      <w:r w:rsidR="00CF7EE1" w:rsidRPr="0035686A">
        <w:t xml:space="preserve"> </w:t>
      </w:r>
      <w:r w:rsidRPr="0035686A">
        <w:t>publication.</w:t>
      </w:r>
    </w:p>
    <w:p w14:paraId="24987F13" w14:textId="2A3B77DB" w:rsidR="000F7AD5" w:rsidRPr="0035686A" w:rsidRDefault="00BA59A6" w:rsidP="00B041B6">
      <w:r w:rsidRPr="0035686A">
        <w:t>While</w:t>
      </w:r>
      <w:r w:rsidR="00CF7EE1" w:rsidRPr="0035686A">
        <w:t xml:space="preserve"> </w:t>
      </w:r>
      <w:r w:rsidRPr="0035686A">
        <w:t>every</w:t>
      </w:r>
      <w:r w:rsidR="00CF7EE1" w:rsidRPr="0035686A">
        <w:t xml:space="preserve"> </w:t>
      </w:r>
      <w:r w:rsidRPr="0035686A">
        <w:t>effort</w:t>
      </w:r>
      <w:r w:rsidR="00CF7EE1" w:rsidRPr="0035686A">
        <w:t xml:space="preserve"> </w:t>
      </w:r>
      <w:r w:rsidRPr="0035686A">
        <w:t>has</w:t>
      </w:r>
      <w:r w:rsidR="00CF7EE1" w:rsidRPr="0035686A">
        <w:t xml:space="preserve"> </w:t>
      </w:r>
      <w:r w:rsidRPr="0035686A">
        <w:t>been</w:t>
      </w:r>
      <w:r w:rsidR="00CF7EE1" w:rsidRPr="0035686A">
        <w:t xml:space="preserve"> </w:t>
      </w:r>
      <w:r w:rsidRPr="0035686A">
        <w:t>made</w:t>
      </w:r>
      <w:r w:rsidR="00CF7EE1" w:rsidRPr="0035686A">
        <w:t xml:space="preserve"> </w:t>
      </w:r>
      <w:r w:rsidRPr="0035686A">
        <w:t>to</w:t>
      </w:r>
      <w:r w:rsidR="00CF7EE1" w:rsidRPr="0035686A">
        <w:t xml:space="preserve"> </w:t>
      </w:r>
      <w:r w:rsidRPr="0035686A">
        <w:t>ensure</w:t>
      </w:r>
      <w:r w:rsidR="00CF7EE1" w:rsidRPr="0035686A">
        <w:t xml:space="preserve"> </w:t>
      </w:r>
      <w:r w:rsidRPr="0035686A">
        <w:t>the</w:t>
      </w:r>
      <w:r w:rsidR="00CF7EE1" w:rsidRPr="0035686A">
        <w:t xml:space="preserve"> </w:t>
      </w:r>
      <w:r w:rsidRPr="0035686A">
        <w:t>currency,</w:t>
      </w:r>
      <w:r w:rsidR="00CF7EE1" w:rsidRPr="0035686A">
        <w:t xml:space="preserve"> </w:t>
      </w:r>
      <w:r w:rsidRPr="0035686A">
        <w:t>accuracy</w:t>
      </w:r>
      <w:r w:rsidR="00CF7EE1" w:rsidRPr="0035686A">
        <w:t xml:space="preserve"> </w:t>
      </w:r>
      <w:r w:rsidRPr="0035686A">
        <w:t>or</w:t>
      </w:r>
      <w:r w:rsidR="00CF7EE1" w:rsidRPr="0035686A">
        <w:t xml:space="preserve"> </w:t>
      </w:r>
      <w:r w:rsidRPr="0035686A">
        <w:t>completeness</w:t>
      </w:r>
      <w:r w:rsidR="00CF7EE1" w:rsidRPr="0035686A">
        <w:t xml:space="preserve"> </w:t>
      </w:r>
      <w:r w:rsidRPr="0035686A">
        <w:t>of</w:t>
      </w:r>
      <w:r w:rsidR="00CF7EE1" w:rsidRPr="0035686A">
        <w:t xml:space="preserve"> </w:t>
      </w:r>
      <w:r w:rsidRPr="0035686A">
        <w:t>the</w:t>
      </w:r>
      <w:r w:rsidR="00CF7EE1" w:rsidRPr="0035686A">
        <w:t xml:space="preserve"> </w:t>
      </w:r>
      <w:r w:rsidRPr="0035686A">
        <w:t>content</w:t>
      </w:r>
      <w:r w:rsidR="00CF7EE1" w:rsidRPr="0035686A">
        <w:t xml:space="preserve"> </w:t>
      </w:r>
      <w:r w:rsidRPr="0035686A">
        <w:t>we</w:t>
      </w:r>
      <w:r w:rsidR="00CF7EE1" w:rsidRPr="0035686A">
        <w:t xml:space="preserve"> </w:t>
      </w:r>
      <w:r w:rsidRPr="0035686A">
        <w:t>endeavour</w:t>
      </w:r>
      <w:r w:rsidR="00CF7EE1" w:rsidRPr="0035686A">
        <w:t xml:space="preserve"> </w:t>
      </w:r>
      <w:r w:rsidRPr="0035686A">
        <w:t>to</w:t>
      </w:r>
      <w:r w:rsidR="00CF7EE1" w:rsidRPr="0035686A">
        <w:t xml:space="preserve"> </w:t>
      </w:r>
      <w:r w:rsidRPr="0035686A">
        <w:t>keep</w:t>
      </w:r>
      <w:r w:rsidR="00CF7EE1" w:rsidRPr="0035686A">
        <w:t xml:space="preserve"> </w:t>
      </w:r>
      <w:r w:rsidRPr="0035686A">
        <w:t>the</w:t>
      </w:r>
      <w:r w:rsidR="00CF7EE1" w:rsidRPr="0035686A">
        <w:t xml:space="preserve"> </w:t>
      </w:r>
      <w:r w:rsidRPr="0035686A">
        <w:t>content</w:t>
      </w:r>
      <w:r w:rsidR="00CF7EE1" w:rsidRPr="0035686A">
        <w:t xml:space="preserve"> </w:t>
      </w:r>
      <w:r w:rsidRPr="0035686A">
        <w:t>relevant</w:t>
      </w:r>
      <w:r w:rsidR="00CF7EE1" w:rsidRPr="0035686A">
        <w:t xml:space="preserve"> </w:t>
      </w:r>
      <w:r w:rsidRPr="0035686A">
        <w:t>and</w:t>
      </w:r>
      <w:r w:rsidR="00CF7EE1" w:rsidRPr="0035686A">
        <w:t xml:space="preserve"> </w:t>
      </w:r>
      <w:r w:rsidRPr="0035686A">
        <w:t>up</w:t>
      </w:r>
      <w:r w:rsidR="00CF7EE1" w:rsidRPr="0035686A">
        <w:t xml:space="preserve"> </w:t>
      </w:r>
      <w:r w:rsidRPr="0035686A">
        <w:t>to</w:t>
      </w:r>
      <w:r w:rsidR="00CF7EE1" w:rsidRPr="0035686A">
        <w:t xml:space="preserve"> </w:t>
      </w:r>
      <w:r w:rsidRPr="0035686A">
        <w:t>date</w:t>
      </w:r>
      <w:r w:rsidR="00CF7EE1" w:rsidRPr="0035686A">
        <w:t xml:space="preserve"> </w:t>
      </w:r>
      <w:r w:rsidRPr="0035686A">
        <w:t>and</w:t>
      </w:r>
      <w:r w:rsidR="00CF7EE1" w:rsidRPr="0035686A">
        <w:t xml:space="preserve"> </w:t>
      </w:r>
      <w:r w:rsidRPr="0035686A">
        <w:t>reserve</w:t>
      </w:r>
      <w:r w:rsidR="00CF7EE1" w:rsidRPr="0035686A">
        <w:t xml:space="preserve"> </w:t>
      </w:r>
      <w:r w:rsidRPr="0035686A">
        <w:t>the</w:t>
      </w:r>
      <w:r w:rsidR="00CF7EE1" w:rsidRPr="0035686A">
        <w:t xml:space="preserve"> </w:t>
      </w:r>
      <w:r w:rsidRPr="0035686A">
        <w:t>right</w:t>
      </w:r>
      <w:r w:rsidR="00CF7EE1" w:rsidRPr="0035686A">
        <w:t xml:space="preserve"> </w:t>
      </w:r>
      <w:r w:rsidRPr="0035686A">
        <w:t>to</w:t>
      </w:r>
      <w:r w:rsidR="00CF7EE1" w:rsidRPr="0035686A">
        <w:t xml:space="preserve"> </w:t>
      </w:r>
      <w:r w:rsidRPr="0035686A">
        <w:t>make</w:t>
      </w:r>
      <w:r w:rsidR="00CF7EE1" w:rsidRPr="0035686A">
        <w:t xml:space="preserve"> </w:t>
      </w:r>
      <w:r w:rsidRPr="0035686A">
        <w:t>changes</w:t>
      </w:r>
      <w:r w:rsidR="00CF7EE1" w:rsidRPr="0035686A">
        <w:t xml:space="preserve"> </w:t>
      </w:r>
      <w:r w:rsidRPr="0035686A">
        <w:t>as</w:t>
      </w:r>
      <w:r w:rsidR="00CF7EE1" w:rsidRPr="0035686A">
        <w:t xml:space="preserve"> </w:t>
      </w:r>
      <w:r w:rsidRPr="0035686A">
        <w:t>required.</w:t>
      </w:r>
      <w:r w:rsidR="00CF7EE1" w:rsidRPr="0035686A">
        <w:t xml:space="preserve"> </w:t>
      </w:r>
      <w:r w:rsidRPr="0035686A">
        <w:t>The</w:t>
      </w:r>
      <w:r w:rsidR="00CF7EE1" w:rsidRPr="0035686A">
        <w:t xml:space="preserve"> </w:t>
      </w:r>
      <w:r w:rsidRPr="0035686A">
        <w:t>Victorian</w:t>
      </w:r>
      <w:r w:rsidR="00CF7EE1" w:rsidRPr="0035686A">
        <w:t xml:space="preserve"> </w:t>
      </w:r>
      <w:r w:rsidRPr="0035686A">
        <w:t>Government,</w:t>
      </w:r>
      <w:r w:rsidR="00CF7EE1" w:rsidRPr="0035686A">
        <w:t xml:space="preserve"> </w:t>
      </w:r>
      <w:r w:rsidRPr="0035686A">
        <w:t>authors</w:t>
      </w:r>
      <w:r w:rsidR="00CF7EE1" w:rsidRPr="0035686A">
        <w:t xml:space="preserve"> </w:t>
      </w:r>
      <w:r w:rsidRPr="0035686A">
        <w:t>and</w:t>
      </w:r>
      <w:r w:rsidR="00CF7EE1" w:rsidRPr="0035686A">
        <w:t xml:space="preserve"> </w:t>
      </w:r>
      <w:r w:rsidRPr="0035686A">
        <w:t>presenters</w:t>
      </w:r>
      <w:r w:rsidR="00CF7EE1" w:rsidRPr="0035686A">
        <w:t xml:space="preserve"> </w:t>
      </w:r>
      <w:r w:rsidRPr="0035686A">
        <w:t>do</w:t>
      </w:r>
      <w:r w:rsidR="00CF7EE1" w:rsidRPr="0035686A">
        <w:t xml:space="preserve"> </w:t>
      </w:r>
      <w:r w:rsidRPr="0035686A">
        <w:t>not</w:t>
      </w:r>
      <w:r w:rsidR="00CF7EE1" w:rsidRPr="0035686A">
        <w:t xml:space="preserve"> </w:t>
      </w:r>
      <w:r w:rsidRPr="0035686A">
        <w:t>accept</w:t>
      </w:r>
      <w:r w:rsidR="00CF7EE1" w:rsidRPr="0035686A">
        <w:t xml:space="preserve"> </w:t>
      </w:r>
      <w:r w:rsidRPr="0035686A">
        <w:t>any</w:t>
      </w:r>
      <w:r w:rsidR="00CF7EE1" w:rsidRPr="0035686A">
        <w:t xml:space="preserve"> </w:t>
      </w:r>
      <w:r w:rsidRPr="0035686A">
        <w:t>liability</w:t>
      </w:r>
      <w:r w:rsidR="00CF7EE1" w:rsidRPr="0035686A">
        <w:t xml:space="preserve"> </w:t>
      </w:r>
      <w:r w:rsidRPr="0035686A">
        <w:t>to</w:t>
      </w:r>
      <w:r w:rsidR="00CF7EE1" w:rsidRPr="0035686A">
        <w:t xml:space="preserve"> </w:t>
      </w:r>
      <w:r w:rsidRPr="0035686A">
        <w:t>any</w:t>
      </w:r>
      <w:r w:rsidR="00CF7EE1" w:rsidRPr="0035686A">
        <w:t xml:space="preserve"> </w:t>
      </w:r>
      <w:r w:rsidRPr="0035686A">
        <w:t>person</w:t>
      </w:r>
      <w:r w:rsidR="00CF7EE1" w:rsidRPr="0035686A">
        <w:t xml:space="preserve"> </w:t>
      </w:r>
      <w:r w:rsidRPr="0035686A">
        <w:t>for</w:t>
      </w:r>
      <w:r w:rsidR="00CF7EE1" w:rsidRPr="0035686A">
        <w:t xml:space="preserve"> </w:t>
      </w:r>
      <w:r w:rsidRPr="0035686A">
        <w:t>the</w:t>
      </w:r>
      <w:r w:rsidR="00CF7EE1" w:rsidRPr="0035686A">
        <w:t xml:space="preserve"> </w:t>
      </w:r>
      <w:r w:rsidRPr="0035686A">
        <w:t>information</w:t>
      </w:r>
      <w:r w:rsidR="00CF7EE1" w:rsidRPr="0035686A">
        <w:t xml:space="preserve"> </w:t>
      </w:r>
      <w:r w:rsidRPr="0035686A">
        <w:t>(or</w:t>
      </w:r>
      <w:r w:rsidR="00CF7EE1" w:rsidRPr="0035686A">
        <w:t xml:space="preserve"> </w:t>
      </w:r>
      <w:r w:rsidRPr="0035686A">
        <w:t>the</w:t>
      </w:r>
      <w:r w:rsidR="00CF7EE1" w:rsidRPr="0035686A">
        <w:t xml:space="preserve"> </w:t>
      </w:r>
      <w:r w:rsidRPr="0035686A">
        <w:t>use</w:t>
      </w:r>
      <w:r w:rsidR="00CF7EE1" w:rsidRPr="0035686A">
        <w:t xml:space="preserve"> </w:t>
      </w:r>
      <w:r w:rsidRPr="0035686A">
        <w:t>of</w:t>
      </w:r>
      <w:r w:rsidR="00CF7EE1" w:rsidRPr="0035686A">
        <w:t xml:space="preserve"> </w:t>
      </w:r>
      <w:r w:rsidRPr="0035686A">
        <w:t>the</w:t>
      </w:r>
      <w:r w:rsidR="00CF7EE1" w:rsidRPr="0035686A">
        <w:t xml:space="preserve"> </w:t>
      </w:r>
      <w:r w:rsidRPr="0035686A">
        <w:t>information)</w:t>
      </w:r>
      <w:r w:rsidR="00CF7EE1" w:rsidRPr="0035686A">
        <w:t xml:space="preserve"> </w:t>
      </w:r>
      <w:r w:rsidRPr="0035686A">
        <w:t>which</w:t>
      </w:r>
      <w:r w:rsidR="00CF7EE1" w:rsidRPr="0035686A">
        <w:t xml:space="preserve"> </w:t>
      </w:r>
      <w:r w:rsidRPr="0035686A">
        <w:t>is</w:t>
      </w:r>
      <w:r w:rsidR="00CF7EE1" w:rsidRPr="0035686A">
        <w:t xml:space="preserve"> </w:t>
      </w:r>
      <w:r w:rsidRPr="0035686A">
        <w:t>provided</w:t>
      </w:r>
      <w:r w:rsidR="00CF7EE1" w:rsidRPr="0035686A">
        <w:t xml:space="preserve"> </w:t>
      </w:r>
      <w:r w:rsidRPr="0035686A">
        <w:t>or</w:t>
      </w:r>
      <w:r w:rsidR="00CF7EE1" w:rsidRPr="0035686A">
        <w:t xml:space="preserve"> </w:t>
      </w:r>
      <w:r w:rsidRPr="0035686A">
        <w:t>referred</w:t>
      </w:r>
      <w:r w:rsidR="00CF7EE1" w:rsidRPr="0035686A">
        <w:t xml:space="preserve"> </w:t>
      </w:r>
      <w:r w:rsidRPr="0035686A">
        <w:t>to</w:t>
      </w:r>
      <w:r w:rsidR="00CF7EE1" w:rsidRPr="0035686A">
        <w:t xml:space="preserve"> </w:t>
      </w:r>
      <w:r w:rsidRPr="0035686A">
        <w:t>in</w:t>
      </w:r>
      <w:r w:rsidR="00CF7EE1" w:rsidRPr="0035686A">
        <w:t xml:space="preserve"> </w:t>
      </w:r>
      <w:r w:rsidRPr="0035686A">
        <w:t>the</w:t>
      </w:r>
      <w:r w:rsidR="00CF7EE1" w:rsidRPr="0035686A">
        <w:t xml:space="preserve"> </w:t>
      </w:r>
      <w:r w:rsidRPr="0035686A">
        <w:t>report.</w:t>
      </w:r>
    </w:p>
    <w:p w14:paraId="094FCB54" w14:textId="6DE11537" w:rsidR="000F7AD5" w:rsidRPr="0035686A" w:rsidRDefault="00BA59A6" w:rsidP="00B041B6">
      <w:r w:rsidRPr="0035686A">
        <w:t>Authorised</w:t>
      </w:r>
      <w:r w:rsidR="00CF7EE1" w:rsidRPr="0035686A">
        <w:t xml:space="preserve"> </w:t>
      </w:r>
      <w:r w:rsidRPr="0035686A">
        <w:t>by</w:t>
      </w:r>
      <w:r w:rsidR="00CF7EE1" w:rsidRPr="0035686A">
        <w:t xml:space="preserve"> </w:t>
      </w:r>
      <w:r w:rsidRPr="0035686A">
        <w:t>the</w:t>
      </w:r>
      <w:r w:rsidR="00CF7EE1" w:rsidRPr="0035686A">
        <w:t xml:space="preserve"> </w:t>
      </w:r>
      <w:r w:rsidRPr="0035686A">
        <w:t>Victorian</w:t>
      </w:r>
      <w:r w:rsidR="00CF7EE1" w:rsidRPr="0035686A">
        <w:t xml:space="preserve"> </w:t>
      </w:r>
      <w:r w:rsidRPr="0035686A">
        <w:t>Government</w:t>
      </w:r>
      <w:r w:rsidR="00CF7EE1" w:rsidRPr="0035686A">
        <w:t xml:space="preserve"> </w:t>
      </w:r>
      <w:r w:rsidRPr="0035686A">
        <w:t>Department</w:t>
      </w:r>
      <w:r w:rsidR="00CF7EE1" w:rsidRPr="0035686A">
        <w:t xml:space="preserve"> </w:t>
      </w:r>
      <w:r w:rsidRPr="0035686A">
        <w:t>of</w:t>
      </w:r>
      <w:r w:rsidR="00CF7EE1" w:rsidRPr="0035686A">
        <w:t xml:space="preserve"> </w:t>
      </w:r>
      <w:r w:rsidRPr="0035686A">
        <w:t>Jobs,</w:t>
      </w:r>
      <w:r w:rsidR="00CF7EE1" w:rsidRPr="0035686A">
        <w:t xml:space="preserve"> </w:t>
      </w:r>
      <w:r w:rsidRPr="0035686A">
        <w:t>Skills,</w:t>
      </w:r>
      <w:r w:rsidR="00CF7EE1" w:rsidRPr="0035686A">
        <w:t xml:space="preserve"> </w:t>
      </w:r>
      <w:r w:rsidRPr="0035686A">
        <w:t>Industry</w:t>
      </w:r>
      <w:r w:rsidR="00CF7EE1" w:rsidRPr="0035686A">
        <w:t xml:space="preserve"> </w:t>
      </w:r>
      <w:r w:rsidRPr="0035686A">
        <w:t>and</w:t>
      </w:r>
      <w:r w:rsidR="00CF7EE1" w:rsidRPr="0035686A">
        <w:t xml:space="preserve"> </w:t>
      </w:r>
      <w:r w:rsidRPr="0035686A">
        <w:t>Regions</w:t>
      </w:r>
    </w:p>
    <w:p w14:paraId="55381DAC" w14:textId="586CDCA6" w:rsidR="000F7AD5" w:rsidRPr="0035686A" w:rsidRDefault="00BA59A6" w:rsidP="00CF7EE1">
      <w:r w:rsidRPr="0035686A">
        <w:t>121</w:t>
      </w:r>
      <w:r w:rsidR="00CF7EE1" w:rsidRPr="0035686A">
        <w:t xml:space="preserve"> </w:t>
      </w:r>
      <w:r w:rsidRPr="0035686A">
        <w:t>Exhibition</w:t>
      </w:r>
      <w:r w:rsidR="00CF7EE1" w:rsidRPr="0035686A">
        <w:t xml:space="preserve"> </w:t>
      </w:r>
      <w:r w:rsidRPr="0035686A">
        <w:t>St,</w:t>
      </w:r>
      <w:r w:rsidR="00CF7EE1" w:rsidRPr="0035686A">
        <w:t xml:space="preserve"> </w:t>
      </w:r>
      <w:r w:rsidRPr="0035686A">
        <w:t>Melbourne</w:t>
      </w:r>
      <w:r w:rsidR="00CF7EE1" w:rsidRPr="0035686A">
        <w:t xml:space="preserve"> </w:t>
      </w:r>
      <w:r w:rsidRPr="0035686A">
        <w:t>Victoria</w:t>
      </w:r>
      <w:r w:rsidR="00CF7EE1" w:rsidRPr="0035686A">
        <w:t xml:space="preserve"> </w:t>
      </w:r>
      <w:r w:rsidRPr="0035686A">
        <w:t>3000</w:t>
      </w:r>
    </w:p>
    <w:p w14:paraId="64D72640" w14:textId="1AE2A473" w:rsidR="000F7AD5" w:rsidRPr="0035686A" w:rsidRDefault="00BA59A6" w:rsidP="00CF7EE1">
      <w:r w:rsidRPr="0035686A">
        <w:t>Telephone:</w:t>
      </w:r>
      <w:r w:rsidR="00CF7EE1" w:rsidRPr="0035686A">
        <w:t xml:space="preserve"> </w:t>
      </w:r>
      <w:r w:rsidRPr="0035686A">
        <w:t>13</w:t>
      </w:r>
      <w:r w:rsidR="00CF7EE1" w:rsidRPr="0035686A">
        <w:t xml:space="preserve"> </w:t>
      </w:r>
      <w:r w:rsidRPr="0035686A">
        <w:t>22</w:t>
      </w:r>
      <w:r w:rsidR="00CF7EE1" w:rsidRPr="0035686A">
        <w:t xml:space="preserve"> </w:t>
      </w:r>
      <w:r w:rsidRPr="0035686A">
        <w:t>15</w:t>
      </w:r>
    </w:p>
    <w:p w14:paraId="2CE34C21" w14:textId="4671E14D" w:rsidR="000F7AD5" w:rsidRPr="0035686A" w:rsidRDefault="00BA59A6" w:rsidP="00CF7EE1">
      <w:r w:rsidRPr="0035686A">
        <w:t>Prepared</w:t>
      </w:r>
      <w:r w:rsidR="00CF7EE1" w:rsidRPr="0035686A">
        <w:t xml:space="preserve"> </w:t>
      </w:r>
      <w:r w:rsidRPr="0035686A">
        <w:t>under</w:t>
      </w:r>
      <w:r w:rsidR="00CF7EE1" w:rsidRPr="0035686A">
        <w:t xml:space="preserve"> </w:t>
      </w:r>
      <w:r w:rsidRPr="0035686A">
        <w:t>section</w:t>
      </w:r>
      <w:r w:rsidR="00CF7EE1" w:rsidRPr="0035686A">
        <w:t xml:space="preserve"> </w:t>
      </w:r>
      <w:r w:rsidRPr="0035686A">
        <w:t>10</w:t>
      </w:r>
      <w:r w:rsidR="00CF7EE1" w:rsidRPr="0035686A">
        <w:t xml:space="preserve"> </w:t>
      </w:r>
      <w:r w:rsidRPr="0035686A">
        <w:t>of</w:t>
      </w:r>
      <w:r w:rsidR="00CF7EE1" w:rsidRPr="0035686A">
        <w:t xml:space="preserve"> </w:t>
      </w:r>
      <w:r w:rsidRPr="0035686A">
        <w:t>the</w:t>
      </w:r>
      <w:r w:rsidR="00CF7EE1" w:rsidRPr="0035686A">
        <w:t xml:space="preserve"> </w:t>
      </w:r>
      <w:r w:rsidRPr="0035686A">
        <w:rPr>
          <w:i/>
          <w:iCs/>
        </w:rPr>
        <w:t>Local</w:t>
      </w:r>
      <w:r w:rsidR="00CF7EE1" w:rsidRPr="0035686A">
        <w:rPr>
          <w:i/>
          <w:iCs/>
        </w:rPr>
        <w:t xml:space="preserve"> </w:t>
      </w:r>
      <w:r w:rsidRPr="0035686A">
        <w:rPr>
          <w:i/>
          <w:iCs/>
        </w:rPr>
        <w:t>Jobs</w:t>
      </w:r>
      <w:r w:rsidR="00CF7EE1" w:rsidRPr="0035686A">
        <w:rPr>
          <w:i/>
          <w:iCs/>
        </w:rPr>
        <w:t xml:space="preserve"> </w:t>
      </w:r>
      <w:r w:rsidRPr="0035686A">
        <w:rPr>
          <w:i/>
          <w:iCs/>
        </w:rPr>
        <w:t>First</w:t>
      </w:r>
      <w:r w:rsidR="00CF7EE1" w:rsidRPr="0035686A">
        <w:rPr>
          <w:i/>
          <w:iCs/>
        </w:rPr>
        <w:t xml:space="preserve"> </w:t>
      </w:r>
      <w:r w:rsidRPr="0035686A">
        <w:rPr>
          <w:i/>
          <w:iCs/>
        </w:rPr>
        <w:t>Act</w:t>
      </w:r>
      <w:r w:rsidR="00CF7EE1" w:rsidRPr="0035686A">
        <w:rPr>
          <w:i/>
          <w:iCs/>
        </w:rPr>
        <w:t xml:space="preserve"> </w:t>
      </w:r>
      <w:r w:rsidRPr="0035686A">
        <w:rPr>
          <w:i/>
          <w:iCs/>
        </w:rPr>
        <w:t>2003</w:t>
      </w:r>
    </w:p>
    <w:p w14:paraId="26EC5087" w14:textId="1F63F4AC" w:rsidR="000F7AD5" w:rsidRPr="0035686A" w:rsidRDefault="00BA59A6" w:rsidP="00CF7EE1">
      <w:r w:rsidRPr="0035686A">
        <w:t>November</w:t>
      </w:r>
      <w:r w:rsidR="00CF7EE1" w:rsidRPr="0035686A">
        <w:t xml:space="preserve"> </w:t>
      </w:r>
      <w:r w:rsidRPr="0035686A">
        <w:t>202</w:t>
      </w:r>
      <w:r w:rsidR="005A3BA1" w:rsidRPr="0035686A">
        <w:t>5</w:t>
      </w:r>
    </w:p>
    <w:p w14:paraId="52DA09E8" w14:textId="2B9FC001" w:rsidR="000F7AD5" w:rsidRPr="0035686A" w:rsidRDefault="00BA59A6" w:rsidP="00CF7EE1">
      <w:r w:rsidRPr="0035686A">
        <w:t>©</w:t>
      </w:r>
      <w:r w:rsidR="00CF7EE1" w:rsidRPr="0035686A">
        <w:t xml:space="preserve"> </w:t>
      </w:r>
      <w:r w:rsidRPr="0035686A">
        <w:t>State</w:t>
      </w:r>
      <w:r w:rsidR="00CF7EE1" w:rsidRPr="0035686A">
        <w:t xml:space="preserve"> </w:t>
      </w:r>
      <w:r w:rsidRPr="0035686A">
        <w:t>of</w:t>
      </w:r>
      <w:r w:rsidR="00CF7EE1" w:rsidRPr="0035686A">
        <w:t xml:space="preserve"> </w:t>
      </w:r>
      <w:r w:rsidRPr="0035686A">
        <w:t>Victoria</w:t>
      </w:r>
      <w:r w:rsidR="00CF7EE1" w:rsidRPr="0035686A">
        <w:t xml:space="preserve"> </w:t>
      </w:r>
      <w:r w:rsidRPr="0035686A">
        <w:t>202</w:t>
      </w:r>
      <w:r w:rsidR="005A3BA1" w:rsidRPr="0035686A">
        <w:t>5</w:t>
      </w:r>
    </w:p>
    <w:p w14:paraId="11BAF255" w14:textId="0A48FF9C" w:rsidR="000F7AD5" w:rsidRPr="0035686A" w:rsidRDefault="00BA59A6" w:rsidP="00CF7EE1">
      <w:r w:rsidRPr="0035686A">
        <w:t>Unless</w:t>
      </w:r>
      <w:r w:rsidR="00CF7EE1" w:rsidRPr="0035686A">
        <w:t xml:space="preserve"> </w:t>
      </w:r>
      <w:r w:rsidRPr="0035686A">
        <w:t>indicated</w:t>
      </w:r>
      <w:r w:rsidR="00CF7EE1" w:rsidRPr="0035686A">
        <w:t xml:space="preserve"> </w:t>
      </w:r>
      <w:r w:rsidRPr="0035686A">
        <w:t>otherwise,</w:t>
      </w:r>
      <w:r w:rsidR="00CF7EE1" w:rsidRPr="0035686A">
        <w:t xml:space="preserve"> </w:t>
      </w:r>
      <w:r w:rsidRPr="0035686A">
        <w:t>this</w:t>
      </w:r>
      <w:r w:rsidR="00CF7EE1" w:rsidRPr="0035686A">
        <w:t xml:space="preserve"> </w:t>
      </w:r>
      <w:r w:rsidRPr="0035686A">
        <w:t>work</w:t>
      </w:r>
      <w:r w:rsidR="00CF7EE1" w:rsidRPr="0035686A">
        <w:t xml:space="preserve"> </w:t>
      </w:r>
      <w:r w:rsidRPr="0035686A">
        <w:t>is</w:t>
      </w:r>
      <w:r w:rsidR="00CF7EE1" w:rsidRPr="0035686A">
        <w:t xml:space="preserve"> </w:t>
      </w:r>
      <w:r w:rsidRPr="0035686A">
        <w:t>made</w:t>
      </w:r>
      <w:r w:rsidR="00CF7EE1" w:rsidRPr="0035686A">
        <w:t xml:space="preserve"> </w:t>
      </w:r>
      <w:r w:rsidRPr="0035686A">
        <w:t>available</w:t>
      </w:r>
      <w:r w:rsidR="00CF7EE1" w:rsidRPr="0035686A">
        <w:t xml:space="preserve"> </w:t>
      </w:r>
      <w:r w:rsidRPr="0035686A">
        <w:t>under</w:t>
      </w:r>
      <w:r w:rsidR="00CF7EE1" w:rsidRPr="0035686A">
        <w:t xml:space="preserve"> </w:t>
      </w:r>
      <w:r w:rsidRPr="0035686A">
        <w:t>the</w:t>
      </w:r>
      <w:r w:rsidR="00CF7EE1" w:rsidRPr="0035686A">
        <w:t xml:space="preserve"> </w:t>
      </w:r>
      <w:r w:rsidRPr="0035686A">
        <w:t>terms</w:t>
      </w:r>
      <w:r w:rsidR="00CF7EE1" w:rsidRPr="0035686A">
        <w:t xml:space="preserve"> </w:t>
      </w:r>
      <w:r w:rsidRPr="0035686A">
        <w:t>of</w:t>
      </w:r>
      <w:r w:rsidR="00CF7EE1" w:rsidRPr="0035686A">
        <w:t xml:space="preserve"> </w:t>
      </w:r>
      <w:r w:rsidRPr="0035686A">
        <w:t>the</w:t>
      </w:r>
      <w:r w:rsidR="00CF7EE1" w:rsidRPr="0035686A">
        <w:t xml:space="preserve"> </w:t>
      </w:r>
      <w:r w:rsidRPr="0035686A">
        <w:t>Creative</w:t>
      </w:r>
      <w:r w:rsidR="00CF7EE1" w:rsidRPr="0035686A">
        <w:t xml:space="preserve"> </w:t>
      </w:r>
      <w:r w:rsidRPr="0035686A">
        <w:t>Commons</w:t>
      </w:r>
      <w:r w:rsidR="00CF7EE1" w:rsidRPr="0035686A">
        <w:t xml:space="preserve"> </w:t>
      </w:r>
      <w:r w:rsidRPr="0035686A">
        <w:t>Attribution</w:t>
      </w:r>
      <w:r w:rsidR="00CF7EE1" w:rsidRPr="0035686A">
        <w:t xml:space="preserve"> </w:t>
      </w:r>
      <w:r w:rsidRPr="0035686A">
        <w:t>3.0</w:t>
      </w:r>
      <w:r w:rsidR="00CF7EE1" w:rsidRPr="0035686A">
        <w:t xml:space="preserve"> </w:t>
      </w:r>
      <w:r w:rsidRPr="0035686A">
        <w:t>Australia</w:t>
      </w:r>
      <w:r w:rsidR="00CF7EE1" w:rsidRPr="0035686A">
        <w:t xml:space="preserve"> </w:t>
      </w:r>
      <w:r w:rsidRPr="0035686A">
        <w:t>Licence.</w:t>
      </w:r>
      <w:r w:rsidR="00CF7EE1" w:rsidRPr="0035686A">
        <w:t xml:space="preserve"> </w:t>
      </w:r>
      <w:r w:rsidRPr="0035686A">
        <w:t>To</w:t>
      </w:r>
      <w:r w:rsidR="00CF7EE1" w:rsidRPr="0035686A">
        <w:t xml:space="preserve"> </w:t>
      </w:r>
      <w:r w:rsidRPr="0035686A">
        <w:t>view</w:t>
      </w:r>
      <w:r w:rsidR="00CF7EE1" w:rsidRPr="0035686A">
        <w:t xml:space="preserve"> </w:t>
      </w:r>
      <w:r w:rsidRPr="0035686A">
        <w:t>a</w:t>
      </w:r>
      <w:r w:rsidR="00CF7EE1" w:rsidRPr="0035686A">
        <w:t xml:space="preserve"> </w:t>
      </w:r>
      <w:r w:rsidRPr="0035686A">
        <w:t>copy</w:t>
      </w:r>
      <w:r w:rsidR="00CF7EE1" w:rsidRPr="0035686A">
        <w:t xml:space="preserve"> </w:t>
      </w:r>
      <w:r w:rsidRPr="0035686A">
        <w:t>of</w:t>
      </w:r>
      <w:r w:rsidR="00CF7EE1" w:rsidRPr="0035686A">
        <w:t xml:space="preserve"> </w:t>
      </w:r>
      <w:r w:rsidRPr="0035686A">
        <w:t>this</w:t>
      </w:r>
      <w:r w:rsidR="00CF7EE1" w:rsidRPr="0035686A">
        <w:t xml:space="preserve"> </w:t>
      </w:r>
      <w:r w:rsidRPr="0035686A">
        <w:t>licence,</w:t>
      </w:r>
      <w:r w:rsidR="00CF7EE1" w:rsidRPr="0035686A">
        <w:t xml:space="preserve"> </w:t>
      </w:r>
      <w:r w:rsidRPr="0035686A">
        <w:t>visit</w:t>
      </w:r>
      <w:r w:rsidR="00CF7EE1" w:rsidRPr="0035686A">
        <w:t xml:space="preserve"> </w:t>
      </w:r>
      <w:hyperlink r:id="rId13" w:tooltip="Link to Creative Commons licenses webpage" w:history="1">
        <w:r w:rsidR="00CF7EE1" w:rsidRPr="0035686A">
          <w:rPr>
            <w:rStyle w:val="Hyperlink"/>
          </w:rPr>
          <w:t>Creative Commons</w:t>
        </w:r>
      </w:hyperlink>
      <w:r w:rsidRPr="0035686A">
        <w:t>.</w:t>
      </w:r>
    </w:p>
    <w:p w14:paraId="4BEF73AE" w14:textId="0E4843BF" w:rsidR="000F7AD5" w:rsidRPr="0035686A" w:rsidRDefault="00BA59A6" w:rsidP="00CF7EE1">
      <w:r w:rsidRPr="0035686A">
        <w:t>It</w:t>
      </w:r>
      <w:r w:rsidR="00CF7EE1" w:rsidRPr="0035686A">
        <w:t xml:space="preserve"> </w:t>
      </w:r>
      <w:r w:rsidRPr="0035686A">
        <w:t>is</w:t>
      </w:r>
      <w:r w:rsidR="00CF7EE1" w:rsidRPr="0035686A">
        <w:t xml:space="preserve"> </w:t>
      </w:r>
      <w:r w:rsidRPr="0035686A">
        <w:t>a</w:t>
      </w:r>
      <w:r w:rsidR="00CF7EE1" w:rsidRPr="0035686A">
        <w:t xml:space="preserve"> </w:t>
      </w:r>
      <w:r w:rsidRPr="0035686A">
        <w:t>condition</w:t>
      </w:r>
      <w:r w:rsidR="00CF7EE1" w:rsidRPr="0035686A">
        <w:t xml:space="preserve"> </w:t>
      </w:r>
      <w:r w:rsidRPr="0035686A">
        <w:t>of</w:t>
      </w:r>
      <w:r w:rsidR="00CF7EE1" w:rsidRPr="0035686A">
        <w:t xml:space="preserve"> </w:t>
      </w:r>
      <w:r w:rsidRPr="0035686A">
        <w:t>this</w:t>
      </w:r>
      <w:r w:rsidR="00CF7EE1" w:rsidRPr="0035686A">
        <w:t xml:space="preserve"> </w:t>
      </w:r>
      <w:r w:rsidRPr="0035686A">
        <w:t>Creative</w:t>
      </w:r>
      <w:r w:rsidR="00CF7EE1" w:rsidRPr="0035686A">
        <w:t xml:space="preserve"> </w:t>
      </w:r>
      <w:r w:rsidRPr="0035686A">
        <w:t>Commons</w:t>
      </w:r>
      <w:r w:rsidR="00CF7EE1" w:rsidRPr="0035686A">
        <w:t xml:space="preserve"> </w:t>
      </w:r>
      <w:r w:rsidRPr="0035686A">
        <w:t>Attribution</w:t>
      </w:r>
      <w:r w:rsidR="00CF7EE1" w:rsidRPr="0035686A">
        <w:t xml:space="preserve"> </w:t>
      </w:r>
      <w:r w:rsidRPr="0035686A">
        <w:t>3.0</w:t>
      </w:r>
      <w:r w:rsidR="00CF7EE1" w:rsidRPr="0035686A">
        <w:t xml:space="preserve"> </w:t>
      </w:r>
      <w:r w:rsidRPr="0035686A">
        <w:t>Licence</w:t>
      </w:r>
      <w:r w:rsidR="00CF7EE1" w:rsidRPr="0035686A">
        <w:t xml:space="preserve"> </w:t>
      </w:r>
      <w:r w:rsidRPr="0035686A">
        <w:t>that</w:t>
      </w:r>
      <w:r w:rsidR="00CF7EE1" w:rsidRPr="0035686A">
        <w:t xml:space="preserve"> </w:t>
      </w:r>
      <w:r w:rsidRPr="0035686A">
        <w:t>you</w:t>
      </w:r>
      <w:r w:rsidR="00CF7EE1" w:rsidRPr="0035686A">
        <w:t xml:space="preserve"> </w:t>
      </w:r>
      <w:r w:rsidRPr="0035686A">
        <w:t>must</w:t>
      </w:r>
      <w:r w:rsidR="00CF7EE1" w:rsidRPr="0035686A">
        <w:t xml:space="preserve"> </w:t>
      </w:r>
      <w:r w:rsidRPr="0035686A">
        <w:t>give</w:t>
      </w:r>
      <w:r w:rsidR="00CF7EE1" w:rsidRPr="0035686A">
        <w:t xml:space="preserve"> </w:t>
      </w:r>
      <w:r w:rsidRPr="0035686A">
        <w:t>credit</w:t>
      </w:r>
      <w:r w:rsidR="00CF7EE1" w:rsidRPr="0035686A">
        <w:t xml:space="preserve"> </w:t>
      </w:r>
      <w:r w:rsidRPr="0035686A">
        <w:t>to</w:t>
      </w:r>
      <w:r w:rsidR="00CF7EE1" w:rsidRPr="0035686A">
        <w:t xml:space="preserve"> </w:t>
      </w:r>
      <w:r w:rsidRPr="0035686A">
        <w:t>the</w:t>
      </w:r>
      <w:r w:rsidR="00CF7EE1" w:rsidRPr="0035686A">
        <w:t xml:space="preserve"> </w:t>
      </w:r>
      <w:r w:rsidRPr="0035686A">
        <w:t>original</w:t>
      </w:r>
      <w:r w:rsidR="00CF7EE1" w:rsidRPr="0035686A">
        <w:t xml:space="preserve"> </w:t>
      </w:r>
      <w:r w:rsidRPr="0035686A">
        <w:t>author</w:t>
      </w:r>
      <w:r w:rsidR="00CF7EE1" w:rsidRPr="0035686A">
        <w:t xml:space="preserve"> </w:t>
      </w:r>
      <w:r w:rsidRPr="0035686A">
        <w:t>who</w:t>
      </w:r>
      <w:r w:rsidR="00CF7EE1" w:rsidRPr="0035686A">
        <w:t xml:space="preserve"> </w:t>
      </w:r>
      <w:r w:rsidRPr="0035686A">
        <w:t>is</w:t>
      </w:r>
      <w:r w:rsidR="00CF7EE1" w:rsidRPr="0035686A">
        <w:t xml:space="preserve"> </w:t>
      </w:r>
      <w:r w:rsidRPr="0035686A">
        <w:t>the</w:t>
      </w:r>
      <w:r w:rsidR="00CF7EE1" w:rsidRPr="0035686A">
        <w:t xml:space="preserve"> </w:t>
      </w:r>
      <w:r w:rsidRPr="0035686A">
        <w:t>State</w:t>
      </w:r>
      <w:r w:rsidR="00CF7EE1" w:rsidRPr="0035686A">
        <w:t xml:space="preserve"> </w:t>
      </w:r>
      <w:r w:rsidRPr="0035686A">
        <w:t>of</w:t>
      </w:r>
      <w:r w:rsidR="00CF7EE1" w:rsidRPr="0035686A">
        <w:t xml:space="preserve"> </w:t>
      </w:r>
      <w:r w:rsidRPr="0035686A">
        <w:t>Victoria.</w:t>
      </w:r>
    </w:p>
    <w:p w14:paraId="1AD7B247" w14:textId="5DD746C5" w:rsidR="00CF7EE1" w:rsidRPr="0035686A" w:rsidRDefault="00CF7EE1" w:rsidP="00CF7EE1">
      <w:pPr>
        <w:pStyle w:val="TOCHeading"/>
      </w:pPr>
      <w:r w:rsidRPr="0035686A">
        <w:lastRenderedPageBreak/>
        <w:t>Contents</w:t>
      </w:r>
    </w:p>
    <w:p w14:paraId="4E0BBC81" w14:textId="365F735B" w:rsidR="00F77C72" w:rsidRDefault="007C7515">
      <w:pPr>
        <w:pStyle w:val="TOC1"/>
        <w:rPr>
          <w:rFonts w:asciiTheme="minorHAnsi" w:eastAsiaTheme="minorEastAsia" w:hAnsiTheme="minorHAnsi" w:cstheme="minorBidi"/>
          <w:b w:val="0"/>
          <w:noProof/>
          <w:kern w:val="2"/>
          <w:szCs w:val="24"/>
          <w:lang w:eastAsia="en-GB"/>
          <w14:ligatures w14:val="standardContextual"/>
        </w:rPr>
      </w:pPr>
      <w:r w:rsidRPr="0035686A">
        <w:fldChar w:fldCharType="begin"/>
      </w:r>
      <w:r w:rsidRPr="0035686A">
        <w:instrText xml:space="preserve"> TOC \o "1-1" \h \z \t "Heading 2,2,Heading 2 - numbered,2" </w:instrText>
      </w:r>
      <w:r w:rsidRPr="0035686A">
        <w:fldChar w:fldCharType="separate"/>
      </w:r>
      <w:hyperlink w:anchor="_Toc213233908" w:history="1">
        <w:r w:rsidR="00F77C72" w:rsidRPr="009D1774">
          <w:rPr>
            <w:rStyle w:val="Hyperlink"/>
            <w:noProof/>
          </w:rPr>
          <w:t>Foreword by the Minister for Industry and Advanced Manufacturing</w:t>
        </w:r>
        <w:r w:rsidR="00F77C72">
          <w:rPr>
            <w:noProof/>
            <w:webHidden/>
          </w:rPr>
          <w:tab/>
        </w:r>
        <w:r w:rsidR="00F77C72">
          <w:rPr>
            <w:noProof/>
            <w:webHidden/>
          </w:rPr>
          <w:fldChar w:fldCharType="begin"/>
        </w:r>
        <w:r w:rsidR="00F77C72">
          <w:rPr>
            <w:noProof/>
            <w:webHidden/>
          </w:rPr>
          <w:instrText xml:space="preserve"> PAGEREF _Toc213233908 \h </w:instrText>
        </w:r>
        <w:r w:rsidR="00F77C72">
          <w:rPr>
            <w:noProof/>
            <w:webHidden/>
          </w:rPr>
        </w:r>
        <w:r w:rsidR="00F77C72">
          <w:rPr>
            <w:noProof/>
            <w:webHidden/>
          </w:rPr>
          <w:fldChar w:fldCharType="separate"/>
        </w:r>
        <w:r w:rsidR="00F77C72">
          <w:rPr>
            <w:noProof/>
            <w:webHidden/>
          </w:rPr>
          <w:t>3</w:t>
        </w:r>
        <w:r w:rsidR="00F77C72">
          <w:rPr>
            <w:noProof/>
            <w:webHidden/>
          </w:rPr>
          <w:fldChar w:fldCharType="end"/>
        </w:r>
      </w:hyperlink>
    </w:p>
    <w:p w14:paraId="334B747C" w14:textId="54516B4B" w:rsidR="00F77C72" w:rsidRDefault="00F77C72">
      <w:pPr>
        <w:pStyle w:val="TOC1"/>
        <w:rPr>
          <w:rFonts w:asciiTheme="minorHAnsi" w:eastAsiaTheme="minorEastAsia" w:hAnsiTheme="minorHAnsi" w:cstheme="minorBidi"/>
          <w:b w:val="0"/>
          <w:noProof/>
          <w:kern w:val="2"/>
          <w:szCs w:val="24"/>
          <w:lang w:eastAsia="en-GB"/>
          <w14:ligatures w14:val="standardContextual"/>
        </w:rPr>
      </w:pPr>
      <w:hyperlink w:anchor="_Toc213233909" w:history="1">
        <w:r w:rsidRPr="009D1774">
          <w:rPr>
            <w:rStyle w:val="Hyperlink"/>
            <w:noProof/>
          </w:rPr>
          <w:t>Foreword by the Minister for Small Business and Employment</w:t>
        </w:r>
        <w:r>
          <w:rPr>
            <w:noProof/>
            <w:webHidden/>
          </w:rPr>
          <w:tab/>
        </w:r>
        <w:r>
          <w:rPr>
            <w:noProof/>
            <w:webHidden/>
          </w:rPr>
          <w:fldChar w:fldCharType="begin"/>
        </w:r>
        <w:r>
          <w:rPr>
            <w:noProof/>
            <w:webHidden/>
          </w:rPr>
          <w:instrText xml:space="preserve"> PAGEREF _Toc213233909 \h </w:instrText>
        </w:r>
        <w:r>
          <w:rPr>
            <w:noProof/>
            <w:webHidden/>
          </w:rPr>
        </w:r>
        <w:r>
          <w:rPr>
            <w:noProof/>
            <w:webHidden/>
          </w:rPr>
          <w:fldChar w:fldCharType="separate"/>
        </w:r>
        <w:r>
          <w:rPr>
            <w:noProof/>
            <w:webHidden/>
          </w:rPr>
          <w:t>4</w:t>
        </w:r>
        <w:r>
          <w:rPr>
            <w:noProof/>
            <w:webHidden/>
          </w:rPr>
          <w:fldChar w:fldCharType="end"/>
        </w:r>
      </w:hyperlink>
    </w:p>
    <w:p w14:paraId="70C087CB" w14:textId="29C4EB93" w:rsidR="00F77C72" w:rsidRDefault="00F77C72">
      <w:pPr>
        <w:pStyle w:val="TOC1"/>
        <w:rPr>
          <w:rFonts w:asciiTheme="minorHAnsi" w:eastAsiaTheme="minorEastAsia" w:hAnsiTheme="minorHAnsi" w:cstheme="minorBidi"/>
          <w:b w:val="0"/>
          <w:noProof/>
          <w:kern w:val="2"/>
          <w:szCs w:val="24"/>
          <w:lang w:eastAsia="en-GB"/>
          <w14:ligatures w14:val="standardContextual"/>
        </w:rPr>
      </w:pPr>
      <w:hyperlink w:anchor="_Toc213233910" w:history="1">
        <w:r w:rsidRPr="009D1774">
          <w:rPr>
            <w:rStyle w:val="Hyperlink"/>
            <w:noProof/>
          </w:rPr>
          <w:t>1.</w:t>
        </w:r>
        <w:r>
          <w:rPr>
            <w:rFonts w:asciiTheme="minorHAnsi" w:eastAsiaTheme="minorEastAsia" w:hAnsiTheme="minorHAnsi" w:cstheme="minorBidi"/>
            <w:b w:val="0"/>
            <w:noProof/>
            <w:kern w:val="2"/>
            <w:szCs w:val="24"/>
            <w:lang w:eastAsia="en-GB"/>
            <w14:ligatures w14:val="standardContextual"/>
          </w:rPr>
          <w:tab/>
        </w:r>
        <w:r w:rsidRPr="009D1774">
          <w:rPr>
            <w:rStyle w:val="Hyperlink"/>
            <w:noProof/>
          </w:rPr>
          <w:t>About Local Jobs First</w:t>
        </w:r>
        <w:r>
          <w:rPr>
            <w:noProof/>
            <w:webHidden/>
          </w:rPr>
          <w:tab/>
        </w:r>
        <w:r>
          <w:rPr>
            <w:noProof/>
            <w:webHidden/>
          </w:rPr>
          <w:fldChar w:fldCharType="begin"/>
        </w:r>
        <w:r>
          <w:rPr>
            <w:noProof/>
            <w:webHidden/>
          </w:rPr>
          <w:instrText xml:space="preserve"> PAGEREF _Toc213233910 \h </w:instrText>
        </w:r>
        <w:r>
          <w:rPr>
            <w:noProof/>
            <w:webHidden/>
          </w:rPr>
        </w:r>
        <w:r>
          <w:rPr>
            <w:noProof/>
            <w:webHidden/>
          </w:rPr>
          <w:fldChar w:fldCharType="separate"/>
        </w:r>
        <w:r>
          <w:rPr>
            <w:noProof/>
            <w:webHidden/>
          </w:rPr>
          <w:t>6</w:t>
        </w:r>
        <w:r>
          <w:rPr>
            <w:noProof/>
            <w:webHidden/>
          </w:rPr>
          <w:fldChar w:fldCharType="end"/>
        </w:r>
      </w:hyperlink>
    </w:p>
    <w:p w14:paraId="25267347" w14:textId="21ABB117" w:rsidR="00F77C72" w:rsidRDefault="00F77C72">
      <w:pPr>
        <w:pStyle w:val="TOC1"/>
        <w:rPr>
          <w:rFonts w:asciiTheme="minorHAnsi" w:eastAsiaTheme="minorEastAsia" w:hAnsiTheme="minorHAnsi" w:cstheme="minorBidi"/>
          <w:b w:val="0"/>
          <w:noProof/>
          <w:kern w:val="2"/>
          <w:szCs w:val="24"/>
          <w:lang w:eastAsia="en-GB"/>
          <w14:ligatures w14:val="standardContextual"/>
        </w:rPr>
      </w:pPr>
      <w:hyperlink w:anchor="_Toc213233911" w:history="1">
        <w:r w:rsidRPr="009D1774">
          <w:rPr>
            <w:rStyle w:val="Hyperlink"/>
            <w:noProof/>
          </w:rPr>
          <w:t>2.</w:t>
        </w:r>
        <w:r>
          <w:rPr>
            <w:rFonts w:asciiTheme="minorHAnsi" w:eastAsiaTheme="minorEastAsia" w:hAnsiTheme="minorHAnsi" w:cstheme="minorBidi"/>
            <w:b w:val="0"/>
            <w:noProof/>
            <w:kern w:val="2"/>
            <w:szCs w:val="24"/>
            <w:lang w:eastAsia="en-GB"/>
            <w14:ligatures w14:val="standardContextual"/>
          </w:rPr>
          <w:tab/>
        </w:r>
        <w:r w:rsidRPr="009D1774">
          <w:rPr>
            <w:rStyle w:val="Hyperlink"/>
            <w:noProof/>
          </w:rPr>
          <w:t>Local Jobs First Implementation Functions</w:t>
        </w:r>
        <w:r>
          <w:rPr>
            <w:noProof/>
            <w:webHidden/>
          </w:rPr>
          <w:tab/>
        </w:r>
        <w:r>
          <w:rPr>
            <w:noProof/>
            <w:webHidden/>
          </w:rPr>
          <w:fldChar w:fldCharType="begin"/>
        </w:r>
        <w:r>
          <w:rPr>
            <w:noProof/>
            <w:webHidden/>
          </w:rPr>
          <w:instrText xml:space="preserve"> PAGEREF _Toc213233911 \h </w:instrText>
        </w:r>
        <w:r>
          <w:rPr>
            <w:noProof/>
            <w:webHidden/>
          </w:rPr>
        </w:r>
        <w:r>
          <w:rPr>
            <w:noProof/>
            <w:webHidden/>
          </w:rPr>
          <w:fldChar w:fldCharType="separate"/>
        </w:r>
        <w:r>
          <w:rPr>
            <w:noProof/>
            <w:webHidden/>
          </w:rPr>
          <w:t>13</w:t>
        </w:r>
        <w:r>
          <w:rPr>
            <w:noProof/>
            <w:webHidden/>
          </w:rPr>
          <w:fldChar w:fldCharType="end"/>
        </w:r>
      </w:hyperlink>
    </w:p>
    <w:p w14:paraId="4F21406F" w14:textId="1B52E0E3"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12" w:history="1">
        <w:r w:rsidRPr="009D1774">
          <w:rPr>
            <w:rStyle w:val="Hyperlink"/>
            <w:noProof/>
          </w:rPr>
          <w:t>2.1.</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Local Jobs First Commissioner</w:t>
        </w:r>
        <w:r>
          <w:rPr>
            <w:noProof/>
            <w:webHidden/>
          </w:rPr>
          <w:tab/>
        </w:r>
        <w:r>
          <w:rPr>
            <w:noProof/>
            <w:webHidden/>
          </w:rPr>
          <w:fldChar w:fldCharType="begin"/>
        </w:r>
        <w:r>
          <w:rPr>
            <w:noProof/>
            <w:webHidden/>
          </w:rPr>
          <w:instrText xml:space="preserve"> PAGEREF _Toc213233912 \h </w:instrText>
        </w:r>
        <w:r>
          <w:rPr>
            <w:noProof/>
            <w:webHidden/>
          </w:rPr>
        </w:r>
        <w:r>
          <w:rPr>
            <w:noProof/>
            <w:webHidden/>
          </w:rPr>
          <w:fldChar w:fldCharType="separate"/>
        </w:r>
        <w:r>
          <w:rPr>
            <w:noProof/>
            <w:webHidden/>
          </w:rPr>
          <w:t>13</w:t>
        </w:r>
        <w:r>
          <w:rPr>
            <w:noProof/>
            <w:webHidden/>
          </w:rPr>
          <w:fldChar w:fldCharType="end"/>
        </w:r>
      </w:hyperlink>
    </w:p>
    <w:p w14:paraId="49B1D3C4" w14:textId="2D6F0E1B"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13" w:history="1">
        <w:r w:rsidRPr="009D1774">
          <w:rPr>
            <w:rStyle w:val="Hyperlink"/>
            <w:noProof/>
          </w:rPr>
          <w:t>2.2.</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Message from the Local Jobs First Commissioner</w:t>
        </w:r>
        <w:r>
          <w:rPr>
            <w:noProof/>
            <w:webHidden/>
          </w:rPr>
          <w:tab/>
        </w:r>
        <w:r>
          <w:rPr>
            <w:noProof/>
            <w:webHidden/>
          </w:rPr>
          <w:fldChar w:fldCharType="begin"/>
        </w:r>
        <w:r>
          <w:rPr>
            <w:noProof/>
            <w:webHidden/>
          </w:rPr>
          <w:instrText xml:space="preserve"> PAGEREF _Toc213233913 \h </w:instrText>
        </w:r>
        <w:r>
          <w:rPr>
            <w:noProof/>
            <w:webHidden/>
          </w:rPr>
        </w:r>
        <w:r>
          <w:rPr>
            <w:noProof/>
            <w:webHidden/>
          </w:rPr>
          <w:fldChar w:fldCharType="separate"/>
        </w:r>
        <w:r>
          <w:rPr>
            <w:noProof/>
            <w:webHidden/>
          </w:rPr>
          <w:t>13</w:t>
        </w:r>
        <w:r>
          <w:rPr>
            <w:noProof/>
            <w:webHidden/>
          </w:rPr>
          <w:fldChar w:fldCharType="end"/>
        </w:r>
      </w:hyperlink>
    </w:p>
    <w:p w14:paraId="4615E031" w14:textId="0945953A"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14" w:history="1">
        <w:r w:rsidRPr="009D1774">
          <w:rPr>
            <w:rStyle w:val="Hyperlink"/>
            <w:noProof/>
          </w:rPr>
          <w:t>2.3.</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Department of Jobs, Skills, Industry and Regions</w:t>
        </w:r>
        <w:r>
          <w:rPr>
            <w:noProof/>
            <w:webHidden/>
          </w:rPr>
          <w:tab/>
        </w:r>
        <w:r>
          <w:rPr>
            <w:noProof/>
            <w:webHidden/>
          </w:rPr>
          <w:fldChar w:fldCharType="begin"/>
        </w:r>
        <w:r>
          <w:rPr>
            <w:noProof/>
            <w:webHidden/>
          </w:rPr>
          <w:instrText xml:space="preserve"> PAGEREF _Toc213233914 \h </w:instrText>
        </w:r>
        <w:r>
          <w:rPr>
            <w:noProof/>
            <w:webHidden/>
          </w:rPr>
        </w:r>
        <w:r>
          <w:rPr>
            <w:noProof/>
            <w:webHidden/>
          </w:rPr>
          <w:fldChar w:fldCharType="separate"/>
        </w:r>
        <w:r>
          <w:rPr>
            <w:noProof/>
            <w:webHidden/>
          </w:rPr>
          <w:t>14</w:t>
        </w:r>
        <w:r>
          <w:rPr>
            <w:noProof/>
            <w:webHidden/>
          </w:rPr>
          <w:fldChar w:fldCharType="end"/>
        </w:r>
      </w:hyperlink>
    </w:p>
    <w:p w14:paraId="50469769" w14:textId="729B43EC"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15" w:history="1">
        <w:r w:rsidRPr="009D1774">
          <w:rPr>
            <w:rStyle w:val="Hyperlink"/>
            <w:noProof/>
          </w:rPr>
          <w:t>2.4.</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Industry Capability Network (ICN) Victoria</w:t>
        </w:r>
        <w:r>
          <w:rPr>
            <w:noProof/>
            <w:webHidden/>
          </w:rPr>
          <w:tab/>
        </w:r>
        <w:r>
          <w:rPr>
            <w:noProof/>
            <w:webHidden/>
          </w:rPr>
          <w:fldChar w:fldCharType="begin"/>
        </w:r>
        <w:r>
          <w:rPr>
            <w:noProof/>
            <w:webHidden/>
          </w:rPr>
          <w:instrText xml:space="preserve"> PAGEREF _Toc213233915 \h </w:instrText>
        </w:r>
        <w:r>
          <w:rPr>
            <w:noProof/>
            <w:webHidden/>
          </w:rPr>
        </w:r>
        <w:r>
          <w:rPr>
            <w:noProof/>
            <w:webHidden/>
          </w:rPr>
          <w:fldChar w:fldCharType="separate"/>
        </w:r>
        <w:r>
          <w:rPr>
            <w:noProof/>
            <w:webHidden/>
          </w:rPr>
          <w:t>15</w:t>
        </w:r>
        <w:r>
          <w:rPr>
            <w:noProof/>
            <w:webHidden/>
          </w:rPr>
          <w:fldChar w:fldCharType="end"/>
        </w:r>
      </w:hyperlink>
    </w:p>
    <w:p w14:paraId="3F2B684B" w14:textId="41513F8F" w:rsidR="00F77C72" w:rsidRDefault="00F77C72">
      <w:pPr>
        <w:pStyle w:val="TOC1"/>
        <w:rPr>
          <w:rFonts w:asciiTheme="minorHAnsi" w:eastAsiaTheme="minorEastAsia" w:hAnsiTheme="minorHAnsi" w:cstheme="minorBidi"/>
          <w:b w:val="0"/>
          <w:noProof/>
          <w:kern w:val="2"/>
          <w:szCs w:val="24"/>
          <w:lang w:eastAsia="en-GB"/>
          <w14:ligatures w14:val="standardContextual"/>
        </w:rPr>
      </w:pPr>
      <w:hyperlink w:anchor="_Toc213233916" w:history="1">
        <w:r w:rsidRPr="009D1774">
          <w:rPr>
            <w:rStyle w:val="Hyperlink"/>
            <w:noProof/>
          </w:rPr>
          <w:t>3.</w:t>
        </w:r>
        <w:r>
          <w:rPr>
            <w:rFonts w:asciiTheme="minorHAnsi" w:eastAsiaTheme="minorEastAsia" w:hAnsiTheme="minorHAnsi" w:cstheme="minorBidi"/>
            <w:b w:val="0"/>
            <w:noProof/>
            <w:kern w:val="2"/>
            <w:szCs w:val="24"/>
            <w:lang w:eastAsia="en-GB"/>
            <w14:ligatures w14:val="standardContextual"/>
          </w:rPr>
          <w:tab/>
        </w:r>
        <w:r w:rsidRPr="009D1774">
          <w:rPr>
            <w:rStyle w:val="Hyperlink"/>
            <w:noProof/>
          </w:rPr>
          <w:t>Local Jobs First Key Activities and Impact: 2024-25</w:t>
        </w:r>
        <w:r>
          <w:rPr>
            <w:noProof/>
            <w:webHidden/>
          </w:rPr>
          <w:tab/>
        </w:r>
        <w:r>
          <w:rPr>
            <w:noProof/>
            <w:webHidden/>
          </w:rPr>
          <w:fldChar w:fldCharType="begin"/>
        </w:r>
        <w:r>
          <w:rPr>
            <w:noProof/>
            <w:webHidden/>
          </w:rPr>
          <w:instrText xml:space="preserve"> PAGEREF _Toc213233916 \h </w:instrText>
        </w:r>
        <w:r>
          <w:rPr>
            <w:noProof/>
            <w:webHidden/>
          </w:rPr>
        </w:r>
        <w:r>
          <w:rPr>
            <w:noProof/>
            <w:webHidden/>
          </w:rPr>
          <w:fldChar w:fldCharType="separate"/>
        </w:r>
        <w:r>
          <w:rPr>
            <w:noProof/>
            <w:webHidden/>
          </w:rPr>
          <w:t>17</w:t>
        </w:r>
        <w:r>
          <w:rPr>
            <w:noProof/>
            <w:webHidden/>
          </w:rPr>
          <w:fldChar w:fldCharType="end"/>
        </w:r>
      </w:hyperlink>
    </w:p>
    <w:p w14:paraId="7F4CD438" w14:textId="506290FB"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17" w:history="1">
        <w:r w:rsidRPr="009D1774">
          <w:rPr>
            <w:rStyle w:val="Hyperlink"/>
            <w:noProof/>
          </w:rPr>
          <w:t>3.1.</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Strategic Projects</w:t>
        </w:r>
        <w:r>
          <w:rPr>
            <w:noProof/>
            <w:webHidden/>
          </w:rPr>
          <w:tab/>
        </w:r>
        <w:r>
          <w:rPr>
            <w:noProof/>
            <w:webHidden/>
          </w:rPr>
          <w:fldChar w:fldCharType="begin"/>
        </w:r>
        <w:r>
          <w:rPr>
            <w:noProof/>
            <w:webHidden/>
          </w:rPr>
          <w:instrText xml:space="preserve"> PAGEREF _Toc213233917 \h </w:instrText>
        </w:r>
        <w:r>
          <w:rPr>
            <w:noProof/>
            <w:webHidden/>
          </w:rPr>
        </w:r>
        <w:r>
          <w:rPr>
            <w:noProof/>
            <w:webHidden/>
          </w:rPr>
          <w:fldChar w:fldCharType="separate"/>
        </w:r>
        <w:r>
          <w:rPr>
            <w:noProof/>
            <w:webHidden/>
          </w:rPr>
          <w:t>17</w:t>
        </w:r>
        <w:r>
          <w:rPr>
            <w:noProof/>
            <w:webHidden/>
          </w:rPr>
          <w:fldChar w:fldCharType="end"/>
        </w:r>
      </w:hyperlink>
    </w:p>
    <w:p w14:paraId="4176536B" w14:textId="4AF3EC09"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18" w:history="1">
        <w:r w:rsidRPr="009D1774">
          <w:rPr>
            <w:rStyle w:val="Hyperlink"/>
            <w:noProof/>
          </w:rPr>
          <w:t>3.2.</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Standard Projects</w:t>
        </w:r>
        <w:r>
          <w:rPr>
            <w:noProof/>
            <w:webHidden/>
          </w:rPr>
          <w:tab/>
        </w:r>
        <w:r>
          <w:rPr>
            <w:noProof/>
            <w:webHidden/>
          </w:rPr>
          <w:fldChar w:fldCharType="begin"/>
        </w:r>
        <w:r>
          <w:rPr>
            <w:noProof/>
            <w:webHidden/>
          </w:rPr>
          <w:instrText xml:space="preserve"> PAGEREF _Toc213233918 \h </w:instrText>
        </w:r>
        <w:r>
          <w:rPr>
            <w:noProof/>
            <w:webHidden/>
          </w:rPr>
        </w:r>
        <w:r>
          <w:rPr>
            <w:noProof/>
            <w:webHidden/>
          </w:rPr>
          <w:fldChar w:fldCharType="separate"/>
        </w:r>
        <w:r>
          <w:rPr>
            <w:noProof/>
            <w:webHidden/>
          </w:rPr>
          <w:t>17</w:t>
        </w:r>
        <w:r>
          <w:rPr>
            <w:noProof/>
            <w:webHidden/>
          </w:rPr>
          <w:fldChar w:fldCharType="end"/>
        </w:r>
      </w:hyperlink>
    </w:p>
    <w:p w14:paraId="736AF913" w14:textId="0B587032"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19" w:history="1">
        <w:r w:rsidRPr="009D1774">
          <w:rPr>
            <w:rStyle w:val="Hyperlink"/>
            <w:noProof/>
          </w:rPr>
          <w:t>3.3.</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Commenced Projects</w:t>
        </w:r>
        <w:r>
          <w:rPr>
            <w:noProof/>
            <w:webHidden/>
          </w:rPr>
          <w:tab/>
        </w:r>
        <w:r>
          <w:rPr>
            <w:noProof/>
            <w:webHidden/>
          </w:rPr>
          <w:fldChar w:fldCharType="begin"/>
        </w:r>
        <w:r>
          <w:rPr>
            <w:noProof/>
            <w:webHidden/>
          </w:rPr>
          <w:instrText xml:space="preserve"> PAGEREF _Toc213233919 \h </w:instrText>
        </w:r>
        <w:r>
          <w:rPr>
            <w:noProof/>
            <w:webHidden/>
          </w:rPr>
        </w:r>
        <w:r>
          <w:rPr>
            <w:noProof/>
            <w:webHidden/>
          </w:rPr>
          <w:fldChar w:fldCharType="separate"/>
        </w:r>
        <w:r>
          <w:rPr>
            <w:noProof/>
            <w:webHidden/>
          </w:rPr>
          <w:t>21</w:t>
        </w:r>
        <w:r>
          <w:rPr>
            <w:noProof/>
            <w:webHidden/>
          </w:rPr>
          <w:fldChar w:fldCharType="end"/>
        </w:r>
      </w:hyperlink>
    </w:p>
    <w:p w14:paraId="69E2397F" w14:textId="34205F68"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20" w:history="1">
        <w:r w:rsidRPr="009D1774">
          <w:rPr>
            <w:rStyle w:val="Hyperlink"/>
            <w:noProof/>
          </w:rPr>
          <w:t>3.4.</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Completed Projects</w:t>
        </w:r>
        <w:r>
          <w:rPr>
            <w:noProof/>
            <w:webHidden/>
          </w:rPr>
          <w:tab/>
        </w:r>
        <w:r>
          <w:rPr>
            <w:noProof/>
            <w:webHidden/>
          </w:rPr>
          <w:fldChar w:fldCharType="begin"/>
        </w:r>
        <w:r>
          <w:rPr>
            <w:noProof/>
            <w:webHidden/>
          </w:rPr>
          <w:instrText xml:space="preserve"> PAGEREF _Toc213233920 \h </w:instrText>
        </w:r>
        <w:r>
          <w:rPr>
            <w:noProof/>
            <w:webHidden/>
          </w:rPr>
        </w:r>
        <w:r>
          <w:rPr>
            <w:noProof/>
            <w:webHidden/>
          </w:rPr>
          <w:fldChar w:fldCharType="separate"/>
        </w:r>
        <w:r>
          <w:rPr>
            <w:noProof/>
            <w:webHidden/>
          </w:rPr>
          <w:t>21</w:t>
        </w:r>
        <w:r>
          <w:rPr>
            <w:noProof/>
            <w:webHidden/>
          </w:rPr>
          <w:fldChar w:fldCharType="end"/>
        </w:r>
      </w:hyperlink>
    </w:p>
    <w:p w14:paraId="26C4B70C" w14:textId="5F58A843"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21" w:history="1">
        <w:r w:rsidRPr="009D1774">
          <w:rPr>
            <w:rStyle w:val="Hyperlink"/>
            <w:noProof/>
          </w:rPr>
          <w:t>3.5.</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Major Projects Skills Guarantee</w:t>
        </w:r>
        <w:r>
          <w:rPr>
            <w:noProof/>
            <w:webHidden/>
          </w:rPr>
          <w:tab/>
        </w:r>
        <w:r>
          <w:rPr>
            <w:noProof/>
            <w:webHidden/>
          </w:rPr>
          <w:fldChar w:fldCharType="begin"/>
        </w:r>
        <w:r>
          <w:rPr>
            <w:noProof/>
            <w:webHidden/>
          </w:rPr>
          <w:instrText xml:space="preserve"> PAGEREF _Toc213233921 \h </w:instrText>
        </w:r>
        <w:r>
          <w:rPr>
            <w:noProof/>
            <w:webHidden/>
          </w:rPr>
        </w:r>
        <w:r>
          <w:rPr>
            <w:noProof/>
            <w:webHidden/>
          </w:rPr>
          <w:fldChar w:fldCharType="separate"/>
        </w:r>
        <w:r>
          <w:rPr>
            <w:noProof/>
            <w:webHidden/>
          </w:rPr>
          <w:t>22</w:t>
        </w:r>
        <w:r>
          <w:rPr>
            <w:noProof/>
            <w:webHidden/>
          </w:rPr>
          <w:fldChar w:fldCharType="end"/>
        </w:r>
      </w:hyperlink>
    </w:p>
    <w:p w14:paraId="63AF0F24" w14:textId="046709C7"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22" w:history="1">
        <w:r w:rsidRPr="009D1774">
          <w:rPr>
            <w:rStyle w:val="Hyperlink"/>
            <w:noProof/>
          </w:rPr>
          <w:t>3.6.</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Local Industry Development Plans</w:t>
        </w:r>
        <w:r>
          <w:rPr>
            <w:noProof/>
            <w:webHidden/>
          </w:rPr>
          <w:tab/>
        </w:r>
        <w:r>
          <w:rPr>
            <w:noProof/>
            <w:webHidden/>
          </w:rPr>
          <w:fldChar w:fldCharType="begin"/>
        </w:r>
        <w:r>
          <w:rPr>
            <w:noProof/>
            <w:webHidden/>
          </w:rPr>
          <w:instrText xml:space="preserve"> PAGEREF _Toc213233922 \h </w:instrText>
        </w:r>
        <w:r>
          <w:rPr>
            <w:noProof/>
            <w:webHidden/>
          </w:rPr>
        </w:r>
        <w:r>
          <w:rPr>
            <w:noProof/>
            <w:webHidden/>
          </w:rPr>
          <w:fldChar w:fldCharType="separate"/>
        </w:r>
        <w:r>
          <w:rPr>
            <w:noProof/>
            <w:webHidden/>
          </w:rPr>
          <w:t>22</w:t>
        </w:r>
        <w:r>
          <w:rPr>
            <w:noProof/>
            <w:webHidden/>
          </w:rPr>
          <w:fldChar w:fldCharType="end"/>
        </w:r>
      </w:hyperlink>
    </w:p>
    <w:p w14:paraId="4DE4B25E" w14:textId="0861282C"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23" w:history="1">
        <w:r w:rsidRPr="009D1774">
          <w:rPr>
            <w:rStyle w:val="Hyperlink"/>
            <w:noProof/>
          </w:rPr>
          <w:t>3.7.</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Grants</w:t>
        </w:r>
        <w:r>
          <w:rPr>
            <w:noProof/>
            <w:webHidden/>
          </w:rPr>
          <w:tab/>
        </w:r>
        <w:r>
          <w:rPr>
            <w:noProof/>
            <w:webHidden/>
          </w:rPr>
          <w:fldChar w:fldCharType="begin"/>
        </w:r>
        <w:r>
          <w:rPr>
            <w:noProof/>
            <w:webHidden/>
          </w:rPr>
          <w:instrText xml:space="preserve"> PAGEREF _Toc213233923 \h </w:instrText>
        </w:r>
        <w:r>
          <w:rPr>
            <w:noProof/>
            <w:webHidden/>
          </w:rPr>
        </w:r>
        <w:r>
          <w:rPr>
            <w:noProof/>
            <w:webHidden/>
          </w:rPr>
          <w:fldChar w:fldCharType="separate"/>
        </w:r>
        <w:r>
          <w:rPr>
            <w:noProof/>
            <w:webHidden/>
          </w:rPr>
          <w:t>22</w:t>
        </w:r>
        <w:r>
          <w:rPr>
            <w:noProof/>
            <w:webHidden/>
          </w:rPr>
          <w:fldChar w:fldCharType="end"/>
        </w:r>
      </w:hyperlink>
    </w:p>
    <w:p w14:paraId="599B9544" w14:textId="73FF33F4"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24" w:history="1">
        <w:r w:rsidRPr="009D1774">
          <w:rPr>
            <w:rStyle w:val="Hyperlink"/>
            <w:noProof/>
          </w:rPr>
          <w:t>3.8.</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Exemptions</w:t>
        </w:r>
        <w:r>
          <w:rPr>
            <w:noProof/>
            <w:webHidden/>
          </w:rPr>
          <w:tab/>
        </w:r>
        <w:r>
          <w:rPr>
            <w:noProof/>
            <w:webHidden/>
          </w:rPr>
          <w:fldChar w:fldCharType="begin"/>
        </w:r>
        <w:r>
          <w:rPr>
            <w:noProof/>
            <w:webHidden/>
          </w:rPr>
          <w:instrText xml:space="preserve"> PAGEREF _Toc213233924 \h </w:instrText>
        </w:r>
        <w:r>
          <w:rPr>
            <w:noProof/>
            <w:webHidden/>
          </w:rPr>
        </w:r>
        <w:r>
          <w:rPr>
            <w:noProof/>
            <w:webHidden/>
          </w:rPr>
          <w:fldChar w:fldCharType="separate"/>
        </w:r>
        <w:r>
          <w:rPr>
            <w:noProof/>
            <w:webHidden/>
          </w:rPr>
          <w:t>23</w:t>
        </w:r>
        <w:r>
          <w:rPr>
            <w:noProof/>
            <w:webHidden/>
          </w:rPr>
          <w:fldChar w:fldCharType="end"/>
        </w:r>
      </w:hyperlink>
    </w:p>
    <w:p w14:paraId="40BA38BB" w14:textId="5C8F7983" w:rsidR="00F77C72" w:rsidRDefault="00F77C72">
      <w:pPr>
        <w:pStyle w:val="TOC1"/>
        <w:rPr>
          <w:rFonts w:asciiTheme="minorHAnsi" w:eastAsiaTheme="minorEastAsia" w:hAnsiTheme="minorHAnsi" w:cstheme="minorBidi"/>
          <w:b w:val="0"/>
          <w:noProof/>
          <w:kern w:val="2"/>
          <w:szCs w:val="24"/>
          <w:lang w:eastAsia="en-GB"/>
          <w14:ligatures w14:val="standardContextual"/>
        </w:rPr>
      </w:pPr>
      <w:hyperlink w:anchor="_Toc213233925" w:history="1">
        <w:r w:rsidRPr="009D1774">
          <w:rPr>
            <w:rStyle w:val="Hyperlink"/>
            <w:noProof/>
          </w:rPr>
          <w:t>4.</w:t>
        </w:r>
        <w:r>
          <w:rPr>
            <w:rFonts w:asciiTheme="minorHAnsi" w:eastAsiaTheme="minorEastAsia" w:hAnsiTheme="minorHAnsi" w:cstheme="minorBidi"/>
            <w:b w:val="0"/>
            <w:noProof/>
            <w:kern w:val="2"/>
            <w:szCs w:val="24"/>
            <w:lang w:eastAsia="en-GB"/>
            <w14:ligatures w14:val="standardContextual"/>
          </w:rPr>
          <w:tab/>
        </w:r>
        <w:r w:rsidRPr="009D1774">
          <w:rPr>
            <w:rStyle w:val="Hyperlink"/>
            <w:noProof/>
          </w:rPr>
          <w:t>Local Jobs First Approach and Insights</w:t>
        </w:r>
        <w:r>
          <w:rPr>
            <w:noProof/>
            <w:webHidden/>
          </w:rPr>
          <w:tab/>
        </w:r>
        <w:r>
          <w:rPr>
            <w:noProof/>
            <w:webHidden/>
          </w:rPr>
          <w:fldChar w:fldCharType="begin"/>
        </w:r>
        <w:r>
          <w:rPr>
            <w:noProof/>
            <w:webHidden/>
          </w:rPr>
          <w:instrText xml:space="preserve"> PAGEREF _Toc213233925 \h </w:instrText>
        </w:r>
        <w:r>
          <w:rPr>
            <w:noProof/>
            <w:webHidden/>
          </w:rPr>
        </w:r>
        <w:r>
          <w:rPr>
            <w:noProof/>
            <w:webHidden/>
          </w:rPr>
          <w:fldChar w:fldCharType="separate"/>
        </w:r>
        <w:r>
          <w:rPr>
            <w:noProof/>
            <w:webHidden/>
          </w:rPr>
          <w:t>26</w:t>
        </w:r>
        <w:r>
          <w:rPr>
            <w:noProof/>
            <w:webHidden/>
          </w:rPr>
          <w:fldChar w:fldCharType="end"/>
        </w:r>
      </w:hyperlink>
    </w:p>
    <w:p w14:paraId="431F2E68" w14:textId="2BC1B41F"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26" w:history="1">
        <w:r w:rsidRPr="009D1774">
          <w:rPr>
            <w:rStyle w:val="Hyperlink"/>
            <w:noProof/>
          </w:rPr>
          <w:t>4.1.</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Local Jobs First Requirements set for Strategic Projects</w:t>
        </w:r>
        <w:r>
          <w:rPr>
            <w:noProof/>
            <w:webHidden/>
          </w:rPr>
          <w:tab/>
        </w:r>
        <w:r>
          <w:rPr>
            <w:noProof/>
            <w:webHidden/>
          </w:rPr>
          <w:fldChar w:fldCharType="begin"/>
        </w:r>
        <w:r>
          <w:rPr>
            <w:noProof/>
            <w:webHidden/>
          </w:rPr>
          <w:instrText xml:space="preserve"> PAGEREF _Toc213233926 \h </w:instrText>
        </w:r>
        <w:r>
          <w:rPr>
            <w:noProof/>
            <w:webHidden/>
          </w:rPr>
        </w:r>
        <w:r>
          <w:rPr>
            <w:noProof/>
            <w:webHidden/>
          </w:rPr>
          <w:fldChar w:fldCharType="separate"/>
        </w:r>
        <w:r>
          <w:rPr>
            <w:noProof/>
            <w:webHidden/>
          </w:rPr>
          <w:t>26</w:t>
        </w:r>
        <w:r>
          <w:rPr>
            <w:noProof/>
            <w:webHidden/>
          </w:rPr>
          <w:fldChar w:fldCharType="end"/>
        </w:r>
      </w:hyperlink>
    </w:p>
    <w:p w14:paraId="1E4428C5" w14:textId="2F68EED7"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27" w:history="1">
        <w:r w:rsidRPr="009D1774">
          <w:rPr>
            <w:rStyle w:val="Hyperlink"/>
            <w:noProof/>
          </w:rPr>
          <w:t>4.2.</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Additional Requirements set for Strategic Projects</w:t>
        </w:r>
        <w:r>
          <w:rPr>
            <w:noProof/>
            <w:webHidden/>
          </w:rPr>
          <w:tab/>
        </w:r>
        <w:r>
          <w:rPr>
            <w:noProof/>
            <w:webHidden/>
          </w:rPr>
          <w:fldChar w:fldCharType="begin"/>
        </w:r>
        <w:r>
          <w:rPr>
            <w:noProof/>
            <w:webHidden/>
          </w:rPr>
          <w:instrText xml:space="preserve"> PAGEREF _Toc213233927 \h </w:instrText>
        </w:r>
        <w:r>
          <w:rPr>
            <w:noProof/>
            <w:webHidden/>
          </w:rPr>
        </w:r>
        <w:r>
          <w:rPr>
            <w:noProof/>
            <w:webHidden/>
          </w:rPr>
          <w:fldChar w:fldCharType="separate"/>
        </w:r>
        <w:r>
          <w:rPr>
            <w:noProof/>
            <w:webHidden/>
          </w:rPr>
          <w:t>26</w:t>
        </w:r>
        <w:r>
          <w:rPr>
            <w:noProof/>
            <w:webHidden/>
          </w:rPr>
          <w:fldChar w:fldCharType="end"/>
        </w:r>
      </w:hyperlink>
    </w:p>
    <w:p w14:paraId="37DCD101" w14:textId="6963B7CE" w:rsidR="00F77C72" w:rsidRDefault="00F77C72">
      <w:pPr>
        <w:pStyle w:val="TOC2"/>
        <w:rPr>
          <w:rFonts w:asciiTheme="minorHAnsi" w:eastAsiaTheme="minorEastAsia" w:hAnsiTheme="minorHAnsi" w:cstheme="minorBidi"/>
          <w:noProof/>
          <w:kern w:val="2"/>
          <w:szCs w:val="24"/>
          <w:lang w:eastAsia="en-GB"/>
          <w14:ligatures w14:val="standardContextual"/>
        </w:rPr>
      </w:pPr>
      <w:hyperlink w:anchor="_Toc213233928" w:history="1">
        <w:r w:rsidRPr="009D1774">
          <w:rPr>
            <w:rStyle w:val="Hyperlink"/>
            <w:noProof/>
          </w:rPr>
          <w:t>4.3.</w:t>
        </w:r>
        <w:r>
          <w:rPr>
            <w:rFonts w:asciiTheme="minorHAnsi" w:eastAsiaTheme="minorEastAsia" w:hAnsiTheme="minorHAnsi" w:cstheme="minorBidi"/>
            <w:noProof/>
            <w:kern w:val="2"/>
            <w:szCs w:val="24"/>
            <w:lang w:eastAsia="en-GB"/>
            <w14:ligatures w14:val="standardContextual"/>
          </w:rPr>
          <w:tab/>
        </w:r>
        <w:r w:rsidRPr="009D1774">
          <w:rPr>
            <w:rStyle w:val="Hyperlink"/>
            <w:noProof/>
          </w:rPr>
          <w:t>Approach to Standard Projects</w:t>
        </w:r>
        <w:r>
          <w:rPr>
            <w:noProof/>
            <w:webHidden/>
          </w:rPr>
          <w:tab/>
        </w:r>
        <w:r>
          <w:rPr>
            <w:noProof/>
            <w:webHidden/>
          </w:rPr>
          <w:fldChar w:fldCharType="begin"/>
        </w:r>
        <w:r>
          <w:rPr>
            <w:noProof/>
            <w:webHidden/>
          </w:rPr>
          <w:instrText xml:space="preserve"> PAGEREF _Toc213233928 \h </w:instrText>
        </w:r>
        <w:r>
          <w:rPr>
            <w:noProof/>
            <w:webHidden/>
          </w:rPr>
        </w:r>
        <w:r>
          <w:rPr>
            <w:noProof/>
            <w:webHidden/>
          </w:rPr>
          <w:fldChar w:fldCharType="separate"/>
        </w:r>
        <w:r>
          <w:rPr>
            <w:noProof/>
            <w:webHidden/>
          </w:rPr>
          <w:t>30</w:t>
        </w:r>
        <w:r>
          <w:rPr>
            <w:noProof/>
            <w:webHidden/>
          </w:rPr>
          <w:fldChar w:fldCharType="end"/>
        </w:r>
      </w:hyperlink>
    </w:p>
    <w:p w14:paraId="2D4AD91F" w14:textId="62AC2CBE" w:rsidR="00F77C72" w:rsidRDefault="00F77C72">
      <w:pPr>
        <w:pStyle w:val="TOC1"/>
        <w:rPr>
          <w:rFonts w:asciiTheme="minorHAnsi" w:eastAsiaTheme="minorEastAsia" w:hAnsiTheme="minorHAnsi" w:cstheme="minorBidi"/>
          <w:b w:val="0"/>
          <w:noProof/>
          <w:kern w:val="2"/>
          <w:szCs w:val="24"/>
          <w:lang w:eastAsia="en-GB"/>
          <w14:ligatures w14:val="standardContextual"/>
        </w:rPr>
      </w:pPr>
      <w:hyperlink w:anchor="_Toc213233929" w:history="1">
        <w:r w:rsidRPr="009D1774">
          <w:rPr>
            <w:rStyle w:val="Hyperlink"/>
            <w:noProof/>
          </w:rPr>
          <w:t>Appendix A: Completed Strategic Projects for 2024</w:t>
        </w:r>
        <w:r w:rsidRPr="009D1774">
          <w:rPr>
            <w:rStyle w:val="Hyperlink"/>
            <w:rFonts w:ascii="Cambria Math" w:hAnsi="Cambria Math" w:cs="Cambria Math"/>
            <w:noProof/>
          </w:rPr>
          <w:t>-</w:t>
        </w:r>
        <w:r w:rsidRPr="009D1774">
          <w:rPr>
            <w:rStyle w:val="Hyperlink"/>
            <w:noProof/>
          </w:rPr>
          <w:t>25</w:t>
        </w:r>
        <w:r>
          <w:rPr>
            <w:noProof/>
            <w:webHidden/>
          </w:rPr>
          <w:tab/>
        </w:r>
        <w:r>
          <w:rPr>
            <w:noProof/>
            <w:webHidden/>
          </w:rPr>
          <w:fldChar w:fldCharType="begin"/>
        </w:r>
        <w:r>
          <w:rPr>
            <w:noProof/>
            <w:webHidden/>
          </w:rPr>
          <w:instrText xml:space="preserve"> PAGEREF _Toc213233929 \h </w:instrText>
        </w:r>
        <w:r>
          <w:rPr>
            <w:noProof/>
            <w:webHidden/>
          </w:rPr>
        </w:r>
        <w:r>
          <w:rPr>
            <w:noProof/>
            <w:webHidden/>
          </w:rPr>
          <w:fldChar w:fldCharType="separate"/>
        </w:r>
        <w:r>
          <w:rPr>
            <w:noProof/>
            <w:webHidden/>
          </w:rPr>
          <w:t>31</w:t>
        </w:r>
        <w:r>
          <w:rPr>
            <w:noProof/>
            <w:webHidden/>
          </w:rPr>
          <w:fldChar w:fldCharType="end"/>
        </w:r>
      </w:hyperlink>
    </w:p>
    <w:p w14:paraId="1A15630B" w14:textId="2B785839" w:rsidR="00CF7EE1" w:rsidRPr="0035686A" w:rsidRDefault="007C7515" w:rsidP="00CF7EE1">
      <w:r w:rsidRPr="0035686A">
        <w:fldChar w:fldCharType="end"/>
      </w:r>
    </w:p>
    <w:p w14:paraId="71B1D93E" w14:textId="77777777" w:rsidR="009952E3" w:rsidRPr="0035686A" w:rsidRDefault="009952E3" w:rsidP="009952E3">
      <w:pPr>
        <w:pStyle w:val="Heading1"/>
      </w:pPr>
      <w:bookmarkStart w:id="0" w:name="_Toc213233908"/>
      <w:r w:rsidRPr="0035686A">
        <w:lastRenderedPageBreak/>
        <w:t>Foreword by the Minister for Industry and Advanced Manufacturing</w:t>
      </w:r>
      <w:bookmarkEnd w:id="0"/>
    </w:p>
    <w:p w14:paraId="221EE019" w14:textId="38F9AB13" w:rsidR="009952E3" w:rsidRPr="0035686A" w:rsidRDefault="009952E3" w:rsidP="00B041B6">
      <w:r w:rsidRPr="0035686A">
        <w:t>On behalf of the Victorian Government and together with the Minister for Small Business and Employment, I am pleased to present the 2024</w:t>
      </w:r>
      <w:r w:rsidR="00B041B6" w:rsidRPr="0035686A">
        <w:t>-</w:t>
      </w:r>
      <w:r w:rsidRPr="0035686A">
        <w:t xml:space="preserve">25 Local Jobs First Annual Report. </w:t>
      </w:r>
    </w:p>
    <w:p w14:paraId="1587D51C" w14:textId="66BAC3C7" w:rsidR="009952E3" w:rsidRPr="0035686A" w:rsidRDefault="009952E3" w:rsidP="00B041B6">
      <w:r w:rsidRPr="0035686A">
        <w:t>Victoria is proud to be home to the first and longest</w:t>
      </w:r>
      <w:r w:rsidR="00B041B6" w:rsidRPr="0035686A">
        <w:t>-</w:t>
      </w:r>
      <w:r w:rsidRPr="0035686A">
        <w:t>standing minimum local content legislation of any jurisdiction in Australia. For years, Local Jobs First has been instrumental in helping develop and grow Victoria’s industry by ensuring that the government purchases from local businesses.</w:t>
      </w:r>
    </w:p>
    <w:p w14:paraId="0CF78270" w14:textId="6719CB67" w:rsidR="009952E3" w:rsidRPr="0035686A" w:rsidRDefault="009952E3" w:rsidP="009952E3">
      <w:r w:rsidRPr="0035686A">
        <w:t>In 2024</w:t>
      </w:r>
      <w:r w:rsidR="00B041B6" w:rsidRPr="0035686A">
        <w:t>-</w:t>
      </w:r>
      <w:r w:rsidRPr="0035686A">
        <w:t xml:space="preserve">25, $17.2 billion worth of Victorian Government projects commenced that had local content requirements applied to them. Thanks to Local Jobs First, Victorian workers and small and medium sized businesses will realise the economic benefits of these projects, which are projected to create 9,600 jobs and over 15,000 separate purchases of goods and services for businesses. </w:t>
      </w:r>
    </w:p>
    <w:p w14:paraId="0E53B74A" w14:textId="77777777" w:rsidR="009952E3" w:rsidRPr="0035686A" w:rsidRDefault="009952E3" w:rsidP="009952E3">
      <w:r w:rsidRPr="0035686A">
        <w:t xml:space="preserve">This year, the Major Projects Skills Guarantee (MPSG) has helped over 5,800 apprentices, trainees and cadets to gain over 5 million hours of experience. </w:t>
      </w:r>
    </w:p>
    <w:p w14:paraId="3CAB58FE" w14:textId="77777777" w:rsidR="009952E3" w:rsidRPr="0035686A" w:rsidRDefault="009952E3" w:rsidP="009952E3">
      <w:r w:rsidRPr="0035686A">
        <w:t xml:space="preserve">Last year, I was fortunate to meet with some of the apprentices and trainees working on the Melbourne Arts Precinct Transformation Project. As a former apprentice myself, it was wonderful to see them get their start on such a monumental project. This is just one example of the types of opportunities the MPSG is securing for the next generation of workers. </w:t>
      </w:r>
    </w:p>
    <w:p w14:paraId="1481CA37" w14:textId="77777777" w:rsidR="009952E3" w:rsidRPr="0035686A" w:rsidRDefault="009952E3" w:rsidP="009952E3">
      <w:r w:rsidRPr="0035686A">
        <w:t>Following extensive consultation with key stakeholders including suppliers, industry associations and unions, I’m pleased to report this year we introduced the Local Jobs First Amendment Bill 2025 to Parliament. The Bill will give the Local Jobs First Commissioner new compliance and enforcement powers to ensure contractors are using local businesses to build Victoria’s ambitious infrastructure pipeline.</w:t>
      </w:r>
    </w:p>
    <w:p w14:paraId="52374D76" w14:textId="77777777" w:rsidR="009952E3" w:rsidRPr="0035686A" w:rsidRDefault="009952E3" w:rsidP="009952E3">
      <w:r w:rsidRPr="0035686A">
        <w:t xml:space="preserve">Thank you to the Local Jobs First Commissioner, Ms Moana Weir, for continuing to advocate on behalf of businesses, workers, apprentices, trainees and cadets on government procurement matters and ensuring that suppliers uphold their local content and skill development commitments. </w:t>
      </w:r>
    </w:p>
    <w:p w14:paraId="2EA38B86" w14:textId="77777777" w:rsidR="009952E3" w:rsidRPr="0035686A" w:rsidRDefault="009952E3" w:rsidP="009952E3">
      <w:r w:rsidRPr="0035686A">
        <w:t>Lastly, thank you to the local businesses, workers, apprentices, trainees and cadets who continue to help build our state through their hard work and ingenuity.</w:t>
      </w:r>
    </w:p>
    <w:p w14:paraId="6077AF08" w14:textId="3C7AD465" w:rsidR="007C4E9B" w:rsidRPr="0035686A" w:rsidRDefault="009952E3" w:rsidP="007C4E9B">
      <w:pPr>
        <w:rPr>
          <w:lang w:eastAsia="en-AU"/>
        </w:rPr>
      </w:pPr>
      <w:r w:rsidRPr="0035686A">
        <w:rPr>
          <w:b/>
          <w:bCs/>
        </w:rPr>
        <w:t>The Hon. Colin Brooks MP</w:t>
      </w:r>
      <w:r w:rsidR="007C4E9B" w:rsidRPr="0035686A">
        <w:rPr>
          <w:b/>
          <w:bCs/>
        </w:rPr>
        <w:br/>
      </w:r>
      <w:r w:rsidRPr="0035686A">
        <w:rPr>
          <w:lang w:eastAsia="en-AU"/>
        </w:rPr>
        <w:t>Minister for Industry and Advanced Manufacturing</w:t>
      </w:r>
    </w:p>
    <w:p w14:paraId="24639200" w14:textId="77777777" w:rsidR="009952E3" w:rsidRPr="0035686A" w:rsidRDefault="009952E3" w:rsidP="009952E3">
      <w:pPr>
        <w:pStyle w:val="Heading1"/>
      </w:pPr>
      <w:bookmarkStart w:id="1" w:name="_Toc213233909"/>
      <w:r w:rsidRPr="0035686A">
        <w:lastRenderedPageBreak/>
        <w:t>Foreword by the Minister for Small Business and Employment</w:t>
      </w:r>
      <w:bookmarkEnd w:id="1"/>
    </w:p>
    <w:p w14:paraId="5C3C874C" w14:textId="77777777" w:rsidR="009952E3" w:rsidRPr="0035686A" w:rsidRDefault="009952E3" w:rsidP="009952E3">
      <w:r w:rsidRPr="0035686A">
        <w:t>I am pleased to join the Minister for Industry and Advanced Manufacturing in presenting the 2024-25 Local Jobs First Annual Report.</w:t>
      </w:r>
    </w:p>
    <w:p w14:paraId="191F5018" w14:textId="77777777" w:rsidR="009952E3" w:rsidRPr="0035686A" w:rsidRDefault="009952E3" w:rsidP="009952E3">
      <w:r w:rsidRPr="0035686A">
        <w:t xml:space="preserve">Local Jobs First remains a nation leading piece of work – that backs Victorian workers; their skills, their capacity, and their drive to be part of building our State for the future. </w:t>
      </w:r>
    </w:p>
    <w:p w14:paraId="61506842" w14:textId="77777777" w:rsidR="009952E3" w:rsidRPr="0035686A" w:rsidRDefault="009952E3" w:rsidP="009952E3">
      <w:r w:rsidRPr="0035686A">
        <w:t>When we make investments in major projects, we’re ensuring that Victorians are front and centre.</w:t>
      </w:r>
    </w:p>
    <w:p w14:paraId="64BC8703" w14:textId="77777777" w:rsidR="009952E3" w:rsidRPr="0035686A" w:rsidRDefault="009952E3" w:rsidP="009952E3">
      <w:r w:rsidRPr="0035686A">
        <w:t>That’s why Local Jobs First is so important, making sure that every dollar invested by government creates more opportunities for the workers and businesses that move Victoria forward.</w:t>
      </w:r>
    </w:p>
    <w:p w14:paraId="2F947288" w14:textId="77777777" w:rsidR="009952E3" w:rsidRPr="0035686A" w:rsidRDefault="009952E3" w:rsidP="009952E3">
      <w:r w:rsidRPr="0035686A">
        <w:t xml:space="preserve">From major redevelopments like the Melbourne Arts Precinct Transformation Project, to brighter futures through new </w:t>
      </w:r>
      <w:proofErr w:type="spellStart"/>
      <w:r w:rsidRPr="0035686A">
        <w:t>kinders</w:t>
      </w:r>
      <w:proofErr w:type="spellEnd"/>
      <w:r w:rsidRPr="0035686A">
        <w:t xml:space="preserve"> and early years facilities, or </w:t>
      </w:r>
      <w:proofErr w:type="gramStart"/>
      <w:r w:rsidRPr="0035686A">
        <w:t>brand new</w:t>
      </w:r>
      <w:proofErr w:type="gramEnd"/>
      <w:r w:rsidRPr="0035686A">
        <w:t xml:space="preserve"> state of the art health infrastructure – we know that employing more local workers and small businesses across these projects is a win for our communities, and a win for economic participation. </w:t>
      </w:r>
    </w:p>
    <w:p w14:paraId="6CFA8938" w14:textId="77777777" w:rsidR="009952E3" w:rsidRPr="0035686A" w:rsidRDefault="009952E3" w:rsidP="009952E3">
      <w:r w:rsidRPr="0035686A">
        <w:t xml:space="preserve">In addition to Local Jobs First boosting economic participation across the supply chain, the MPSG strengthens workforce capability by creating jobs for apprentices, trainees and cadets (ATCs) on some of Victoria’s major projects. </w:t>
      </w:r>
    </w:p>
    <w:p w14:paraId="626F23ED" w14:textId="77777777" w:rsidR="009952E3" w:rsidRPr="0035686A" w:rsidRDefault="009952E3" w:rsidP="009952E3">
      <w:r w:rsidRPr="0035686A">
        <w:t>Since the introduction of the MPSG, more than 19,000 ATCs have benefited from 24.3 million hours of valuable work experience. This includes 129 regional projects that have delivered over 2.5 million hours for 3,139 ATCs.</w:t>
      </w:r>
    </w:p>
    <w:p w14:paraId="5CC21B3B" w14:textId="77777777" w:rsidR="009952E3" w:rsidRPr="0035686A" w:rsidRDefault="009952E3" w:rsidP="009952E3">
      <w:r w:rsidRPr="0035686A">
        <w:t xml:space="preserve">That means that </w:t>
      </w:r>
      <w:proofErr w:type="gramStart"/>
      <w:r w:rsidRPr="0035686A">
        <w:t>from design and planning,</w:t>
      </w:r>
      <w:proofErr w:type="gramEnd"/>
      <w:r w:rsidRPr="0035686A">
        <w:t xml:space="preserve"> to steel fabrication, welding and plumbing, the MPSG is driving significant uplift of our skilled trades and professions here in Victoria. </w:t>
      </w:r>
    </w:p>
    <w:p w14:paraId="1D9B8200" w14:textId="77777777" w:rsidR="009952E3" w:rsidRPr="0035686A" w:rsidRDefault="009952E3" w:rsidP="009952E3">
      <w:r w:rsidRPr="0035686A">
        <w:t xml:space="preserve">That’s good news for our small businesses that need these skills – and good news for the future careers of Victorian workers. </w:t>
      </w:r>
    </w:p>
    <w:p w14:paraId="71D6EC20" w14:textId="77777777" w:rsidR="009952E3" w:rsidRPr="0035686A" w:rsidRDefault="009952E3" w:rsidP="009952E3">
      <w:r w:rsidRPr="0035686A">
        <w:t xml:space="preserve">Having strong economic inclusion, where all sectors of our economy tap into their growth potential is vital. The Aboriginal Business Support initiative, backed by investment from the Victorian Government and delivered by the Industry Capability Network (ICN) Victoria, has advanced opportunities for Aboriginal businesses to participate in Local Jobs First projects through a range of activities including the delivery of an Aboriginal Business Showcase. </w:t>
      </w:r>
    </w:p>
    <w:p w14:paraId="5D2D7552" w14:textId="25BE870B" w:rsidR="009952E3" w:rsidRPr="0035686A" w:rsidRDefault="009952E3" w:rsidP="009952E3">
      <w:r w:rsidRPr="0035686A">
        <w:t>Local procurement</w:t>
      </w:r>
      <w:r w:rsidR="00E21E44">
        <w:t xml:space="preserve">, </w:t>
      </w:r>
      <w:r w:rsidRPr="0035686A">
        <w:t>through Local Jobs First and the MPSG</w:t>
      </w:r>
      <w:r w:rsidR="00E21E44">
        <w:t>,</w:t>
      </w:r>
      <w:r w:rsidRPr="0035686A">
        <w:t xml:space="preserve"> is a significant part of building our </w:t>
      </w:r>
      <w:proofErr w:type="gramStart"/>
      <w:r w:rsidRPr="0035686A">
        <w:t>State’s</w:t>
      </w:r>
      <w:proofErr w:type="gramEnd"/>
      <w:r w:rsidRPr="0035686A">
        <w:t xml:space="preserve"> future and creating good, strong jobs and skills, right here in Victoria. </w:t>
      </w:r>
    </w:p>
    <w:p w14:paraId="62DF3AFA" w14:textId="33FAA1A2" w:rsidR="00D75B40" w:rsidRPr="0035686A" w:rsidRDefault="009952E3" w:rsidP="009952E3">
      <w:r w:rsidRPr="0035686A">
        <w:lastRenderedPageBreak/>
        <w:t xml:space="preserve">I look forward to continuing to work with the Minister for Industry and Advanced Manufacturing on delivering economic opportunity for Victorian workers and businesses alike. </w:t>
      </w:r>
    </w:p>
    <w:p w14:paraId="7E3032A0" w14:textId="04A3BED5" w:rsidR="00DF693E" w:rsidRPr="0035686A" w:rsidRDefault="009952E3" w:rsidP="00D75B40">
      <w:pPr>
        <w:rPr>
          <w:lang w:eastAsia="en-AU"/>
        </w:rPr>
      </w:pPr>
      <w:r w:rsidRPr="0035686A">
        <w:rPr>
          <w:b/>
          <w:bCs/>
        </w:rPr>
        <w:t>The Hon. Natalie Suleyman MP</w:t>
      </w:r>
      <w:r w:rsidR="00DF693E" w:rsidRPr="0035686A">
        <w:rPr>
          <w:b/>
          <w:bCs/>
        </w:rPr>
        <w:br/>
      </w:r>
      <w:r w:rsidRPr="0035686A">
        <w:rPr>
          <w:lang w:eastAsia="en-AU"/>
        </w:rPr>
        <w:t>Minister for Small Business and Employment</w:t>
      </w:r>
    </w:p>
    <w:p w14:paraId="24012ED3" w14:textId="77777777" w:rsidR="009952E3" w:rsidRPr="0035686A" w:rsidRDefault="009952E3" w:rsidP="009952E3">
      <w:pPr>
        <w:pStyle w:val="Heading1-numbered"/>
      </w:pPr>
      <w:bookmarkStart w:id="2" w:name="_Toc213233910"/>
      <w:r w:rsidRPr="0035686A">
        <w:lastRenderedPageBreak/>
        <w:t>About Local Jobs First</w:t>
      </w:r>
      <w:bookmarkEnd w:id="2"/>
    </w:p>
    <w:p w14:paraId="5C6E24AD" w14:textId="77777777" w:rsidR="009952E3" w:rsidRPr="0035686A" w:rsidRDefault="009952E3" w:rsidP="00565EF7">
      <w:r w:rsidRPr="0035686A">
        <w:t>Local Jobs First is designed to:</w:t>
      </w:r>
    </w:p>
    <w:p w14:paraId="75C99E6F" w14:textId="77777777" w:rsidR="00BA1218" w:rsidRPr="0035686A" w:rsidRDefault="00BA1218" w:rsidP="00BA1218">
      <w:pPr>
        <w:pStyle w:val="Bullet"/>
      </w:pPr>
      <w:r w:rsidRPr="0035686A">
        <w:t>promote employment and business growth by expanding market opportunities for local industry</w:t>
      </w:r>
    </w:p>
    <w:p w14:paraId="07EB87F1" w14:textId="77777777" w:rsidR="0069791D" w:rsidRDefault="00BA1218" w:rsidP="00B041B6">
      <w:pPr>
        <w:pStyle w:val="Bullet"/>
      </w:pPr>
      <w:r w:rsidRPr="0035686A">
        <w:t>provide contractors with increased access to, and raised awareness of, local industry capability</w:t>
      </w:r>
    </w:p>
    <w:p w14:paraId="4E790E75" w14:textId="77777777" w:rsidR="0069791D" w:rsidRDefault="00BA1218" w:rsidP="00B041B6">
      <w:pPr>
        <w:pStyle w:val="Bullet"/>
      </w:pPr>
      <w:r w:rsidRPr="0035686A">
        <w:t>expose local industry to world’s best practice in workplace innovation, e</w:t>
      </w:r>
      <w:r w:rsidR="00B041B6" w:rsidRPr="0035686A">
        <w:t>-</w:t>
      </w:r>
      <w:r w:rsidRPr="0035686A">
        <w:t>commerce and use of new technologies and materials</w:t>
      </w:r>
    </w:p>
    <w:p w14:paraId="656EC04D" w14:textId="0EB84699" w:rsidR="009952E3" w:rsidRPr="0035686A" w:rsidRDefault="00BA1218" w:rsidP="00B041B6">
      <w:pPr>
        <w:pStyle w:val="Bullet"/>
      </w:pPr>
      <w:r w:rsidRPr="0035686A">
        <w:t>develop the international competitiveness and flexibility of local industry to respond to changing global markets by providing it with a fair opportunity to compete against foreign suppliers.</w:t>
      </w:r>
    </w:p>
    <w:p w14:paraId="0917091F" w14:textId="769658F1" w:rsidR="00BA1218" w:rsidRPr="0035686A" w:rsidRDefault="00BA1218" w:rsidP="00B041B6">
      <w:r w:rsidRPr="0035686A">
        <w:t>Local Jobs First supports Victorian businesses and workers by ensuring that small and medium</w:t>
      </w:r>
      <w:r w:rsidR="00B041B6" w:rsidRPr="0035686A">
        <w:t>-</w:t>
      </w:r>
      <w:r w:rsidRPr="0035686A">
        <w:t>sized enterprises (SMEs) are given full and fair opportunity to compete for both large and small government contracts, helping to create job opportunities, including for ATCs.</w:t>
      </w:r>
    </w:p>
    <w:p w14:paraId="53C5A5FB" w14:textId="77777777" w:rsidR="00BA1218" w:rsidRPr="0035686A" w:rsidRDefault="00BA1218" w:rsidP="00BA1218">
      <w:r w:rsidRPr="0035686A">
        <w:t xml:space="preserve">The </w:t>
      </w:r>
      <w:r w:rsidRPr="0035686A">
        <w:rPr>
          <w:i/>
          <w:iCs/>
        </w:rPr>
        <w:t>Local Jobs First Act 2003</w:t>
      </w:r>
      <w:r w:rsidRPr="0035686A">
        <w:t xml:space="preserve"> (the Act), together with the Local Jobs First Policy including the associated guidelines, provides the regulatory framework, procedures and guidance for implementation of Local Jobs First. </w:t>
      </w:r>
    </w:p>
    <w:p w14:paraId="7699B304" w14:textId="1A54B383" w:rsidR="009952E3" w:rsidRPr="0035686A" w:rsidRDefault="00BA1218" w:rsidP="009952E3">
      <w:r w:rsidRPr="0035686A">
        <w:t>Local Jobs First comprises both the Victorian Industry Participation Policy (VIPP) and MPSG</w:t>
      </w:r>
      <w:r w:rsidR="00E21E44">
        <w:t>:</w:t>
      </w:r>
    </w:p>
    <w:p w14:paraId="7166013C" w14:textId="77777777" w:rsidR="00BA1218" w:rsidRPr="0035686A" w:rsidRDefault="00BA1218" w:rsidP="00BA1218">
      <w:pPr>
        <w:pStyle w:val="Bullet"/>
      </w:pPr>
      <w:r w:rsidRPr="0035686A">
        <w:t xml:space="preserve">VIPP focuses on creating opportunities for local suppliers to compete for work on all types of government contracts, helping to create and sustain opportunities for local businesses and workers. </w:t>
      </w:r>
    </w:p>
    <w:p w14:paraId="714A4C89" w14:textId="77777777" w:rsidR="00BA1218" w:rsidRPr="0035686A" w:rsidRDefault="00BA1218" w:rsidP="00565EF7">
      <w:pPr>
        <w:pStyle w:val="Bullet"/>
      </w:pPr>
      <w:r w:rsidRPr="0035686A">
        <w:t xml:space="preserve">MPSG focuses on providing opportunities to Victorian ATCs to work on high value government construction projects. </w:t>
      </w:r>
    </w:p>
    <w:p w14:paraId="4D4A6BE1" w14:textId="77777777" w:rsidR="00BA1218" w:rsidRPr="0035686A" w:rsidRDefault="00BA1218" w:rsidP="00BA1218">
      <w:r w:rsidRPr="0035686A">
        <w:t xml:space="preserve">Local Jobs First must be applied to rural and regional Victorian projects with a budget of $1 million or more, and statewide or metropolitan Melbourne projects with a budget of $3 million or more. Local content requirements are set by the Minister responsible for Local Jobs First for all government projects with a budget of $50 million or more. </w:t>
      </w:r>
    </w:p>
    <w:p w14:paraId="3B196B55" w14:textId="77777777" w:rsidR="00BA1218" w:rsidRPr="0035686A" w:rsidRDefault="00BA1218" w:rsidP="00BA1218">
      <w:r w:rsidRPr="0035686A">
        <w:t xml:space="preserve">The MPSG automatically applies to construction projects at or over $20 million in value. From design and planning to steel fabrication, welding, and plumbing, MPSG requires the contractor to invest in our future workforce by ensuring that Victorian ATCs are engaged for a minimum of 10% of the total number of estimated labour hours on the project. </w:t>
      </w:r>
    </w:p>
    <w:p w14:paraId="5937787D" w14:textId="77777777" w:rsidR="00BA1218" w:rsidRPr="0035686A" w:rsidRDefault="00BA1218" w:rsidP="00BA1218">
      <w:r w:rsidRPr="0035686A">
        <w:t xml:space="preserve">The Local Jobs First Commissioner is established under the Act and is responsible for advocating for Local Jobs First and facilitating greater involvement from local businesses, workers and ATCs. The Commissioner’s compliance and enforcement powers also help to </w:t>
      </w:r>
      <w:r w:rsidRPr="0035686A">
        <w:lastRenderedPageBreak/>
        <w:t>ensure that agencies and contractors involved in government procurement understand and deliver on their obligations under the Act.</w:t>
      </w:r>
    </w:p>
    <w:p w14:paraId="7899EAD3" w14:textId="401640BB" w:rsidR="009952E3" w:rsidRPr="0035686A" w:rsidRDefault="00BA1218" w:rsidP="00BA1218">
      <w:r w:rsidRPr="0035686A">
        <w:t xml:space="preserve">The Act requires all agencies (defined as departments and public bodies within the meaning of the </w:t>
      </w:r>
      <w:r w:rsidRPr="0035686A">
        <w:rPr>
          <w:i/>
          <w:iCs/>
        </w:rPr>
        <w:t>Financial Management Act 1994</w:t>
      </w:r>
      <w:r w:rsidRPr="0035686A">
        <w:t>) to include in their report of operations the agency’s compliance with Local Jobs First in the financial year to which the report of operations relates by providing:</w:t>
      </w:r>
    </w:p>
    <w:p w14:paraId="0EBB5341" w14:textId="77777777" w:rsidR="00BA1218" w:rsidRPr="0035686A" w:rsidRDefault="00BA1218" w:rsidP="00BA1218">
      <w:pPr>
        <w:pStyle w:val="Bullet"/>
      </w:pPr>
      <w:r w:rsidRPr="0035686A">
        <w:t>a detailed report on the agency’s compliance with Local Jobs First as part of their required annual reporting arrangements</w:t>
      </w:r>
    </w:p>
    <w:p w14:paraId="4375AF51" w14:textId="77777777" w:rsidR="00BA1218" w:rsidRPr="0035686A" w:rsidRDefault="00BA1218" w:rsidP="00565EF7">
      <w:pPr>
        <w:pStyle w:val="Bullet"/>
      </w:pPr>
      <w:r w:rsidRPr="0035686A">
        <w:t>the information required for the purpose of preparing an annual report on the implementation of Local Jobs First enabling the responsible Minister to report annually to Parliament.</w:t>
      </w:r>
    </w:p>
    <w:p w14:paraId="51A9C4CA" w14:textId="77777777" w:rsidR="00BA1218" w:rsidRPr="0035686A" w:rsidRDefault="00BA1218" w:rsidP="00BA1218">
      <w:r w:rsidRPr="0035686A">
        <w:t>This Annual Report uses the information provided by agencies to present a detailed overview of Local Jobs First implementation in the 2024-25 financial year.</w:t>
      </w:r>
    </w:p>
    <w:p w14:paraId="04FDE415" w14:textId="5FA2B642" w:rsidR="00DA4427" w:rsidRPr="0035686A" w:rsidRDefault="00DA4427" w:rsidP="00DA4427">
      <w:pPr>
        <w:keepNext/>
        <w:keepLines/>
        <w:autoSpaceDE w:val="0"/>
        <w:autoSpaceDN w:val="0"/>
        <w:adjustRightInd w:val="0"/>
        <w:spacing w:before="227" w:after="113" w:line="288" w:lineRule="auto"/>
        <w:textAlignment w:val="center"/>
        <w:rPr>
          <w:rFonts w:asciiTheme="minorHAnsi" w:eastAsiaTheme="minorEastAsia" w:hAnsiTheme="minorHAnsi" w:cstheme="minorHAnsi"/>
          <w:b/>
          <w:bCs/>
          <w:color w:val="000000"/>
          <w:szCs w:val="24"/>
          <w:lang w:eastAsia="en-AU"/>
        </w:rPr>
      </w:pPr>
      <w:r w:rsidRPr="0035686A">
        <w:rPr>
          <w:rFonts w:asciiTheme="minorHAnsi" w:eastAsiaTheme="minorEastAsia" w:hAnsiTheme="minorHAnsi" w:cstheme="minorHAnsi"/>
          <w:b/>
          <w:bCs/>
          <w:color w:val="000000"/>
          <w:szCs w:val="24"/>
          <w:lang w:eastAsia="en-AU"/>
        </w:rPr>
        <w:t xml:space="preserve">From 2014 until </w:t>
      </w:r>
      <w:r w:rsidR="00BA1218" w:rsidRPr="0035686A">
        <w:rPr>
          <w:rFonts w:asciiTheme="minorHAnsi" w:eastAsiaTheme="minorEastAsia" w:hAnsiTheme="minorHAnsi" w:cstheme="minorHAnsi"/>
          <w:b/>
          <w:bCs/>
          <w:color w:val="000000"/>
          <w:szCs w:val="24"/>
          <w:lang w:eastAsia="en-AU"/>
        </w:rPr>
        <w:t>30 June 2025</w:t>
      </w:r>
      <w:r w:rsidRPr="0035686A">
        <w:rPr>
          <w:rFonts w:asciiTheme="minorHAnsi" w:eastAsiaTheme="minorEastAsia" w:hAnsiTheme="minorHAnsi" w:cstheme="minorHAnsi"/>
          <w:b/>
          <w:bCs/>
          <w:color w:val="000000"/>
          <w:szCs w:val="24"/>
          <w:lang w:eastAsia="en-AU"/>
        </w:rPr>
        <w:t>, the Local Jobs First Policy has been applied to</w:t>
      </w:r>
      <w:r w:rsidR="00565EF7" w:rsidRPr="0035686A">
        <w:rPr>
          <w:rFonts w:asciiTheme="minorHAnsi" w:eastAsiaTheme="minorEastAsia" w:hAnsiTheme="minorHAnsi" w:cstheme="minorHAnsi"/>
          <w:b/>
          <w:bCs/>
          <w:color w:val="000000"/>
          <w:szCs w:val="24"/>
          <w:lang w:eastAsia="en-AU"/>
        </w:rPr>
        <w:t>:</w:t>
      </w:r>
    </w:p>
    <w:p w14:paraId="4BD8669B" w14:textId="21E644C8" w:rsidR="00C73CF1" w:rsidRPr="0035686A" w:rsidRDefault="00DE6A72" w:rsidP="00DE6A72">
      <w:pPr>
        <w:pStyle w:val="Bullet"/>
        <w:rPr>
          <w:lang w:eastAsia="en-AU"/>
        </w:rPr>
      </w:pPr>
      <w:r w:rsidRPr="0035686A">
        <w:rPr>
          <w:lang w:eastAsia="en-AU"/>
        </w:rPr>
        <w:t>3</w:t>
      </w:r>
      <w:r w:rsidR="00BC2965" w:rsidRPr="0035686A">
        <w:rPr>
          <w:lang w:eastAsia="en-AU"/>
        </w:rPr>
        <w:t>92</w:t>
      </w:r>
      <w:r w:rsidRPr="0035686A">
        <w:rPr>
          <w:lang w:eastAsia="en-AU"/>
        </w:rPr>
        <w:t xml:space="preserve"> </w:t>
      </w:r>
      <w:r w:rsidR="00F57879" w:rsidRPr="0035686A">
        <w:rPr>
          <w:lang w:eastAsia="en-AU"/>
        </w:rPr>
        <w:t>s</w:t>
      </w:r>
      <w:r w:rsidRPr="0035686A">
        <w:rPr>
          <w:lang w:eastAsia="en-AU"/>
        </w:rPr>
        <w:t xml:space="preserve">trategic </w:t>
      </w:r>
      <w:r w:rsidR="00F57879" w:rsidRPr="0035686A">
        <w:rPr>
          <w:lang w:eastAsia="en-AU"/>
        </w:rPr>
        <w:t>projects</w:t>
      </w:r>
      <w:r w:rsidR="00BC2965" w:rsidRPr="0035686A">
        <w:rPr>
          <w:rStyle w:val="FootnoteReference"/>
          <w:lang w:eastAsia="en-AU"/>
        </w:rPr>
        <w:footnoteReference w:id="1"/>
      </w:r>
    </w:p>
    <w:p w14:paraId="31428508" w14:textId="05A14072" w:rsidR="00F57879" w:rsidRPr="0035686A" w:rsidRDefault="00E20FA2" w:rsidP="00F57879">
      <w:pPr>
        <w:pStyle w:val="Bullet2"/>
        <w:rPr>
          <w:lang w:eastAsia="en-AU"/>
        </w:rPr>
      </w:pPr>
      <w:r w:rsidRPr="0035686A">
        <w:rPr>
          <w:lang w:eastAsia="en-AU"/>
        </w:rPr>
        <w:t>221</w:t>
      </w:r>
      <w:r w:rsidR="00F57879" w:rsidRPr="0035686A">
        <w:rPr>
          <w:lang w:eastAsia="en-AU"/>
        </w:rPr>
        <w:t xml:space="preserve"> Metro projects</w:t>
      </w:r>
    </w:p>
    <w:p w14:paraId="5FF661B7" w14:textId="2C87D04B" w:rsidR="00F57879" w:rsidRPr="0035686A" w:rsidRDefault="00E20FA2" w:rsidP="00F57879">
      <w:pPr>
        <w:pStyle w:val="Bullet2"/>
        <w:rPr>
          <w:lang w:eastAsia="en-AU"/>
        </w:rPr>
      </w:pPr>
      <w:r w:rsidRPr="0035686A">
        <w:rPr>
          <w:lang w:eastAsia="en-AU"/>
        </w:rPr>
        <w:t>83</w:t>
      </w:r>
      <w:r w:rsidR="00F57879" w:rsidRPr="0035686A">
        <w:rPr>
          <w:lang w:eastAsia="en-AU"/>
        </w:rPr>
        <w:t xml:space="preserve"> Regional projects</w:t>
      </w:r>
    </w:p>
    <w:p w14:paraId="346FD882" w14:textId="2B426C31" w:rsidR="00F57879" w:rsidRPr="0035686A" w:rsidRDefault="00E20FA2" w:rsidP="00F57879">
      <w:pPr>
        <w:pStyle w:val="Bullet2"/>
        <w:rPr>
          <w:lang w:eastAsia="en-AU"/>
        </w:rPr>
      </w:pPr>
      <w:r w:rsidRPr="0035686A">
        <w:rPr>
          <w:lang w:eastAsia="en-AU"/>
        </w:rPr>
        <w:t>88</w:t>
      </w:r>
      <w:r w:rsidR="00F57879" w:rsidRPr="0035686A">
        <w:rPr>
          <w:lang w:eastAsia="en-AU"/>
        </w:rPr>
        <w:t xml:space="preserve"> Statewide projects</w:t>
      </w:r>
    </w:p>
    <w:p w14:paraId="426EC882" w14:textId="338F0992" w:rsidR="00F57879" w:rsidRPr="0035686A" w:rsidRDefault="00861D50" w:rsidP="00565EF7">
      <w:pPr>
        <w:pStyle w:val="Bullet"/>
      </w:pPr>
      <w:r w:rsidRPr="0035686A">
        <w:t xml:space="preserve">Worth </w:t>
      </w:r>
      <w:r w:rsidR="00E20FA2" w:rsidRPr="0035686A">
        <w:t>$189.8 billion in total</w:t>
      </w:r>
    </w:p>
    <w:p w14:paraId="0551A282" w14:textId="0B03FE82" w:rsidR="00861D50" w:rsidRPr="0035686A" w:rsidRDefault="00DC6F30" w:rsidP="00DC6F30">
      <w:pPr>
        <w:rPr>
          <w:lang w:eastAsia="en-AU"/>
        </w:rPr>
      </w:pPr>
      <w:r w:rsidRPr="0035686A">
        <w:rPr>
          <w:noProof/>
          <w:lang w:eastAsia="en-AU"/>
        </w:rPr>
        <w:drawing>
          <wp:inline distT="0" distB="0" distL="0" distR="0" wp14:anchorId="33477E38" wp14:editId="2C68E497">
            <wp:extent cx="6120128" cy="1612565"/>
            <wp:effectExtent l="0" t="0" r="1905" b="63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4"/>
                    <a:stretch>
                      <a:fillRect/>
                    </a:stretch>
                  </pic:blipFill>
                  <pic:spPr>
                    <a:xfrm>
                      <a:off x="0" y="0"/>
                      <a:ext cx="6120128" cy="1612565"/>
                    </a:xfrm>
                    <a:prstGeom prst="rect">
                      <a:avLst/>
                    </a:prstGeom>
                  </pic:spPr>
                </pic:pic>
              </a:graphicData>
            </a:graphic>
          </wp:inline>
        </w:drawing>
      </w:r>
    </w:p>
    <w:tbl>
      <w:tblPr>
        <w:tblStyle w:val="TableGrid"/>
        <w:tblW w:w="0" w:type="auto"/>
        <w:tblLook w:val="04A0" w:firstRow="1" w:lastRow="0" w:firstColumn="1" w:lastColumn="0" w:noHBand="0" w:noVBand="1"/>
      </w:tblPr>
      <w:tblGrid>
        <w:gridCol w:w="3209"/>
        <w:gridCol w:w="3209"/>
        <w:gridCol w:w="3210"/>
      </w:tblGrid>
      <w:tr w:rsidR="00950625" w:rsidRPr="0035686A" w14:paraId="29D6850D" w14:textId="77777777" w:rsidTr="007C3917">
        <w:trPr>
          <w:cantSplit/>
          <w:tblHeader/>
        </w:trPr>
        <w:tc>
          <w:tcPr>
            <w:tcW w:w="3209" w:type="dxa"/>
          </w:tcPr>
          <w:p w14:paraId="1F5838AB" w14:textId="77777777" w:rsidR="00950625" w:rsidRPr="0035686A" w:rsidRDefault="00950625" w:rsidP="00E62210">
            <w:pPr>
              <w:pStyle w:val="TableColumnHeading"/>
              <w:rPr>
                <w:lang w:val="en-AU"/>
              </w:rPr>
            </w:pPr>
            <w:bookmarkStart w:id="3" w:name="ColumnTitles"/>
            <w:bookmarkEnd w:id="3"/>
          </w:p>
        </w:tc>
        <w:tc>
          <w:tcPr>
            <w:tcW w:w="3209" w:type="dxa"/>
          </w:tcPr>
          <w:p w14:paraId="1682C9B9" w14:textId="0FF39D36" w:rsidR="00950625" w:rsidRPr="0035686A" w:rsidRDefault="00E62210" w:rsidP="002663B4">
            <w:pPr>
              <w:pStyle w:val="TableColumnHeading"/>
              <w:jc w:val="right"/>
              <w:rPr>
                <w:lang w:val="en-AU"/>
              </w:rPr>
            </w:pPr>
            <w:r w:rsidRPr="0035686A">
              <w:rPr>
                <w:lang w:val="en-AU"/>
              </w:rPr>
              <w:t>Projects</w:t>
            </w:r>
          </w:p>
        </w:tc>
        <w:tc>
          <w:tcPr>
            <w:tcW w:w="3210" w:type="dxa"/>
          </w:tcPr>
          <w:p w14:paraId="32816A44" w14:textId="0206FAFC" w:rsidR="00950625" w:rsidRPr="0035686A" w:rsidRDefault="00E62210" w:rsidP="002663B4">
            <w:pPr>
              <w:pStyle w:val="TableColumnHeading"/>
              <w:jc w:val="right"/>
              <w:rPr>
                <w:lang w:val="en-AU"/>
              </w:rPr>
            </w:pPr>
            <w:r w:rsidRPr="0035686A">
              <w:rPr>
                <w:lang w:val="en-AU"/>
              </w:rPr>
              <w:t>Value</w:t>
            </w:r>
            <w:r w:rsidR="002663B4" w:rsidRPr="0035686A">
              <w:rPr>
                <w:lang w:val="en-AU"/>
              </w:rPr>
              <w:t xml:space="preserve"> ($bn)</w:t>
            </w:r>
          </w:p>
        </w:tc>
      </w:tr>
      <w:tr w:rsidR="002663B4" w:rsidRPr="0035686A" w14:paraId="6314D847" w14:textId="77777777" w:rsidTr="00822889">
        <w:trPr>
          <w:cantSplit/>
        </w:trPr>
        <w:tc>
          <w:tcPr>
            <w:tcW w:w="3209" w:type="dxa"/>
          </w:tcPr>
          <w:p w14:paraId="25BB0F1A" w14:textId="2580A7DC" w:rsidR="002663B4" w:rsidRPr="0035686A" w:rsidRDefault="002663B4" w:rsidP="002663B4">
            <w:pPr>
              <w:pStyle w:val="TableCopy"/>
              <w:rPr>
                <w:lang w:val="en-AU"/>
              </w:rPr>
            </w:pPr>
            <w:r w:rsidRPr="0035686A">
              <w:rPr>
                <w:lang w:val="en-AU"/>
              </w:rPr>
              <w:t>2014-15 FY</w:t>
            </w:r>
          </w:p>
        </w:tc>
        <w:tc>
          <w:tcPr>
            <w:tcW w:w="3209" w:type="dxa"/>
          </w:tcPr>
          <w:p w14:paraId="143F27F2" w14:textId="329D64A4" w:rsidR="002663B4" w:rsidRPr="0035686A" w:rsidRDefault="002663B4" w:rsidP="002663B4">
            <w:pPr>
              <w:pStyle w:val="TableCopy"/>
              <w:jc w:val="right"/>
              <w:rPr>
                <w:lang w:val="en-AU"/>
              </w:rPr>
            </w:pPr>
            <w:r w:rsidRPr="0035686A">
              <w:rPr>
                <w:lang w:val="en-AU"/>
              </w:rPr>
              <w:t>3</w:t>
            </w:r>
          </w:p>
        </w:tc>
        <w:tc>
          <w:tcPr>
            <w:tcW w:w="3210" w:type="dxa"/>
          </w:tcPr>
          <w:p w14:paraId="55EC3E0A" w14:textId="06F5775E" w:rsidR="002663B4" w:rsidRPr="0035686A" w:rsidRDefault="002663B4" w:rsidP="002663B4">
            <w:pPr>
              <w:pStyle w:val="TableCopy"/>
              <w:jc w:val="right"/>
              <w:rPr>
                <w:lang w:val="en-AU"/>
              </w:rPr>
            </w:pPr>
            <w:r w:rsidRPr="0035686A">
              <w:rPr>
                <w:lang w:val="en-AU"/>
              </w:rPr>
              <w:t>3.1</w:t>
            </w:r>
          </w:p>
        </w:tc>
      </w:tr>
      <w:tr w:rsidR="002663B4" w:rsidRPr="0035686A" w14:paraId="7197AC0F" w14:textId="77777777" w:rsidTr="00822889">
        <w:trPr>
          <w:cantSplit/>
        </w:trPr>
        <w:tc>
          <w:tcPr>
            <w:tcW w:w="3209" w:type="dxa"/>
          </w:tcPr>
          <w:p w14:paraId="31BA030C" w14:textId="43D636DD" w:rsidR="002663B4" w:rsidRPr="0035686A" w:rsidRDefault="002663B4" w:rsidP="002663B4">
            <w:pPr>
              <w:pStyle w:val="TableCopy"/>
              <w:rPr>
                <w:lang w:val="en-AU"/>
              </w:rPr>
            </w:pPr>
            <w:r w:rsidRPr="0035686A">
              <w:rPr>
                <w:lang w:val="en-AU" w:eastAsia="en-AU"/>
              </w:rPr>
              <w:t>2015-16 FY</w:t>
            </w:r>
          </w:p>
        </w:tc>
        <w:tc>
          <w:tcPr>
            <w:tcW w:w="3209" w:type="dxa"/>
          </w:tcPr>
          <w:p w14:paraId="4813A260" w14:textId="5B2AC2D7" w:rsidR="002663B4" w:rsidRPr="0035686A" w:rsidRDefault="002663B4" w:rsidP="002663B4">
            <w:pPr>
              <w:pStyle w:val="TableCopy"/>
              <w:jc w:val="right"/>
              <w:rPr>
                <w:lang w:val="en-AU"/>
              </w:rPr>
            </w:pPr>
            <w:r w:rsidRPr="0035686A">
              <w:rPr>
                <w:lang w:val="en-AU"/>
              </w:rPr>
              <w:t>23</w:t>
            </w:r>
          </w:p>
        </w:tc>
        <w:tc>
          <w:tcPr>
            <w:tcW w:w="3210" w:type="dxa"/>
          </w:tcPr>
          <w:p w14:paraId="34490D80" w14:textId="7DCAA2D4" w:rsidR="002663B4" w:rsidRPr="0035686A" w:rsidRDefault="002663B4" w:rsidP="002663B4">
            <w:pPr>
              <w:pStyle w:val="TableCopy"/>
              <w:jc w:val="right"/>
              <w:rPr>
                <w:lang w:val="en-AU"/>
              </w:rPr>
            </w:pPr>
            <w:r w:rsidRPr="0035686A">
              <w:rPr>
                <w:lang w:val="en-AU" w:eastAsia="en-AU"/>
              </w:rPr>
              <w:t>20.7</w:t>
            </w:r>
          </w:p>
        </w:tc>
      </w:tr>
      <w:tr w:rsidR="002663B4" w:rsidRPr="0035686A" w14:paraId="6C810EB6" w14:textId="77777777" w:rsidTr="00822889">
        <w:trPr>
          <w:cantSplit/>
        </w:trPr>
        <w:tc>
          <w:tcPr>
            <w:tcW w:w="3209" w:type="dxa"/>
          </w:tcPr>
          <w:p w14:paraId="62B09D01" w14:textId="777B0F30" w:rsidR="002663B4" w:rsidRPr="0035686A" w:rsidRDefault="002663B4" w:rsidP="002663B4">
            <w:pPr>
              <w:pStyle w:val="TableCopy"/>
              <w:rPr>
                <w:lang w:val="en-AU"/>
              </w:rPr>
            </w:pPr>
            <w:r w:rsidRPr="0035686A">
              <w:rPr>
                <w:lang w:val="en-AU" w:eastAsia="en-AU"/>
              </w:rPr>
              <w:lastRenderedPageBreak/>
              <w:t>2016-17 FY</w:t>
            </w:r>
          </w:p>
        </w:tc>
        <w:tc>
          <w:tcPr>
            <w:tcW w:w="3209" w:type="dxa"/>
          </w:tcPr>
          <w:p w14:paraId="2C841C63" w14:textId="12819517" w:rsidR="002663B4" w:rsidRPr="0035686A" w:rsidRDefault="002663B4" w:rsidP="002663B4">
            <w:pPr>
              <w:pStyle w:val="TableCopy"/>
              <w:jc w:val="right"/>
              <w:rPr>
                <w:lang w:val="en-AU"/>
              </w:rPr>
            </w:pPr>
            <w:r w:rsidRPr="0035686A">
              <w:rPr>
                <w:lang w:val="en-AU"/>
              </w:rPr>
              <w:t>55</w:t>
            </w:r>
          </w:p>
        </w:tc>
        <w:tc>
          <w:tcPr>
            <w:tcW w:w="3210" w:type="dxa"/>
          </w:tcPr>
          <w:p w14:paraId="6341C074" w14:textId="06E5D0E5" w:rsidR="002663B4" w:rsidRPr="0035686A" w:rsidRDefault="002663B4" w:rsidP="002663B4">
            <w:pPr>
              <w:pStyle w:val="TableCopy"/>
              <w:jc w:val="right"/>
              <w:rPr>
                <w:lang w:val="en-AU"/>
              </w:rPr>
            </w:pPr>
            <w:r w:rsidRPr="0035686A">
              <w:rPr>
                <w:lang w:val="en-AU" w:eastAsia="en-AU"/>
              </w:rPr>
              <w:t>37.8</w:t>
            </w:r>
          </w:p>
        </w:tc>
      </w:tr>
      <w:tr w:rsidR="002663B4" w:rsidRPr="0035686A" w14:paraId="18F655DE" w14:textId="77777777" w:rsidTr="00822889">
        <w:trPr>
          <w:cantSplit/>
        </w:trPr>
        <w:tc>
          <w:tcPr>
            <w:tcW w:w="3209" w:type="dxa"/>
          </w:tcPr>
          <w:p w14:paraId="2E1E3D86" w14:textId="296079E4" w:rsidR="002663B4" w:rsidRPr="0035686A" w:rsidRDefault="002663B4" w:rsidP="002663B4">
            <w:pPr>
              <w:pStyle w:val="TableCopy"/>
              <w:rPr>
                <w:lang w:val="en-AU"/>
              </w:rPr>
            </w:pPr>
            <w:r w:rsidRPr="0035686A">
              <w:rPr>
                <w:lang w:val="en-AU" w:eastAsia="en-AU"/>
              </w:rPr>
              <w:t>2017-18 FY</w:t>
            </w:r>
          </w:p>
        </w:tc>
        <w:tc>
          <w:tcPr>
            <w:tcW w:w="3209" w:type="dxa"/>
          </w:tcPr>
          <w:p w14:paraId="592B1C9D" w14:textId="104144D0" w:rsidR="002663B4" w:rsidRPr="0035686A" w:rsidRDefault="002663B4" w:rsidP="002663B4">
            <w:pPr>
              <w:pStyle w:val="TableCopy"/>
              <w:jc w:val="right"/>
              <w:rPr>
                <w:lang w:val="en-AU"/>
              </w:rPr>
            </w:pPr>
            <w:r w:rsidRPr="0035686A">
              <w:rPr>
                <w:lang w:val="en-AU"/>
              </w:rPr>
              <w:t>93</w:t>
            </w:r>
          </w:p>
        </w:tc>
        <w:tc>
          <w:tcPr>
            <w:tcW w:w="3210" w:type="dxa"/>
          </w:tcPr>
          <w:p w14:paraId="65F59231" w14:textId="2F5F75F3" w:rsidR="002663B4" w:rsidRPr="0035686A" w:rsidRDefault="002663B4" w:rsidP="002663B4">
            <w:pPr>
              <w:pStyle w:val="TableCopy"/>
              <w:jc w:val="right"/>
              <w:rPr>
                <w:lang w:val="en-AU"/>
              </w:rPr>
            </w:pPr>
            <w:r w:rsidRPr="0035686A">
              <w:rPr>
                <w:lang w:val="en-AU" w:eastAsia="en-AU"/>
              </w:rPr>
              <w:t>57.1</w:t>
            </w:r>
          </w:p>
        </w:tc>
      </w:tr>
      <w:tr w:rsidR="002663B4" w:rsidRPr="0035686A" w14:paraId="49C06EBD" w14:textId="77777777" w:rsidTr="00822889">
        <w:trPr>
          <w:cantSplit/>
        </w:trPr>
        <w:tc>
          <w:tcPr>
            <w:tcW w:w="3209" w:type="dxa"/>
          </w:tcPr>
          <w:p w14:paraId="3D48E6FD" w14:textId="3D4662E7" w:rsidR="002663B4" w:rsidRPr="0035686A" w:rsidRDefault="002663B4" w:rsidP="002663B4">
            <w:pPr>
              <w:pStyle w:val="TableCopy"/>
              <w:rPr>
                <w:lang w:val="en-AU"/>
              </w:rPr>
            </w:pPr>
            <w:r w:rsidRPr="0035686A">
              <w:rPr>
                <w:lang w:val="en-AU" w:eastAsia="en-AU"/>
              </w:rPr>
              <w:t>2018-19 FY</w:t>
            </w:r>
          </w:p>
        </w:tc>
        <w:tc>
          <w:tcPr>
            <w:tcW w:w="3209" w:type="dxa"/>
          </w:tcPr>
          <w:p w14:paraId="30D23A5F" w14:textId="32F98E8B" w:rsidR="002663B4" w:rsidRPr="0035686A" w:rsidRDefault="002663B4" w:rsidP="002663B4">
            <w:pPr>
              <w:pStyle w:val="TableCopy"/>
              <w:jc w:val="right"/>
              <w:rPr>
                <w:lang w:val="en-AU"/>
              </w:rPr>
            </w:pPr>
            <w:r w:rsidRPr="0035686A">
              <w:rPr>
                <w:lang w:val="en-AU"/>
              </w:rPr>
              <w:t>125</w:t>
            </w:r>
          </w:p>
        </w:tc>
        <w:tc>
          <w:tcPr>
            <w:tcW w:w="3210" w:type="dxa"/>
          </w:tcPr>
          <w:p w14:paraId="0C162CC6" w14:textId="261B6AB0" w:rsidR="002663B4" w:rsidRPr="0035686A" w:rsidRDefault="002663B4" w:rsidP="002663B4">
            <w:pPr>
              <w:pStyle w:val="TableCopy"/>
              <w:jc w:val="right"/>
              <w:rPr>
                <w:lang w:val="en-AU"/>
              </w:rPr>
            </w:pPr>
            <w:r w:rsidRPr="0035686A">
              <w:rPr>
                <w:lang w:val="en-AU" w:eastAsia="en-AU"/>
              </w:rPr>
              <w:t>78.8</w:t>
            </w:r>
          </w:p>
        </w:tc>
      </w:tr>
      <w:tr w:rsidR="002663B4" w:rsidRPr="0035686A" w14:paraId="4A41B3AD" w14:textId="77777777" w:rsidTr="00822889">
        <w:trPr>
          <w:cantSplit/>
        </w:trPr>
        <w:tc>
          <w:tcPr>
            <w:tcW w:w="3209" w:type="dxa"/>
          </w:tcPr>
          <w:p w14:paraId="76651516" w14:textId="6BF99A41" w:rsidR="002663B4" w:rsidRPr="0035686A" w:rsidRDefault="002663B4" w:rsidP="002663B4">
            <w:pPr>
              <w:pStyle w:val="TableCopy"/>
              <w:rPr>
                <w:lang w:val="en-AU"/>
              </w:rPr>
            </w:pPr>
            <w:r w:rsidRPr="0035686A">
              <w:rPr>
                <w:lang w:val="en-AU" w:eastAsia="en-AU"/>
              </w:rPr>
              <w:t>2019-20 FY</w:t>
            </w:r>
          </w:p>
        </w:tc>
        <w:tc>
          <w:tcPr>
            <w:tcW w:w="3209" w:type="dxa"/>
          </w:tcPr>
          <w:p w14:paraId="1EE6D153" w14:textId="2ADE4011" w:rsidR="002663B4" w:rsidRPr="0035686A" w:rsidRDefault="002663B4" w:rsidP="002663B4">
            <w:pPr>
              <w:pStyle w:val="TableCopy"/>
              <w:jc w:val="right"/>
              <w:rPr>
                <w:lang w:val="en-AU"/>
              </w:rPr>
            </w:pPr>
            <w:r w:rsidRPr="0035686A">
              <w:rPr>
                <w:lang w:val="en-AU"/>
              </w:rPr>
              <w:t>157</w:t>
            </w:r>
          </w:p>
        </w:tc>
        <w:tc>
          <w:tcPr>
            <w:tcW w:w="3210" w:type="dxa"/>
          </w:tcPr>
          <w:p w14:paraId="17F91906" w14:textId="76C6D966" w:rsidR="002663B4" w:rsidRPr="0035686A" w:rsidRDefault="002663B4" w:rsidP="002663B4">
            <w:pPr>
              <w:pStyle w:val="TableCopy"/>
              <w:jc w:val="right"/>
              <w:rPr>
                <w:lang w:val="en-AU"/>
              </w:rPr>
            </w:pPr>
            <w:r w:rsidRPr="0035686A">
              <w:rPr>
                <w:lang w:val="en-AU" w:eastAsia="en-AU"/>
              </w:rPr>
              <w:t>85.4</w:t>
            </w:r>
          </w:p>
        </w:tc>
      </w:tr>
      <w:tr w:rsidR="002663B4" w:rsidRPr="0035686A" w14:paraId="5251DB93" w14:textId="77777777" w:rsidTr="00822889">
        <w:trPr>
          <w:cantSplit/>
        </w:trPr>
        <w:tc>
          <w:tcPr>
            <w:tcW w:w="3209" w:type="dxa"/>
          </w:tcPr>
          <w:p w14:paraId="5596CC0A" w14:textId="003F6425" w:rsidR="002663B4" w:rsidRPr="0035686A" w:rsidRDefault="002663B4" w:rsidP="002663B4">
            <w:pPr>
              <w:pStyle w:val="TableCopy"/>
              <w:rPr>
                <w:lang w:val="en-AU"/>
              </w:rPr>
            </w:pPr>
            <w:r w:rsidRPr="0035686A">
              <w:rPr>
                <w:lang w:val="en-AU" w:eastAsia="en-AU"/>
              </w:rPr>
              <w:t>2020-21 FY</w:t>
            </w:r>
          </w:p>
        </w:tc>
        <w:tc>
          <w:tcPr>
            <w:tcW w:w="3209" w:type="dxa"/>
          </w:tcPr>
          <w:p w14:paraId="151E6D75" w14:textId="2B4C904A" w:rsidR="002663B4" w:rsidRPr="0035686A" w:rsidRDefault="002663B4" w:rsidP="002663B4">
            <w:pPr>
              <w:pStyle w:val="TableCopy"/>
              <w:jc w:val="right"/>
              <w:rPr>
                <w:lang w:val="en-AU"/>
              </w:rPr>
            </w:pPr>
            <w:r w:rsidRPr="0035686A">
              <w:rPr>
                <w:lang w:val="en-AU"/>
              </w:rPr>
              <w:t>198</w:t>
            </w:r>
          </w:p>
        </w:tc>
        <w:tc>
          <w:tcPr>
            <w:tcW w:w="3210" w:type="dxa"/>
          </w:tcPr>
          <w:p w14:paraId="4B59E277" w14:textId="18E072D6" w:rsidR="002663B4" w:rsidRPr="0035686A" w:rsidRDefault="002663B4" w:rsidP="002663B4">
            <w:pPr>
              <w:pStyle w:val="TableCopy"/>
              <w:jc w:val="right"/>
              <w:rPr>
                <w:lang w:val="en-AU"/>
              </w:rPr>
            </w:pPr>
            <w:r w:rsidRPr="0035686A">
              <w:rPr>
                <w:lang w:val="en-AU" w:eastAsia="en-AU"/>
              </w:rPr>
              <w:t>98</w:t>
            </w:r>
          </w:p>
        </w:tc>
      </w:tr>
      <w:tr w:rsidR="002663B4" w:rsidRPr="0035686A" w14:paraId="04CF7A5E" w14:textId="77777777" w:rsidTr="00822889">
        <w:trPr>
          <w:cantSplit/>
        </w:trPr>
        <w:tc>
          <w:tcPr>
            <w:tcW w:w="3209" w:type="dxa"/>
          </w:tcPr>
          <w:p w14:paraId="13EA3F6D" w14:textId="01CCCB59" w:rsidR="002663B4" w:rsidRPr="0035686A" w:rsidRDefault="002663B4" w:rsidP="002663B4">
            <w:pPr>
              <w:pStyle w:val="TableCopy"/>
              <w:rPr>
                <w:lang w:val="en-AU" w:eastAsia="en-AU"/>
              </w:rPr>
            </w:pPr>
            <w:r w:rsidRPr="0035686A">
              <w:rPr>
                <w:lang w:val="en-AU" w:eastAsia="en-AU"/>
              </w:rPr>
              <w:t>2021-22 FY</w:t>
            </w:r>
          </w:p>
        </w:tc>
        <w:tc>
          <w:tcPr>
            <w:tcW w:w="3209" w:type="dxa"/>
          </w:tcPr>
          <w:p w14:paraId="1C8FFF8F" w14:textId="33481EA1" w:rsidR="002663B4" w:rsidRPr="0035686A" w:rsidRDefault="002663B4" w:rsidP="002663B4">
            <w:pPr>
              <w:pStyle w:val="TableCopy"/>
              <w:jc w:val="right"/>
              <w:rPr>
                <w:lang w:val="en-AU"/>
              </w:rPr>
            </w:pPr>
            <w:r w:rsidRPr="0035686A">
              <w:rPr>
                <w:lang w:val="en-AU"/>
              </w:rPr>
              <w:t>253</w:t>
            </w:r>
          </w:p>
        </w:tc>
        <w:tc>
          <w:tcPr>
            <w:tcW w:w="3210" w:type="dxa"/>
          </w:tcPr>
          <w:p w14:paraId="5B4BC4F3" w14:textId="3507B788" w:rsidR="002663B4" w:rsidRPr="0035686A" w:rsidRDefault="002663B4" w:rsidP="002663B4">
            <w:pPr>
              <w:pStyle w:val="TableCopy"/>
              <w:jc w:val="right"/>
              <w:rPr>
                <w:lang w:val="en-AU"/>
              </w:rPr>
            </w:pPr>
            <w:r w:rsidRPr="0035686A">
              <w:rPr>
                <w:lang w:val="en-AU" w:eastAsia="en-AU"/>
              </w:rPr>
              <w:t>117.5</w:t>
            </w:r>
          </w:p>
        </w:tc>
      </w:tr>
      <w:tr w:rsidR="002663B4" w:rsidRPr="0035686A" w14:paraId="50FE12B6" w14:textId="77777777" w:rsidTr="00822889">
        <w:trPr>
          <w:cantSplit/>
        </w:trPr>
        <w:tc>
          <w:tcPr>
            <w:tcW w:w="3209" w:type="dxa"/>
          </w:tcPr>
          <w:p w14:paraId="14C70D66" w14:textId="24062A99" w:rsidR="002663B4" w:rsidRPr="0035686A" w:rsidRDefault="002663B4" w:rsidP="002663B4">
            <w:pPr>
              <w:pStyle w:val="TableCopy"/>
              <w:rPr>
                <w:lang w:val="en-AU" w:eastAsia="en-AU"/>
              </w:rPr>
            </w:pPr>
            <w:r w:rsidRPr="0035686A">
              <w:rPr>
                <w:lang w:val="en-AU" w:eastAsia="en-AU"/>
              </w:rPr>
              <w:t>2022-23 FY</w:t>
            </w:r>
          </w:p>
        </w:tc>
        <w:tc>
          <w:tcPr>
            <w:tcW w:w="3209" w:type="dxa"/>
          </w:tcPr>
          <w:p w14:paraId="3359C5F1" w14:textId="70CBE5B8" w:rsidR="002663B4" w:rsidRPr="0035686A" w:rsidRDefault="002663B4" w:rsidP="002663B4">
            <w:pPr>
              <w:pStyle w:val="TableCopy"/>
              <w:jc w:val="right"/>
              <w:rPr>
                <w:lang w:val="en-AU"/>
              </w:rPr>
            </w:pPr>
            <w:r w:rsidRPr="0035686A">
              <w:rPr>
                <w:lang w:val="en-AU"/>
              </w:rPr>
              <w:t>300</w:t>
            </w:r>
          </w:p>
        </w:tc>
        <w:tc>
          <w:tcPr>
            <w:tcW w:w="3210" w:type="dxa"/>
          </w:tcPr>
          <w:p w14:paraId="160B77C2" w14:textId="31092331" w:rsidR="002663B4" w:rsidRPr="0035686A" w:rsidRDefault="002663B4" w:rsidP="002663B4">
            <w:pPr>
              <w:pStyle w:val="TableCopy"/>
              <w:jc w:val="right"/>
              <w:rPr>
                <w:lang w:val="en-AU"/>
              </w:rPr>
            </w:pPr>
            <w:r w:rsidRPr="0035686A">
              <w:rPr>
                <w:lang w:val="en-AU" w:eastAsia="en-AU"/>
              </w:rPr>
              <w:t>144.6</w:t>
            </w:r>
          </w:p>
        </w:tc>
      </w:tr>
      <w:tr w:rsidR="009E12D8" w:rsidRPr="0035686A" w14:paraId="1E41621E" w14:textId="77777777" w:rsidTr="00822889">
        <w:trPr>
          <w:cantSplit/>
        </w:trPr>
        <w:tc>
          <w:tcPr>
            <w:tcW w:w="3209" w:type="dxa"/>
          </w:tcPr>
          <w:p w14:paraId="1E9E10F7" w14:textId="65E074F6" w:rsidR="009E12D8" w:rsidRPr="0035686A" w:rsidRDefault="005A3BA1" w:rsidP="009E12D8">
            <w:pPr>
              <w:pStyle w:val="TableCopy"/>
              <w:rPr>
                <w:lang w:val="en-AU" w:eastAsia="en-AU"/>
              </w:rPr>
            </w:pPr>
            <w:r w:rsidRPr="0035686A">
              <w:rPr>
                <w:lang w:val="en-AU" w:eastAsia="en-AU"/>
              </w:rPr>
              <w:t>202</w:t>
            </w:r>
            <w:r w:rsidR="00E20FA2" w:rsidRPr="0035686A">
              <w:rPr>
                <w:lang w:val="en-AU" w:eastAsia="en-AU"/>
              </w:rPr>
              <w:t>3</w:t>
            </w:r>
            <w:r w:rsidRPr="0035686A">
              <w:rPr>
                <w:lang w:val="en-AU" w:eastAsia="en-AU"/>
              </w:rPr>
              <w:t>-2</w:t>
            </w:r>
            <w:r w:rsidR="00E20FA2" w:rsidRPr="0035686A">
              <w:rPr>
                <w:lang w:val="en-AU" w:eastAsia="en-AU"/>
              </w:rPr>
              <w:t>4</w:t>
            </w:r>
            <w:r w:rsidR="009E12D8" w:rsidRPr="0035686A">
              <w:rPr>
                <w:lang w:val="en-AU" w:eastAsia="en-AU"/>
              </w:rPr>
              <w:t xml:space="preserve"> FY</w:t>
            </w:r>
          </w:p>
        </w:tc>
        <w:tc>
          <w:tcPr>
            <w:tcW w:w="3209" w:type="dxa"/>
          </w:tcPr>
          <w:p w14:paraId="30FD8A34" w14:textId="51B97B32" w:rsidR="009E12D8" w:rsidRPr="0035686A" w:rsidRDefault="009E12D8" w:rsidP="009E12D8">
            <w:pPr>
              <w:pStyle w:val="TableCopy"/>
              <w:jc w:val="right"/>
              <w:rPr>
                <w:lang w:val="en-AU"/>
              </w:rPr>
            </w:pPr>
            <w:r w:rsidRPr="0035686A">
              <w:rPr>
                <w:lang w:val="en-AU"/>
              </w:rPr>
              <w:t>349</w:t>
            </w:r>
          </w:p>
        </w:tc>
        <w:tc>
          <w:tcPr>
            <w:tcW w:w="3210" w:type="dxa"/>
          </w:tcPr>
          <w:p w14:paraId="09ABC8C2" w14:textId="60C2D585" w:rsidR="009E12D8" w:rsidRPr="0035686A" w:rsidRDefault="009E12D8" w:rsidP="009E12D8">
            <w:pPr>
              <w:pStyle w:val="TableCopy"/>
              <w:jc w:val="right"/>
              <w:rPr>
                <w:lang w:val="en-AU" w:eastAsia="en-AU"/>
              </w:rPr>
            </w:pPr>
            <w:r w:rsidRPr="0035686A">
              <w:rPr>
                <w:lang w:val="en-AU" w:eastAsia="en-AU"/>
              </w:rPr>
              <w:t>175.1</w:t>
            </w:r>
          </w:p>
        </w:tc>
      </w:tr>
      <w:tr w:rsidR="00E20FA2" w:rsidRPr="0035686A" w14:paraId="644ADC38" w14:textId="77777777" w:rsidTr="00822889">
        <w:trPr>
          <w:cantSplit/>
        </w:trPr>
        <w:tc>
          <w:tcPr>
            <w:tcW w:w="3209" w:type="dxa"/>
          </w:tcPr>
          <w:p w14:paraId="72B5BC86" w14:textId="409F59D5" w:rsidR="00E20FA2" w:rsidRPr="0035686A" w:rsidRDefault="00E20FA2" w:rsidP="009E12D8">
            <w:pPr>
              <w:pStyle w:val="TableCopy"/>
              <w:rPr>
                <w:lang w:val="en-AU" w:eastAsia="en-AU"/>
              </w:rPr>
            </w:pPr>
            <w:r w:rsidRPr="0035686A">
              <w:rPr>
                <w:lang w:val="en-AU" w:eastAsia="en-AU"/>
              </w:rPr>
              <w:t>2024-25 FY</w:t>
            </w:r>
          </w:p>
        </w:tc>
        <w:tc>
          <w:tcPr>
            <w:tcW w:w="3209" w:type="dxa"/>
          </w:tcPr>
          <w:p w14:paraId="410E46BB" w14:textId="2F2D1074" w:rsidR="00E20FA2" w:rsidRPr="0035686A" w:rsidRDefault="00E20FA2" w:rsidP="009E12D8">
            <w:pPr>
              <w:pStyle w:val="TableCopy"/>
              <w:jc w:val="right"/>
              <w:rPr>
                <w:lang w:val="en-AU"/>
              </w:rPr>
            </w:pPr>
            <w:r w:rsidRPr="0035686A">
              <w:rPr>
                <w:lang w:val="en-AU"/>
              </w:rPr>
              <w:t>392</w:t>
            </w:r>
          </w:p>
        </w:tc>
        <w:tc>
          <w:tcPr>
            <w:tcW w:w="3210" w:type="dxa"/>
          </w:tcPr>
          <w:p w14:paraId="5BBC5D0E" w14:textId="7A82D73C" w:rsidR="00E20FA2" w:rsidRPr="0035686A" w:rsidRDefault="00E20FA2" w:rsidP="00E20FA2">
            <w:pPr>
              <w:pStyle w:val="TableCopy"/>
              <w:jc w:val="right"/>
              <w:rPr>
                <w:lang w:val="en-AU" w:eastAsia="en-AU"/>
              </w:rPr>
            </w:pPr>
            <w:r w:rsidRPr="0035686A">
              <w:rPr>
                <w:lang w:val="en-AU" w:eastAsia="en-AU"/>
              </w:rPr>
              <w:t>189.8</w:t>
            </w:r>
          </w:p>
        </w:tc>
      </w:tr>
    </w:tbl>
    <w:p w14:paraId="1BB24A4F" w14:textId="05930DAF" w:rsidR="00E856EF" w:rsidRPr="0035686A" w:rsidRDefault="00E856EF" w:rsidP="00926565">
      <w:pPr>
        <w:rPr>
          <w:lang w:eastAsia="en-AU"/>
        </w:rPr>
      </w:pPr>
    </w:p>
    <w:p w14:paraId="0DC4239E" w14:textId="77777777" w:rsidR="00DC4D4A" w:rsidRPr="0035686A" w:rsidRDefault="00DC4D4A" w:rsidP="00565EF7">
      <w:pPr>
        <w:rPr>
          <w:lang w:eastAsia="en-AU"/>
        </w:rPr>
      </w:pPr>
      <w:r w:rsidRPr="0035686A">
        <w:rPr>
          <w:lang w:eastAsia="en-AU"/>
        </w:rPr>
        <w:t>Ministerial requirements</w:t>
      </w:r>
    </w:p>
    <w:p w14:paraId="410FFA73" w14:textId="77777777" w:rsidR="00F97BCE" w:rsidRDefault="00F97BCE" w:rsidP="00F97BCE">
      <w:pPr>
        <w:pStyle w:val="Bullet"/>
        <w:rPr>
          <w:lang w:eastAsia="en-AU"/>
        </w:rPr>
      </w:pPr>
      <w:r>
        <w:rPr>
          <w:lang w:eastAsia="en-AU"/>
        </w:rPr>
        <w:t>88% average minimum local content requirement set across all strategic projects including goods and services projects</w:t>
      </w:r>
    </w:p>
    <w:p w14:paraId="1D07F15C" w14:textId="77777777" w:rsidR="00F97BCE" w:rsidRDefault="00F97BCE" w:rsidP="00F97BCE">
      <w:pPr>
        <w:pStyle w:val="Bullet"/>
        <w:rPr>
          <w:lang w:eastAsia="en-AU"/>
        </w:rPr>
      </w:pPr>
      <w:r>
        <w:rPr>
          <w:lang w:eastAsia="en-AU"/>
        </w:rPr>
        <w:t>91% average minimum local content requirement set across all strategic construction projects</w:t>
      </w:r>
    </w:p>
    <w:p w14:paraId="6C2251A1" w14:textId="518756FC" w:rsidR="00F97BCE" w:rsidRDefault="00F97BCE" w:rsidP="00F97BCE">
      <w:pPr>
        <w:pStyle w:val="Bullet"/>
      </w:pPr>
      <w:r>
        <w:rPr>
          <w:lang w:eastAsia="en-AU"/>
        </w:rPr>
        <w:t>138 strategic projects with a local steel requirement.</w:t>
      </w:r>
    </w:p>
    <w:p w14:paraId="42E38490" w14:textId="0BC23588" w:rsidR="00C575A9" w:rsidRPr="0035686A" w:rsidRDefault="00565EF7" w:rsidP="00565EF7">
      <w:pPr>
        <w:rPr>
          <w:lang w:eastAsia="en-AU"/>
        </w:rPr>
      </w:pPr>
      <w:r w:rsidRPr="0035686A">
        <w:rPr>
          <w:lang w:eastAsia="en-AU"/>
        </w:rPr>
        <w:t>Local Industry Development Plan (LIDP) commitments</w:t>
      </w:r>
    </w:p>
    <w:p w14:paraId="461F662C" w14:textId="4174259E" w:rsidR="00F97BCE" w:rsidRDefault="00F97BCE" w:rsidP="00F97BCE">
      <w:pPr>
        <w:pStyle w:val="Bullet"/>
        <w:rPr>
          <w:lang w:eastAsia="en-AU"/>
        </w:rPr>
      </w:pPr>
      <w:r>
        <w:rPr>
          <w:lang w:eastAsia="en-AU"/>
        </w:rPr>
        <w:t>79%</w:t>
      </w:r>
      <w:r>
        <w:rPr>
          <w:rStyle w:val="FootnoteReference"/>
          <w:lang w:eastAsia="en-AU"/>
        </w:rPr>
        <w:footnoteReference w:id="2"/>
      </w:r>
      <w:r>
        <w:rPr>
          <w:lang w:eastAsia="en-AU"/>
        </w:rPr>
        <w:t xml:space="preserve"> average local content committed in LIDPs across all strategic projects including goods and services projects</w:t>
      </w:r>
    </w:p>
    <w:p w14:paraId="3D9F866B" w14:textId="77777777" w:rsidR="00F97BCE" w:rsidRDefault="00F97BCE" w:rsidP="00F97BCE">
      <w:pPr>
        <w:pStyle w:val="Bullet"/>
        <w:rPr>
          <w:lang w:eastAsia="en-AU"/>
        </w:rPr>
      </w:pPr>
      <w:r>
        <w:rPr>
          <w:lang w:eastAsia="en-AU"/>
        </w:rPr>
        <w:t>83%</w:t>
      </w:r>
      <w:r w:rsidRPr="00F97BCE">
        <w:rPr>
          <w:vertAlign w:val="superscript"/>
          <w:lang w:eastAsia="en-AU"/>
        </w:rPr>
        <w:t>2</w:t>
      </w:r>
      <w:r>
        <w:rPr>
          <w:lang w:eastAsia="en-AU"/>
        </w:rPr>
        <w:t xml:space="preserve"> average local content committed in LIDPs across all strategic construction projects</w:t>
      </w:r>
    </w:p>
    <w:p w14:paraId="2BF487F2" w14:textId="77777777" w:rsidR="00F97BCE" w:rsidRDefault="00F97BCE" w:rsidP="00F97BCE">
      <w:pPr>
        <w:pStyle w:val="Bullet"/>
        <w:rPr>
          <w:lang w:eastAsia="en-AU"/>
        </w:rPr>
      </w:pPr>
      <w:r>
        <w:rPr>
          <w:lang w:eastAsia="en-AU"/>
        </w:rPr>
        <w:t>91% average local steel content committed in LIDPs across all strategic projects with local steel requirements</w:t>
      </w:r>
    </w:p>
    <w:p w14:paraId="537FE0BC" w14:textId="17768A55" w:rsidR="00F97BCE" w:rsidRDefault="00F97BCE" w:rsidP="00F97BCE">
      <w:pPr>
        <w:pStyle w:val="Bullet"/>
      </w:pPr>
      <w:r>
        <w:rPr>
          <w:lang w:eastAsia="en-AU"/>
        </w:rPr>
        <w:t>68,038 jobs committed in LIDPs across all strategic projects.</w:t>
      </w:r>
    </w:p>
    <w:p w14:paraId="409916FB" w14:textId="10FDEE82" w:rsidR="00D06756" w:rsidRPr="0035686A" w:rsidRDefault="00565EF7" w:rsidP="00F97BCE">
      <w:pPr>
        <w:pStyle w:val="FootnoteText"/>
        <w:ind w:left="0" w:firstLine="0"/>
        <w:rPr>
          <w:lang w:eastAsia="en-AU"/>
        </w:rPr>
      </w:pPr>
      <w:r w:rsidRPr="0035686A">
        <w:rPr>
          <w:lang w:eastAsia="en-AU"/>
        </w:rPr>
        <w:lastRenderedPageBreak/>
        <w:t>A Strategic Project is a project with a budget of $50 million or more or a project that has been declared to be a Strategic Project by the Minister responsible for Local Jobs First.</w:t>
      </w:r>
    </w:p>
    <w:p w14:paraId="3B72BB61" w14:textId="3F028B31" w:rsidR="00D06756" w:rsidRPr="0035686A" w:rsidRDefault="00565EF7" w:rsidP="00B67F56">
      <w:pPr>
        <w:keepNext/>
        <w:keepLines/>
        <w:autoSpaceDE w:val="0"/>
        <w:autoSpaceDN w:val="0"/>
        <w:adjustRightInd w:val="0"/>
        <w:spacing w:before="227" w:after="113" w:line="288" w:lineRule="auto"/>
        <w:textAlignment w:val="center"/>
        <w:rPr>
          <w:rFonts w:asciiTheme="minorHAnsi" w:eastAsiaTheme="minorEastAsia" w:hAnsiTheme="minorHAnsi" w:cstheme="minorHAnsi"/>
          <w:b/>
          <w:bCs/>
          <w:color w:val="000000"/>
          <w:szCs w:val="24"/>
          <w:lang w:eastAsia="en-AU"/>
        </w:rPr>
      </w:pPr>
      <w:r w:rsidRPr="0035686A">
        <w:rPr>
          <w:rFonts w:asciiTheme="minorHAnsi" w:eastAsiaTheme="minorEastAsia" w:hAnsiTheme="minorHAnsi" w:cstheme="minorHAnsi"/>
          <w:b/>
          <w:bCs/>
          <w:color w:val="000000"/>
          <w:szCs w:val="24"/>
          <w:lang w:eastAsia="en-AU"/>
        </w:rPr>
        <w:t>Since 2015, Local Jobs First has been applied to:</w:t>
      </w:r>
    </w:p>
    <w:p w14:paraId="2F91264E" w14:textId="48047ACC" w:rsidR="00B67F56" w:rsidRPr="0035686A" w:rsidRDefault="00565EF7" w:rsidP="007A3673">
      <w:pPr>
        <w:pStyle w:val="Bullet"/>
        <w:rPr>
          <w:lang w:eastAsia="en-AU"/>
        </w:rPr>
      </w:pPr>
      <w:r w:rsidRPr="0035686A">
        <w:rPr>
          <w:lang w:eastAsia="en-AU"/>
        </w:rPr>
        <w:t>3,143</w:t>
      </w:r>
      <w:r w:rsidR="007A3673" w:rsidRPr="0035686A">
        <w:rPr>
          <w:lang w:eastAsia="en-AU"/>
        </w:rPr>
        <w:t xml:space="preserve"> Standard projects</w:t>
      </w:r>
    </w:p>
    <w:p w14:paraId="7B790E6A" w14:textId="697AB075" w:rsidR="009F2793" w:rsidRPr="0035686A" w:rsidRDefault="009F2793" w:rsidP="009F2793">
      <w:pPr>
        <w:pStyle w:val="Bullet2"/>
        <w:rPr>
          <w:lang w:eastAsia="en-AU"/>
        </w:rPr>
      </w:pPr>
      <w:r w:rsidRPr="0035686A">
        <w:rPr>
          <w:lang w:eastAsia="en-AU"/>
        </w:rPr>
        <w:t>1,</w:t>
      </w:r>
      <w:r w:rsidR="00565EF7" w:rsidRPr="0035686A">
        <w:rPr>
          <w:lang w:eastAsia="en-AU"/>
        </w:rPr>
        <w:t>249</w:t>
      </w:r>
      <w:r w:rsidRPr="0035686A">
        <w:rPr>
          <w:lang w:eastAsia="en-AU"/>
        </w:rPr>
        <w:t xml:space="preserve"> Metro projects</w:t>
      </w:r>
    </w:p>
    <w:p w14:paraId="6E2AFA35" w14:textId="34283CB4" w:rsidR="009F2793" w:rsidRPr="0035686A" w:rsidRDefault="009F2793" w:rsidP="009F2793">
      <w:pPr>
        <w:pStyle w:val="Bullet2"/>
        <w:rPr>
          <w:lang w:eastAsia="en-AU"/>
        </w:rPr>
      </w:pPr>
      <w:r w:rsidRPr="0035686A">
        <w:rPr>
          <w:lang w:eastAsia="en-AU"/>
        </w:rPr>
        <w:t>1,</w:t>
      </w:r>
      <w:r w:rsidR="00565EF7" w:rsidRPr="0035686A">
        <w:rPr>
          <w:lang w:eastAsia="en-AU"/>
        </w:rPr>
        <w:t>403</w:t>
      </w:r>
      <w:r w:rsidRPr="0035686A">
        <w:rPr>
          <w:lang w:eastAsia="en-AU"/>
        </w:rPr>
        <w:t xml:space="preserve"> Regional projects</w:t>
      </w:r>
    </w:p>
    <w:p w14:paraId="5035401C" w14:textId="230B1C38" w:rsidR="007A3673" w:rsidRPr="0035686A" w:rsidRDefault="009E12D8" w:rsidP="009F2793">
      <w:pPr>
        <w:pStyle w:val="Bullet2"/>
        <w:rPr>
          <w:lang w:eastAsia="en-AU"/>
        </w:rPr>
      </w:pPr>
      <w:r w:rsidRPr="0035686A">
        <w:rPr>
          <w:lang w:eastAsia="en-AU"/>
        </w:rPr>
        <w:t>4</w:t>
      </w:r>
      <w:r w:rsidR="00565EF7" w:rsidRPr="0035686A">
        <w:rPr>
          <w:lang w:eastAsia="en-AU"/>
        </w:rPr>
        <w:t>91</w:t>
      </w:r>
      <w:r w:rsidR="009F2793" w:rsidRPr="0035686A">
        <w:rPr>
          <w:lang w:eastAsia="en-AU"/>
        </w:rPr>
        <w:t xml:space="preserve"> Statewide projects</w:t>
      </w:r>
    </w:p>
    <w:p w14:paraId="7AE46090" w14:textId="157DB457" w:rsidR="009F2793" w:rsidRPr="0035686A" w:rsidRDefault="009614B7" w:rsidP="00565EF7">
      <w:pPr>
        <w:pStyle w:val="Bullet"/>
      </w:pPr>
      <w:r w:rsidRPr="0035686A">
        <w:t xml:space="preserve">Worth </w:t>
      </w:r>
      <w:r w:rsidR="00565EF7" w:rsidRPr="0035686A">
        <w:t>$26.0 billion in total</w:t>
      </w:r>
    </w:p>
    <w:p w14:paraId="6DAE8B2C" w14:textId="487EB30B" w:rsidR="009614B7" w:rsidRPr="0035686A" w:rsidRDefault="009614B7" w:rsidP="009614B7">
      <w:pPr>
        <w:rPr>
          <w:lang w:eastAsia="en-AU"/>
        </w:rPr>
      </w:pPr>
      <w:r w:rsidRPr="0035686A">
        <w:rPr>
          <w:noProof/>
          <w:lang w:eastAsia="en-AU"/>
        </w:rPr>
        <w:drawing>
          <wp:inline distT="0" distB="0" distL="0" distR="0" wp14:anchorId="3FA77D52" wp14:editId="70480E12">
            <wp:extent cx="6120128" cy="1612565"/>
            <wp:effectExtent l="0" t="0" r="1905" b="63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5"/>
                    <a:stretch>
                      <a:fillRect/>
                    </a:stretch>
                  </pic:blipFill>
                  <pic:spPr>
                    <a:xfrm>
                      <a:off x="0" y="0"/>
                      <a:ext cx="6120128" cy="1612565"/>
                    </a:xfrm>
                    <a:prstGeom prst="rect">
                      <a:avLst/>
                    </a:prstGeom>
                  </pic:spPr>
                </pic:pic>
              </a:graphicData>
            </a:graphic>
          </wp:inline>
        </w:drawing>
      </w:r>
    </w:p>
    <w:tbl>
      <w:tblPr>
        <w:tblStyle w:val="TableGrid"/>
        <w:tblW w:w="0" w:type="auto"/>
        <w:tblLook w:val="04A0" w:firstRow="1" w:lastRow="0" w:firstColumn="1" w:lastColumn="0" w:noHBand="0" w:noVBand="1"/>
      </w:tblPr>
      <w:tblGrid>
        <w:gridCol w:w="3209"/>
        <w:gridCol w:w="3209"/>
        <w:gridCol w:w="3210"/>
      </w:tblGrid>
      <w:tr w:rsidR="004B09F2" w:rsidRPr="0035686A" w14:paraId="262AB400" w14:textId="77777777" w:rsidTr="007C3917">
        <w:trPr>
          <w:cantSplit/>
          <w:tblHeader/>
        </w:trPr>
        <w:tc>
          <w:tcPr>
            <w:tcW w:w="3209" w:type="dxa"/>
          </w:tcPr>
          <w:p w14:paraId="435ACA86" w14:textId="77777777" w:rsidR="004B09F2" w:rsidRPr="0035686A" w:rsidRDefault="004B09F2" w:rsidP="009E0CAD">
            <w:pPr>
              <w:pStyle w:val="TableColumnHeading"/>
              <w:rPr>
                <w:lang w:val="en-AU"/>
              </w:rPr>
            </w:pPr>
            <w:bookmarkStart w:id="4" w:name="ColumnTitles_2"/>
            <w:bookmarkEnd w:id="4"/>
          </w:p>
        </w:tc>
        <w:tc>
          <w:tcPr>
            <w:tcW w:w="3209" w:type="dxa"/>
          </w:tcPr>
          <w:p w14:paraId="0D184881" w14:textId="77777777" w:rsidR="004B09F2" w:rsidRPr="0035686A" w:rsidRDefault="004B09F2" w:rsidP="009E0CAD">
            <w:pPr>
              <w:pStyle w:val="TableColumnHeading"/>
              <w:jc w:val="right"/>
              <w:rPr>
                <w:lang w:val="en-AU"/>
              </w:rPr>
            </w:pPr>
            <w:r w:rsidRPr="0035686A">
              <w:rPr>
                <w:lang w:val="en-AU"/>
              </w:rPr>
              <w:t>Projects</w:t>
            </w:r>
          </w:p>
        </w:tc>
        <w:tc>
          <w:tcPr>
            <w:tcW w:w="3210" w:type="dxa"/>
          </w:tcPr>
          <w:p w14:paraId="77A23DD3" w14:textId="77777777" w:rsidR="004B09F2" w:rsidRPr="0035686A" w:rsidRDefault="004B09F2" w:rsidP="009E0CAD">
            <w:pPr>
              <w:pStyle w:val="TableColumnHeading"/>
              <w:jc w:val="right"/>
              <w:rPr>
                <w:lang w:val="en-AU"/>
              </w:rPr>
            </w:pPr>
            <w:r w:rsidRPr="0035686A">
              <w:rPr>
                <w:lang w:val="en-AU"/>
              </w:rPr>
              <w:t>Value ($bn)</w:t>
            </w:r>
          </w:p>
        </w:tc>
      </w:tr>
      <w:tr w:rsidR="00A40A32" w:rsidRPr="0035686A" w14:paraId="65ABB693" w14:textId="77777777" w:rsidTr="00B158A3">
        <w:trPr>
          <w:cantSplit/>
        </w:trPr>
        <w:tc>
          <w:tcPr>
            <w:tcW w:w="3209" w:type="dxa"/>
          </w:tcPr>
          <w:p w14:paraId="2AFC3B49" w14:textId="77777777" w:rsidR="00A40A32" w:rsidRPr="0035686A" w:rsidRDefault="00A40A32" w:rsidP="00A40A32">
            <w:pPr>
              <w:pStyle w:val="TableCopy"/>
              <w:rPr>
                <w:lang w:val="en-AU"/>
              </w:rPr>
            </w:pPr>
            <w:r w:rsidRPr="0035686A">
              <w:rPr>
                <w:lang w:val="en-AU" w:eastAsia="en-AU"/>
              </w:rPr>
              <w:t>2015-16 FY</w:t>
            </w:r>
          </w:p>
        </w:tc>
        <w:tc>
          <w:tcPr>
            <w:tcW w:w="3209" w:type="dxa"/>
          </w:tcPr>
          <w:p w14:paraId="297B1984" w14:textId="31A5F7D7" w:rsidR="00A40A32" w:rsidRPr="0035686A" w:rsidRDefault="00A40A32" w:rsidP="00A40A32">
            <w:pPr>
              <w:pStyle w:val="TableCopy"/>
              <w:jc w:val="right"/>
              <w:rPr>
                <w:lang w:val="en-AU"/>
              </w:rPr>
            </w:pPr>
            <w:r w:rsidRPr="0035686A">
              <w:rPr>
                <w:lang w:val="en-AU"/>
              </w:rPr>
              <w:t>224</w:t>
            </w:r>
          </w:p>
        </w:tc>
        <w:tc>
          <w:tcPr>
            <w:tcW w:w="3210" w:type="dxa"/>
          </w:tcPr>
          <w:p w14:paraId="728EA70E" w14:textId="617C90BA" w:rsidR="00A40A32" w:rsidRPr="0035686A" w:rsidRDefault="00A40A32" w:rsidP="00A40A32">
            <w:pPr>
              <w:pStyle w:val="TableCopy"/>
              <w:jc w:val="right"/>
              <w:rPr>
                <w:lang w:val="en-AU"/>
              </w:rPr>
            </w:pPr>
            <w:r w:rsidRPr="0035686A">
              <w:rPr>
                <w:lang w:val="en-AU"/>
              </w:rPr>
              <w:t>1.4</w:t>
            </w:r>
          </w:p>
        </w:tc>
      </w:tr>
      <w:tr w:rsidR="00A40A32" w:rsidRPr="0035686A" w14:paraId="1ECF6097" w14:textId="77777777" w:rsidTr="00B158A3">
        <w:trPr>
          <w:cantSplit/>
        </w:trPr>
        <w:tc>
          <w:tcPr>
            <w:tcW w:w="3209" w:type="dxa"/>
          </w:tcPr>
          <w:p w14:paraId="0788143A" w14:textId="77777777" w:rsidR="00A40A32" w:rsidRPr="0035686A" w:rsidRDefault="00A40A32" w:rsidP="00A40A32">
            <w:pPr>
              <w:pStyle w:val="TableCopy"/>
              <w:rPr>
                <w:lang w:val="en-AU"/>
              </w:rPr>
            </w:pPr>
            <w:r w:rsidRPr="0035686A">
              <w:rPr>
                <w:lang w:val="en-AU" w:eastAsia="en-AU"/>
              </w:rPr>
              <w:t>2016-17 FY</w:t>
            </w:r>
          </w:p>
        </w:tc>
        <w:tc>
          <w:tcPr>
            <w:tcW w:w="3209" w:type="dxa"/>
          </w:tcPr>
          <w:p w14:paraId="0A7C9AFD" w14:textId="7710ADF6" w:rsidR="00A40A32" w:rsidRPr="0035686A" w:rsidRDefault="00A40A32" w:rsidP="00A40A32">
            <w:pPr>
              <w:pStyle w:val="TableCopy"/>
              <w:jc w:val="right"/>
              <w:rPr>
                <w:lang w:val="en-AU"/>
              </w:rPr>
            </w:pPr>
            <w:r w:rsidRPr="0035686A">
              <w:rPr>
                <w:lang w:val="en-AU"/>
              </w:rPr>
              <w:t>541</w:t>
            </w:r>
          </w:p>
        </w:tc>
        <w:tc>
          <w:tcPr>
            <w:tcW w:w="3210" w:type="dxa"/>
          </w:tcPr>
          <w:p w14:paraId="69528BF0" w14:textId="79D90081" w:rsidR="00A40A32" w:rsidRPr="0035686A" w:rsidRDefault="00A40A32" w:rsidP="00A40A32">
            <w:pPr>
              <w:pStyle w:val="TableCopy"/>
              <w:jc w:val="right"/>
              <w:rPr>
                <w:lang w:val="en-AU"/>
              </w:rPr>
            </w:pPr>
            <w:r w:rsidRPr="0035686A">
              <w:rPr>
                <w:lang w:val="en-AU"/>
              </w:rPr>
              <w:t>3.6</w:t>
            </w:r>
          </w:p>
        </w:tc>
      </w:tr>
      <w:tr w:rsidR="00A40A32" w:rsidRPr="0035686A" w14:paraId="160161F7" w14:textId="77777777" w:rsidTr="00B158A3">
        <w:trPr>
          <w:cantSplit/>
        </w:trPr>
        <w:tc>
          <w:tcPr>
            <w:tcW w:w="3209" w:type="dxa"/>
          </w:tcPr>
          <w:p w14:paraId="14B931A3" w14:textId="77777777" w:rsidR="00A40A32" w:rsidRPr="0035686A" w:rsidRDefault="00A40A32" w:rsidP="00A40A32">
            <w:pPr>
              <w:pStyle w:val="TableCopy"/>
              <w:rPr>
                <w:lang w:val="en-AU"/>
              </w:rPr>
            </w:pPr>
            <w:r w:rsidRPr="0035686A">
              <w:rPr>
                <w:lang w:val="en-AU" w:eastAsia="en-AU"/>
              </w:rPr>
              <w:t>2017-18 FY</w:t>
            </w:r>
          </w:p>
        </w:tc>
        <w:tc>
          <w:tcPr>
            <w:tcW w:w="3209" w:type="dxa"/>
          </w:tcPr>
          <w:p w14:paraId="1FB1F735" w14:textId="41C21214" w:rsidR="00A40A32" w:rsidRPr="0035686A" w:rsidRDefault="00A40A32" w:rsidP="00A40A32">
            <w:pPr>
              <w:pStyle w:val="TableCopy"/>
              <w:jc w:val="right"/>
              <w:rPr>
                <w:lang w:val="en-AU"/>
              </w:rPr>
            </w:pPr>
            <w:r w:rsidRPr="0035686A">
              <w:rPr>
                <w:lang w:val="en-AU"/>
              </w:rPr>
              <w:t>957</w:t>
            </w:r>
          </w:p>
        </w:tc>
        <w:tc>
          <w:tcPr>
            <w:tcW w:w="3210" w:type="dxa"/>
          </w:tcPr>
          <w:p w14:paraId="0965808D" w14:textId="23F5689B" w:rsidR="00A40A32" w:rsidRPr="0035686A" w:rsidRDefault="00A40A32" w:rsidP="00A40A32">
            <w:pPr>
              <w:pStyle w:val="TableCopy"/>
              <w:jc w:val="right"/>
              <w:rPr>
                <w:lang w:val="en-AU"/>
              </w:rPr>
            </w:pPr>
            <w:r w:rsidRPr="0035686A">
              <w:rPr>
                <w:lang w:val="en-AU"/>
              </w:rPr>
              <w:t>8.2</w:t>
            </w:r>
          </w:p>
        </w:tc>
      </w:tr>
      <w:tr w:rsidR="00A40A32" w:rsidRPr="0035686A" w14:paraId="6D936225" w14:textId="77777777" w:rsidTr="00B158A3">
        <w:trPr>
          <w:cantSplit/>
        </w:trPr>
        <w:tc>
          <w:tcPr>
            <w:tcW w:w="3209" w:type="dxa"/>
          </w:tcPr>
          <w:p w14:paraId="4E17F1CF" w14:textId="77777777" w:rsidR="00A40A32" w:rsidRPr="0035686A" w:rsidRDefault="00A40A32" w:rsidP="00A40A32">
            <w:pPr>
              <w:pStyle w:val="TableCopy"/>
              <w:rPr>
                <w:lang w:val="en-AU"/>
              </w:rPr>
            </w:pPr>
            <w:r w:rsidRPr="0035686A">
              <w:rPr>
                <w:lang w:val="en-AU" w:eastAsia="en-AU"/>
              </w:rPr>
              <w:t>2018-19 FY</w:t>
            </w:r>
          </w:p>
        </w:tc>
        <w:tc>
          <w:tcPr>
            <w:tcW w:w="3209" w:type="dxa"/>
          </w:tcPr>
          <w:p w14:paraId="07A46B11" w14:textId="221A2451" w:rsidR="00A40A32" w:rsidRPr="0035686A" w:rsidRDefault="00A40A32" w:rsidP="00A40A32">
            <w:pPr>
              <w:pStyle w:val="TableCopy"/>
              <w:jc w:val="right"/>
              <w:rPr>
                <w:lang w:val="en-AU"/>
              </w:rPr>
            </w:pPr>
            <w:r w:rsidRPr="0035686A">
              <w:rPr>
                <w:lang w:val="en-AU"/>
              </w:rPr>
              <w:t>1308</w:t>
            </w:r>
          </w:p>
        </w:tc>
        <w:tc>
          <w:tcPr>
            <w:tcW w:w="3210" w:type="dxa"/>
          </w:tcPr>
          <w:p w14:paraId="49AC2EFC" w14:textId="52DBD824" w:rsidR="00A40A32" w:rsidRPr="0035686A" w:rsidRDefault="00A40A32" w:rsidP="00A40A32">
            <w:pPr>
              <w:pStyle w:val="TableCopy"/>
              <w:jc w:val="right"/>
              <w:rPr>
                <w:lang w:val="en-AU"/>
              </w:rPr>
            </w:pPr>
            <w:r w:rsidRPr="0035686A">
              <w:rPr>
                <w:lang w:val="en-AU"/>
              </w:rPr>
              <w:t>10.6</w:t>
            </w:r>
          </w:p>
        </w:tc>
      </w:tr>
      <w:tr w:rsidR="00A40A32" w:rsidRPr="0035686A" w14:paraId="4A145D1B" w14:textId="77777777" w:rsidTr="00B158A3">
        <w:trPr>
          <w:cantSplit/>
        </w:trPr>
        <w:tc>
          <w:tcPr>
            <w:tcW w:w="3209" w:type="dxa"/>
          </w:tcPr>
          <w:p w14:paraId="4A291529" w14:textId="77777777" w:rsidR="00A40A32" w:rsidRPr="0035686A" w:rsidRDefault="00A40A32" w:rsidP="00A40A32">
            <w:pPr>
              <w:pStyle w:val="TableCopy"/>
              <w:rPr>
                <w:lang w:val="en-AU"/>
              </w:rPr>
            </w:pPr>
            <w:r w:rsidRPr="0035686A">
              <w:rPr>
                <w:lang w:val="en-AU" w:eastAsia="en-AU"/>
              </w:rPr>
              <w:t>2019-20 FY</w:t>
            </w:r>
          </w:p>
        </w:tc>
        <w:tc>
          <w:tcPr>
            <w:tcW w:w="3209" w:type="dxa"/>
          </w:tcPr>
          <w:p w14:paraId="251D9924" w14:textId="154C6C7A" w:rsidR="00A40A32" w:rsidRPr="0035686A" w:rsidRDefault="00A40A32" w:rsidP="00A40A32">
            <w:pPr>
              <w:pStyle w:val="TableCopy"/>
              <w:jc w:val="right"/>
              <w:rPr>
                <w:lang w:val="en-AU"/>
              </w:rPr>
            </w:pPr>
            <w:r w:rsidRPr="0035686A">
              <w:rPr>
                <w:lang w:val="en-AU"/>
              </w:rPr>
              <w:t>1610</w:t>
            </w:r>
          </w:p>
        </w:tc>
        <w:tc>
          <w:tcPr>
            <w:tcW w:w="3210" w:type="dxa"/>
          </w:tcPr>
          <w:p w14:paraId="7B88CC59" w14:textId="2C2A3AC2" w:rsidR="00A40A32" w:rsidRPr="0035686A" w:rsidRDefault="00A40A32" w:rsidP="00A40A32">
            <w:pPr>
              <w:pStyle w:val="TableCopy"/>
              <w:jc w:val="right"/>
              <w:rPr>
                <w:lang w:val="en-AU"/>
              </w:rPr>
            </w:pPr>
            <w:r w:rsidRPr="0035686A">
              <w:rPr>
                <w:lang w:val="en-AU"/>
              </w:rPr>
              <w:t>12.7</w:t>
            </w:r>
          </w:p>
        </w:tc>
      </w:tr>
      <w:tr w:rsidR="00A40A32" w:rsidRPr="0035686A" w14:paraId="5E56A437" w14:textId="77777777" w:rsidTr="00B158A3">
        <w:trPr>
          <w:cantSplit/>
        </w:trPr>
        <w:tc>
          <w:tcPr>
            <w:tcW w:w="3209" w:type="dxa"/>
          </w:tcPr>
          <w:p w14:paraId="0A44A882" w14:textId="77777777" w:rsidR="00A40A32" w:rsidRPr="0035686A" w:rsidRDefault="00A40A32" w:rsidP="00A40A32">
            <w:pPr>
              <w:pStyle w:val="TableCopy"/>
              <w:rPr>
                <w:lang w:val="en-AU"/>
              </w:rPr>
            </w:pPr>
            <w:r w:rsidRPr="0035686A">
              <w:rPr>
                <w:lang w:val="en-AU" w:eastAsia="en-AU"/>
              </w:rPr>
              <w:t>2020-21 FY</w:t>
            </w:r>
          </w:p>
        </w:tc>
        <w:tc>
          <w:tcPr>
            <w:tcW w:w="3209" w:type="dxa"/>
          </w:tcPr>
          <w:p w14:paraId="07013296" w14:textId="4854344E" w:rsidR="00A40A32" w:rsidRPr="0035686A" w:rsidRDefault="00A40A32" w:rsidP="00A40A32">
            <w:pPr>
              <w:pStyle w:val="TableCopy"/>
              <w:jc w:val="right"/>
              <w:rPr>
                <w:lang w:val="en-AU"/>
              </w:rPr>
            </w:pPr>
            <w:r w:rsidRPr="0035686A">
              <w:rPr>
                <w:lang w:val="en-AU"/>
              </w:rPr>
              <w:t>1924</w:t>
            </w:r>
          </w:p>
        </w:tc>
        <w:tc>
          <w:tcPr>
            <w:tcW w:w="3210" w:type="dxa"/>
          </w:tcPr>
          <w:p w14:paraId="53FE502D" w14:textId="51162974" w:rsidR="00A40A32" w:rsidRPr="0035686A" w:rsidRDefault="00A40A32" w:rsidP="00A40A32">
            <w:pPr>
              <w:pStyle w:val="TableCopy"/>
              <w:jc w:val="right"/>
              <w:rPr>
                <w:lang w:val="en-AU"/>
              </w:rPr>
            </w:pPr>
            <w:r w:rsidRPr="0035686A">
              <w:rPr>
                <w:lang w:val="en-AU"/>
              </w:rPr>
              <w:t>14.7</w:t>
            </w:r>
          </w:p>
        </w:tc>
      </w:tr>
      <w:tr w:rsidR="00A40A32" w:rsidRPr="0035686A" w14:paraId="41725767" w14:textId="77777777" w:rsidTr="00B158A3">
        <w:trPr>
          <w:cantSplit/>
        </w:trPr>
        <w:tc>
          <w:tcPr>
            <w:tcW w:w="3209" w:type="dxa"/>
          </w:tcPr>
          <w:p w14:paraId="3CE6B1F7" w14:textId="77777777" w:rsidR="00A40A32" w:rsidRPr="0035686A" w:rsidRDefault="00A40A32" w:rsidP="00A40A32">
            <w:pPr>
              <w:pStyle w:val="TableCopy"/>
              <w:rPr>
                <w:lang w:val="en-AU" w:eastAsia="en-AU"/>
              </w:rPr>
            </w:pPr>
            <w:r w:rsidRPr="0035686A">
              <w:rPr>
                <w:lang w:val="en-AU" w:eastAsia="en-AU"/>
              </w:rPr>
              <w:t>2021-22 FY</w:t>
            </w:r>
          </w:p>
        </w:tc>
        <w:tc>
          <w:tcPr>
            <w:tcW w:w="3209" w:type="dxa"/>
          </w:tcPr>
          <w:p w14:paraId="79461E5A" w14:textId="59A11302" w:rsidR="00A40A32" w:rsidRPr="0035686A" w:rsidRDefault="00A40A32" w:rsidP="00A40A32">
            <w:pPr>
              <w:pStyle w:val="TableCopy"/>
              <w:jc w:val="right"/>
              <w:rPr>
                <w:lang w:val="en-AU"/>
              </w:rPr>
            </w:pPr>
            <w:r w:rsidRPr="0035686A">
              <w:rPr>
                <w:lang w:val="en-AU"/>
              </w:rPr>
              <w:t>2217</w:t>
            </w:r>
          </w:p>
        </w:tc>
        <w:tc>
          <w:tcPr>
            <w:tcW w:w="3210" w:type="dxa"/>
          </w:tcPr>
          <w:p w14:paraId="120769CB" w14:textId="0F1C948D" w:rsidR="00A40A32" w:rsidRPr="0035686A" w:rsidRDefault="00A40A32" w:rsidP="00A40A32">
            <w:pPr>
              <w:pStyle w:val="TableCopy"/>
              <w:jc w:val="right"/>
              <w:rPr>
                <w:lang w:val="en-AU"/>
              </w:rPr>
            </w:pPr>
            <w:r w:rsidRPr="0035686A">
              <w:rPr>
                <w:lang w:val="en-AU"/>
              </w:rPr>
              <w:t>17.4</w:t>
            </w:r>
          </w:p>
        </w:tc>
      </w:tr>
      <w:tr w:rsidR="00A40A32" w:rsidRPr="0035686A" w14:paraId="24884EB3" w14:textId="77777777" w:rsidTr="00B158A3">
        <w:trPr>
          <w:cantSplit/>
        </w:trPr>
        <w:tc>
          <w:tcPr>
            <w:tcW w:w="3209" w:type="dxa"/>
          </w:tcPr>
          <w:p w14:paraId="5A8FEF45" w14:textId="77777777" w:rsidR="00A40A32" w:rsidRPr="0035686A" w:rsidRDefault="00A40A32" w:rsidP="00A40A32">
            <w:pPr>
              <w:pStyle w:val="TableCopy"/>
              <w:rPr>
                <w:lang w:val="en-AU" w:eastAsia="en-AU"/>
              </w:rPr>
            </w:pPr>
            <w:r w:rsidRPr="0035686A">
              <w:rPr>
                <w:lang w:val="en-AU" w:eastAsia="en-AU"/>
              </w:rPr>
              <w:t>2022-23 FY</w:t>
            </w:r>
          </w:p>
        </w:tc>
        <w:tc>
          <w:tcPr>
            <w:tcW w:w="3209" w:type="dxa"/>
          </w:tcPr>
          <w:p w14:paraId="5EDB16A3" w14:textId="5B2E9849" w:rsidR="00A40A32" w:rsidRPr="0035686A" w:rsidRDefault="00A40A32" w:rsidP="00A40A32">
            <w:pPr>
              <w:pStyle w:val="TableCopy"/>
              <w:jc w:val="right"/>
              <w:rPr>
                <w:lang w:val="en-AU"/>
              </w:rPr>
            </w:pPr>
            <w:r w:rsidRPr="0035686A">
              <w:rPr>
                <w:lang w:val="en-AU"/>
              </w:rPr>
              <w:t>2536</w:t>
            </w:r>
          </w:p>
        </w:tc>
        <w:tc>
          <w:tcPr>
            <w:tcW w:w="3210" w:type="dxa"/>
          </w:tcPr>
          <w:p w14:paraId="16004CA0" w14:textId="5CFA2F94" w:rsidR="00A40A32" w:rsidRPr="0035686A" w:rsidRDefault="00A40A32" w:rsidP="00A40A32">
            <w:pPr>
              <w:pStyle w:val="TableCopy"/>
              <w:jc w:val="right"/>
              <w:rPr>
                <w:lang w:val="en-AU"/>
              </w:rPr>
            </w:pPr>
            <w:r w:rsidRPr="0035686A">
              <w:rPr>
                <w:lang w:val="en-AU"/>
              </w:rPr>
              <w:t>20.2</w:t>
            </w:r>
          </w:p>
        </w:tc>
      </w:tr>
      <w:tr w:rsidR="00B459B4" w:rsidRPr="0035686A" w14:paraId="4F5B4BF1" w14:textId="77777777" w:rsidTr="00B158A3">
        <w:trPr>
          <w:cantSplit/>
        </w:trPr>
        <w:tc>
          <w:tcPr>
            <w:tcW w:w="3209" w:type="dxa"/>
          </w:tcPr>
          <w:p w14:paraId="77757055" w14:textId="2BA39A9A" w:rsidR="00B459B4" w:rsidRPr="0035686A" w:rsidRDefault="005A3BA1" w:rsidP="00B459B4">
            <w:pPr>
              <w:pStyle w:val="TableCopy"/>
              <w:rPr>
                <w:lang w:val="en-AU" w:eastAsia="en-AU"/>
              </w:rPr>
            </w:pPr>
            <w:r w:rsidRPr="0035686A">
              <w:rPr>
                <w:lang w:val="en-AU" w:eastAsia="en-AU"/>
              </w:rPr>
              <w:t>202</w:t>
            </w:r>
            <w:r w:rsidR="003C2BC6" w:rsidRPr="0035686A">
              <w:rPr>
                <w:lang w:val="en-AU" w:eastAsia="en-AU"/>
              </w:rPr>
              <w:t>3</w:t>
            </w:r>
            <w:r w:rsidRPr="0035686A">
              <w:rPr>
                <w:lang w:val="en-AU" w:eastAsia="en-AU"/>
              </w:rPr>
              <w:t>-2</w:t>
            </w:r>
            <w:r w:rsidR="003C2BC6" w:rsidRPr="0035686A">
              <w:rPr>
                <w:lang w:val="en-AU" w:eastAsia="en-AU"/>
              </w:rPr>
              <w:t>4</w:t>
            </w:r>
            <w:r w:rsidR="00B459B4" w:rsidRPr="0035686A">
              <w:rPr>
                <w:lang w:val="en-AU" w:eastAsia="en-AU"/>
              </w:rPr>
              <w:t xml:space="preserve"> FY</w:t>
            </w:r>
          </w:p>
        </w:tc>
        <w:tc>
          <w:tcPr>
            <w:tcW w:w="3209" w:type="dxa"/>
          </w:tcPr>
          <w:p w14:paraId="6F63582C" w14:textId="47532599" w:rsidR="00B459B4" w:rsidRPr="0035686A" w:rsidRDefault="00B459B4" w:rsidP="00B459B4">
            <w:pPr>
              <w:pStyle w:val="TableCopy"/>
              <w:jc w:val="right"/>
              <w:rPr>
                <w:lang w:val="en-AU"/>
              </w:rPr>
            </w:pPr>
            <w:r w:rsidRPr="0035686A">
              <w:rPr>
                <w:lang w:val="en-AU"/>
              </w:rPr>
              <w:t>2836</w:t>
            </w:r>
          </w:p>
        </w:tc>
        <w:tc>
          <w:tcPr>
            <w:tcW w:w="3210" w:type="dxa"/>
          </w:tcPr>
          <w:p w14:paraId="513A9462" w14:textId="01E3ACCF" w:rsidR="00B459B4" w:rsidRPr="0035686A" w:rsidRDefault="00B459B4" w:rsidP="00B459B4">
            <w:pPr>
              <w:pStyle w:val="TableCopy"/>
              <w:jc w:val="right"/>
              <w:rPr>
                <w:lang w:val="en-AU"/>
              </w:rPr>
            </w:pPr>
            <w:r w:rsidRPr="0035686A">
              <w:rPr>
                <w:lang w:val="en-AU"/>
              </w:rPr>
              <w:t>22.6</w:t>
            </w:r>
          </w:p>
        </w:tc>
      </w:tr>
      <w:tr w:rsidR="003C2BC6" w:rsidRPr="0035686A" w14:paraId="18C937C2" w14:textId="77777777" w:rsidTr="00B158A3">
        <w:trPr>
          <w:cantSplit/>
        </w:trPr>
        <w:tc>
          <w:tcPr>
            <w:tcW w:w="3209" w:type="dxa"/>
          </w:tcPr>
          <w:p w14:paraId="5596D975" w14:textId="3C9CFAFF" w:rsidR="003C2BC6" w:rsidRPr="0035686A" w:rsidRDefault="003C2BC6" w:rsidP="00B459B4">
            <w:pPr>
              <w:pStyle w:val="TableCopy"/>
              <w:rPr>
                <w:lang w:val="en-AU" w:eastAsia="en-AU"/>
              </w:rPr>
            </w:pPr>
            <w:r w:rsidRPr="0035686A">
              <w:rPr>
                <w:lang w:val="en-AU" w:eastAsia="en-AU"/>
              </w:rPr>
              <w:t>2024-25 FY</w:t>
            </w:r>
          </w:p>
        </w:tc>
        <w:tc>
          <w:tcPr>
            <w:tcW w:w="3209" w:type="dxa"/>
          </w:tcPr>
          <w:p w14:paraId="172145E2" w14:textId="19341C01" w:rsidR="003C2BC6" w:rsidRPr="0035686A" w:rsidRDefault="003C2BC6" w:rsidP="00B459B4">
            <w:pPr>
              <w:pStyle w:val="TableCopy"/>
              <w:jc w:val="right"/>
              <w:rPr>
                <w:lang w:val="en-AU"/>
              </w:rPr>
            </w:pPr>
            <w:r w:rsidRPr="0035686A">
              <w:rPr>
                <w:lang w:val="en-AU"/>
              </w:rPr>
              <w:t>3143</w:t>
            </w:r>
          </w:p>
        </w:tc>
        <w:tc>
          <w:tcPr>
            <w:tcW w:w="3210" w:type="dxa"/>
          </w:tcPr>
          <w:p w14:paraId="7282A38C" w14:textId="7E1115DC" w:rsidR="003C2BC6" w:rsidRPr="0035686A" w:rsidRDefault="003C2BC6" w:rsidP="00B459B4">
            <w:pPr>
              <w:pStyle w:val="TableCopy"/>
              <w:jc w:val="right"/>
              <w:rPr>
                <w:lang w:val="en-AU"/>
              </w:rPr>
            </w:pPr>
            <w:r w:rsidRPr="0035686A">
              <w:rPr>
                <w:lang w:val="en-AU"/>
              </w:rPr>
              <w:t>26</w:t>
            </w:r>
          </w:p>
        </w:tc>
      </w:tr>
    </w:tbl>
    <w:p w14:paraId="2382D63C" w14:textId="77777777" w:rsidR="009614B7" w:rsidRPr="0035686A" w:rsidRDefault="009614B7" w:rsidP="009614B7">
      <w:pPr>
        <w:rPr>
          <w:lang w:eastAsia="en-AU"/>
        </w:rPr>
      </w:pPr>
    </w:p>
    <w:p w14:paraId="6D88B08E" w14:textId="448106ED" w:rsidR="00810FC3" w:rsidRPr="0035686A" w:rsidRDefault="003C2BC6" w:rsidP="00565EF7">
      <w:pPr>
        <w:rPr>
          <w:lang w:eastAsia="en-AU"/>
        </w:rPr>
      </w:pPr>
      <w:r w:rsidRPr="0035686A">
        <w:rPr>
          <w:lang w:eastAsia="en-AU"/>
        </w:rPr>
        <w:t>LIDP commitments</w:t>
      </w:r>
    </w:p>
    <w:p w14:paraId="3A18D62B" w14:textId="4F0D2134" w:rsidR="003C2BC6" w:rsidRPr="0035686A" w:rsidRDefault="003C2BC6" w:rsidP="003C2BC6">
      <w:pPr>
        <w:pStyle w:val="Bullet"/>
        <w:rPr>
          <w:lang w:eastAsia="en-AU"/>
        </w:rPr>
      </w:pPr>
      <w:r w:rsidRPr="0035686A">
        <w:rPr>
          <w:lang w:eastAsia="en-AU"/>
        </w:rPr>
        <w:t>77% average local content committed in LIDPs across all standard projects</w:t>
      </w:r>
    </w:p>
    <w:p w14:paraId="65DD0350" w14:textId="65A07E1A" w:rsidR="003C2BC6" w:rsidRPr="0035686A" w:rsidRDefault="003C2BC6" w:rsidP="003C2BC6">
      <w:pPr>
        <w:pStyle w:val="Bullet"/>
        <w:rPr>
          <w:lang w:eastAsia="en-AU"/>
        </w:rPr>
      </w:pPr>
      <w:r w:rsidRPr="0035686A">
        <w:rPr>
          <w:lang w:eastAsia="en-AU"/>
        </w:rPr>
        <w:lastRenderedPageBreak/>
        <w:t>49,909 jobs committed in LIDPs across all standard projects</w:t>
      </w:r>
    </w:p>
    <w:p w14:paraId="493AF864" w14:textId="3844FF89" w:rsidR="00810FC3" w:rsidRPr="0035686A" w:rsidRDefault="003C2BC6" w:rsidP="003C2BC6">
      <w:pPr>
        <w:pStyle w:val="Bullet"/>
      </w:pPr>
      <w:r w:rsidRPr="0035686A">
        <w:rPr>
          <w:lang w:eastAsia="en-AU"/>
        </w:rPr>
        <w:t>84,872 opportunities for SMEs identified in LIDPs across all standard projects</w:t>
      </w:r>
    </w:p>
    <w:p w14:paraId="6B19551E" w14:textId="308BB4A3" w:rsidR="00CE265A" w:rsidRPr="0035686A" w:rsidRDefault="003C2BC6" w:rsidP="009E0094">
      <w:pPr>
        <w:pStyle w:val="FootnoteText"/>
        <w:rPr>
          <w:lang w:eastAsia="en-AU"/>
        </w:rPr>
      </w:pPr>
      <w:r w:rsidRPr="0035686A">
        <w:rPr>
          <w:lang w:eastAsia="en-AU"/>
        </w:rPr>
        <w:t>A Standard Project is a project with a budget of $1 million or more in rural or regional Victoria, or $3 million or more statewide or in metropolitan Melbourne, but less than $50 million.</w:t>
      </w:r>
    </w:p>
    <w:p w14:paraId="6AEB3B7F" w14:textId="07C007E6" w:rsidR="003A4772" w:rsidRPr="0035686A" w:rsidRDefault="00AC7CB3" w:rsidP="00B041B6">
      <w:pPr>
        <w:rPr>
          <w:b/>
          <w:bCs/>
        </w:rPr>
      </w:pPr>
      <w:r w:rsidRPr="0035686A">
        <w:rPr>
          <w:b/>
          <w:bCs/>
        </w:rPr>
        <w:t>Key highlights 202</w:t>
      </w:r>
      <w:r w:rsidR="003C2BC6" w:rsidRPr="0035686A">
        <w:rPr>
          <w:b/>
          <w:bCs/>
        </w:rPr>
        <w:t>4</w:t>
      </w:r>
      <w:r w:rsidR="00B041B6" w:rsidRPr="0035686A">
        <w:rPr>
          <w:b/>
          <w:bCs/>
        </w:rPr>
        <w:t>-</w:t>
      </w:r>
      <w:r w:rsidRPr="0035686A">
        <w:rPr>
          <w:b/>
          <w:bCs/>
        </w:rPr>
        <w:t>2</w:t>
      </w:r>
      <w:r w:rsidR="003C2BC6" w:rsidRPr="0035686A">
        <w:rPr>
          <w:b/>
          <w:bCs/>
        </w:rPr>
        <w:t>5:</w:t>
      </w:r>
    </w:p>
    <w:p w14:paraId="5F90E00D" w14:textId="0B1E47E7" w:rsidR="00AC7CB3" w:rsidRPr="0035686A" w:rsidRDefault="009E7304" w:rsidP="00AC7CB3">
      <w:pPr>
        <w:pStyle w:val="Bullet"/>
        <w:rPr>
          <w:lang w:eastAsia="en-AU"/>
        </w:rPr>
      </w:pPr>
      <w:r w:rsidRPr="0035686A">
        <w:rPr>
          <w:lang w:eastAsia="en-AU"/>
        </w:rPr>
        <w:t>33</w:t>
      </w:r>
      <w:r w:rsidR="003C2BC6" w:rsidRPr="0035686A">
        <w:rPr>
          <w:lang w:eastAsia="en-AU"/>
        </w:rPr>
        <w:t>8</w:t>
      </w:r>
      <w:r w:rsidR="00AC7CB3" w:rsidRPr="0035686A">
        <w:rPr>
          <w:lang w:eastAsia="en-AU"/>
        </w:rPr>
        <w:t xml:space="preserve"> Commenced Local Jobs First projects</w:t>
      </w:r>
    </w:p>
    <w:p w14:paraId="1FBA01CE" w14:textId="4B4C903C" w:rsidR="00DB7084" w:rsidRPr="0035686A" w:rsidRDefault="00DB7084" w:rsidP="00DB7084">
      <w:pPr>
        <w:pStyle w:val="Bullet"/>
        <w:rPr>
          <w:lang w:eastAsia="en-AU"/>
        </w:rPr>
      </w:pPr>
      <w:r w:rsidRPr="0035686A">
        <w:rPr>
          <w:lang w:eastAsia="en-AU"/>
        </w:rPr>
        <w:t xml:space="preserve">Worth </w:t>
      </w:r>
      <w:r w:rsidR="003C2BC6" w:rsidRPr="0035686A">
        <w:rPr>
          <w:lang w:eastAsia="en-AU"/>
        </w:rPr>
        <w:t>$17.2 billion* in total</w:t>
      </w:r>
    </w:p>
    <w:p w14:paraId="37067255" w14:textId="0BFF9283" w:rsidR="00AC7CB3" w:rsidRPr="0035686A" w:rsidRDefault="00AC7CB3" w:rsidP="00AC7CB3">
      <w:pPr>
        <w:pStyle w:val="Bullet2"/>
        <w:rPr>
          <w:lang w:eastAsia="en-AU"/>
        </w:rPr>
      </w:pPr>
      <w:r w:rsidRPr="0035686A">
        <w:rPr>
          <w:lang w:eastAsia="en-AU"/>
        </w:rPr>
        <w:t>1</w:t>
      </w:r>
      <w:r w:rsidR="003C2BC6" w:rsidRPr="0035686A">
        <w:rPr>
          <w:lang w:eastAsia="en-AU"/>
        </w:rPr>
        <w:t>20</w:t>
      </w:r>
      <w:r w:rsidRPr="0035686A">
        <w:rPr>
          <w:lang w:eastAsia="en-AU"/>
        </w:rPr>
        <w:t xml:space="preserve"> Metro projects worth $</w:t>
      </w:r>
      <w:r w:rsidR="003C2BC6" w:rsidRPr="0035686A">
        <w:rPr>
          <w:lang w:eastAsia="en-AU"/>
        </w:rPr>
        <w:t>4.3</w:t>
      </w:r>
      <w:r w:rsidRPr="0035686A">
        <w:rPr>
          <w:lang w:eastAsia="en-AU"/>
        </w:rPr>
        <w:t xml:space="preserve"> billion</w:t>
      </w:r>
    </w:p>
    <w:p w14:paraId="0D5CEEF7" w14:textId="254848B0" w:rsidR="00AC7CB3" w:rsidRPr="0035686A" w:rsidRDefault="00AC7CB3" w:rsidP="00AC7CB3">
      <w:pPr>
        <w:pStyle w:val="Bullet2"/>
        <w:rPr>
          <w:lang w:eastAsia="en-AU"/>
        </w:rPr>
      </w:pPr>
      <w:r w:rsidRPr="0035686A">
        <w:rPr>
          <w:lang w:eastAsia="en-AU"/>
        </w:rPr>
        <w:t>1</w:t>
      </w:r>
      <w:r w:rsidR="003C2BC6" w:rsidRPr="0035686A">
        <w:rPr>
          <w:lang w:eastAsia="en-AU"/>
        </w:rPr>
        <w:t>54</w:t>
      </w:r>
      <w:r w:rsidRPr="0035686A">
        <w:rPr>
          <w:lang w:eastAsia="en-AU"/>
        </w:rPr>
        <w:t xml:space="preserve"> Regional projects worth $</w:t>
      </w:r>
      <w:r w:rsidR="009E7304" w:rsidRPr="0035686A">
        <w:rPr>
          <w:lang w:eastAsia="en-AU"/>
        </w:rPr>
        <w:t>1.</w:t>
      </w:r>
      <w:r w:rsidR="003C2BC6" w:rsidRPr="0035686A">
        <w:rPr>
          <w:lang w:eastAsia="en-AU"/>
        </w:rPr>
        <w:t>4</w:t>
      </w:r>
      <w:r w:rsidRPr="0035686A">
        <w:rPr>
          <w:lang w:eastAsia="en-AU"/>
        </w:rPr>
        <w:t xml:space="preserve"> billion</w:t>
      </w:r>
    </w:p>
    <w:p w14:paraId="58F443EE" w14:textId="7A5291DE" w:rsidR="00AC7CB3" w:rsidRPr="0035686A" w:rsidRDefault="009E7304" w:rsidP="00AC7CB3">
      <w:pPr>
        <w:pStyle w:val="Bullet2"/>
        <w:rPr>
          <w:lang w:eastAsia="en-AU"/>
        </w:rPr>
      </w:pPr>
      <w:r w:rsidRPr="0035686A">
        <w:rPr>
          <w:lang w:eastAsia="en-AU"/>
        </w:rPr>
        <w:t>6</w:t>
      </w:r>
      <w:r w:rsidR="003C2BC6" w:rsidRPr="0035686A">
        <w:rPr>
          <w:lang w:eastAsia="en-AU"/>
        </w:rPr>
        <w:t>4</w:t>
      </w:r>
      <w:r w:rsidR="00AC7CB3" w:rsidRPr="0035686A">
        <w:rPr>
          <w:lang w:eastAsia="en-AU"/>
        </w:rPr>
        <w:t xml:space="preserve"> Statewide projects</w:t>
      </w:r>
      <w:r w:rsidR="00AC7CB3" w:rsidRPr="0035686A">
        <w:rPr>
          <w:lang w:eastAsia="en-AU"/>
        </w:rPr>
        <w:tab/>
        <w:t xml:space="preserve"> worth $</w:t>
      </w:r>
      <w:r w:rsidR="003C2BC6" w:rsidRPr="0035686A">
        <w:rPr>
          <w:lang w:eastAsia="en-AU"/>
        </w:rPr>
        <w:t>11.34</w:t>
      </w:r>
      <w:r w:rsidR="00AC7CB3" w:rsidRPr="0035686A">
        <w:rPr>
          <w:lang w:eastAsia="en-AU"/>
        </w:rPr>
        <w:t xml:space="preserve"> billion</w:t>
      </w:r>
    </w:p>
    <w:p w14:paraId="322C22BC" w14:textId="257EE013" w:rsidR="00AC7CB3" w:rsidRPr="0035686A" w:rsidRDefault="009E7304" w:rsidP="00AC7CB3">
      <w:pPr>
        <w:pStyle w:val="Bullet2"/>
        <w:rPr>
          <w:lang w:eastAsia="en-AU"/>
        </w:rPr>
      </w:pPr>
      <w:r w:rsidRPr="0035686A">
        <w:rPr>
          <w:lang w:eastAsia="en-AU"/>
        </w:rPr>
        <w:t>3</w:t>
      </w:r>
      <w:r w:rsidR="009F38C5" w:rsidRPr="0035686A">
        <w:rPr>
          <w:lang w:eastAsia="en-AU"/>
        </w:rPr>
        <w:t>1</w:t>
      </w:r>
      <w:r w:rsidR="00AC7CB3" w:rsidRPr="0035686A">
        <w:rPr>
          <w:lang w:eastAsia="en-AU"/>
        </w:rPr>
        <w:t xml:space="preserve"> Strategic projects</w:t>
      </w:r>
    </w:p>
    <w:p w14:paraId="0F312F28" w14:textId="7F5B1F4C" w:rsidR="00AC7CB3" w:rsidRPr="0035686A" w:rsidRDefault="009E7304" w:rsidP="00AC7CB3">
      <w:pPr>
        <w:pStyle w:val="Bullet2"/>
        <w:rPr>
          <w:lang w:eastAsia="en-AU"/>
        </w:rPr>
      </w:pPr>
      <w:r w:rsidRPr="0035686A">
        <w:rPr>
          <w:lang w:eastAsia="en-AU"/>
        </w:rPr>
        <w:t>30</w:t>
      </w:r>
      <w:r w:rsidR="009F38C5" w:rsidRPr="0035686A">
        <w:rPr>
          <w:lang w:eastAsia="en-AU"/>
        </w:rPr>
        <w:t>7</w:t>
      </w:r>
      <w:r w:rsidR="00AC7CB3" w:rsidRPr="0035686A">
        <w:rPr>
          <w:lang w:eastAsia="en-AU"/>
        </w:rPr>
        <w:t xml:space="preserve"> Standard projects</w:t>
      </w:r>
    </w:p>
    <w:p w14:paraId="659E90AC" w14:textId="01AD5548" w:rsidR="00AC7CB3" w:rsidRPr="0035686A" w:rsidRDefault="00136845" w:rsidP="00AC7CB3">
      <w:pPr>
        <w:pStyle w:val="Bullet2"/>
        <w:rPr>
          <w:lang w:eastAsia="en-AU"/>
        </w:rPr>
      </w:pPr>
      <w:r w:rsidRPr="0035686A">
        <w:rPr>
          <w:lang w:eastAsia="en-AU"/>
        </w:rPr>
        <w:t>9,684 Jobs committed in LIDPs across all commenced projects</w:t>
      </w:r>
    </w:p>
    <w:p w14:paraId="3DE051A0" w14:textId="710ADFB5" w:rsidR="00AC7CB3" w:rsidRPr="0035686A" w:rsidRDefault="00136845" w:rsidP="00AC7CB3">
      <w:pPr>
        <w:pStyle w:val="Bullet2"/>
        <w:rPr>
          <w:lang w:eastAsia="en-AU"/>
        </w:rPr>
      </w:pPr>
      <w:r w:rsidRPr="0035686A">
        <w:rPr>
          <w:lang w:eastAsia="en-AU"/>
        </w:rPr>
        <w:t>15,405 opportunities for SMEs identified in LIDPs across all commenced projects</w:t>
      </w:r>
    </w:p>
    <w:p w14:paraId="237B4A5F" w14:textId="3F641468" w:rsidR="00AC7CB3" w:rsidRPr="0035686A" w:rsidRDefault="009E7304" w:rsidP="009E0094">
      <w:pPr>
        <w:pStyle w:val="FootnoteText"/>
        <w:rPr>
          <w:lang w:eastAsia="en-AU"/>
        </w:rPr>
      </w:pPr>
      <w:r w:rsidRPr="0035686A">
        <w:rPr>
          <w:lang w:eastAsia="en-AU"/>
        </w:rPr>
        <w:t>*</w:t>
      </w:r>
      <w:r w:rsidR="00136845" w:rsidRPr="0035686A">
        <w:rPr>
          <w:lang w:eastAsia="en-AU"/>
        </w:rPr>
        <w:t xml:space="preserve"> This figure represents the metro Melbourne, regional Victoria and statewide figures rounded up.</w:t>
      </w:r>
    </w:p>
    <w:p w14:paraId="46108698" w14:textId="70DDFC8B" w:rsidR="00DB7084" w:rsidRPr="0035686A" w:rsidRDefault="00DB7084" w:rsidP="00DB7084">
      <w:pPr>
        <w:pStyle w:val="Bullet"/>
        <w:rPr>
          <w:lang w:eastAsia="en-AU"/>
        </w:rPr>
      </w:pPr>
      <w:r w:rsidRPr="0035686A">
        <w:rPr>
          <w:lang w:eastAsia="en-AU"/>
        </w:rPr>
        <w:t>1</w:t>
      </w:r>
      <w:r w:rsidR="00136845" w:rsidRPr="0035686A">
        <w:rPr>
          <w:lang w:eastAsia="en-AU"/>
        </w:rPr>
        <w:t>92</w:t>
      </w:r>
      <w:r w:rsidRPr="0035686A">
        <w:rPr>
          <w:lang w:eastAsia="en-AU"/>
        </w:rPr>
        <w:tab/>
        <w:t>Completed projects</w:t>
      </w:r>
    </w:p>
    <w:p w14:paraId="46918DCB" w14:textId="33081234" w:rsidR="00DB7084" w:rsidRPr="0035686A" w:rsidRDefault="00136845" w:rsidP="00DB7084">
      <w:pPr>
        <w:pStyle w:val="Bullet2"/>
        <w:rPr>
          <w:lang w:eastAsia="en-AU"/>
        </w:rPr>
      </w:pPr>
      <w:r w:rsidRPr="0035686A">
        <w:rPr>
          <w:lang w:eastAsia="en-AU"/>
        </w:rPr>
        <w:t>69</w:t>
      </w:r>
      <w:r w:rsidR="00DB7084" w:rsidRPr="0035686A">
        <w:rPr>
          <w:lang w:eastAsia="en-AU"/>
        </w:rPr>
        <w:t xml:space="preserve"> Metro projects</w:t>
      </w:r>
    </w:p>
    <w:p w14:paraId="58F9869A" w14:textId="1CEEB842" w:rsidR="00DB7084" w:rsidRPr="0035686A" w:rsidRDefault="00136845" w:rsidP="00DB7084">
      <w:pPr>
        <w:pStyle w:val="Bullet2"/>
        <w:rPr>
          <w:lang w:eastAsia="en-AU"/>
        </w:rPr>
      </w:pPr>
      <w:r w:rsidRPr="0035686A">
        <w:rPr>
          <w:lang w:eastAsia="en-AU"/>
        </w:rPr>
        <w:t>105</w:t>
      </w:r>
      <w:r w:rsidR="00DB7084" w:rsidRPr="0035686A">
        <w:rPr>
          <w:lang w:eastAsia="en-AU"/>
        </w:rPr>
        <w:t xml:space="preserve"> Regional projects</w:t>
      </w:r>
    </w:p>
    <w:p w14:paraId="073777FA" w14:textId="18AD64F2" w:rsidR="00AC7CB3" w:rsidRPr="0035686A" w:rsidRDefault="00136845" w:rsidP="00DB7084">
      <w:pPr>
        <w:pStyle w:val="Bullet2"/>
        <w:rPr>
          <w:lang w:eastAsia="en-AU"/>
        </w:rPr>
      </w:pPr>
      <w:r w:rsidRPr="0035686A">
        <w:rPr>
          <w:lang w:eastAsia="en-AU"/>
        </w:rPr>
        <w:t>18</w:t>
      </w:r>
      <w:r w:rsidR="00DB7084" w:rsidRPr="0035686A">
        <w:rPr>
          <w:lang w:eastAsia="en-AU"/>
        </w:rPr>
        <w:t xml:space="preserve"> Statewide projects</w:t>
      </w:r>
    </w:p>
    <w:p w14:paraId="33A14D28" w14:textId="0F412747" w:rsidR="00DB7084" w:rsidRPr="0035686A" w:rsidRDefault="00136845" w:rsidP="00DB7084">
      <w:pPr>
        <w:pStyle w:val="Bullet2"/>
        <w:rPr>
          <w:lang w:eastAsia="en-AU"/>
        </w:rPr>
      </w:pPr>
      <w:r w:rsidRPr="0035686A">
        <w:rPr>
          <w:lang w:eastAsia="en-AU"/>
        </w:rPr>
        <w:t>25</w:t>
      </w:r>
      <w:r w:rsidR="00DB7084" w:rsidRPr="0035686A">
        <w:rPr>
          <w:lang w:eastAsia="en-AU"/>
        </w:rPr>
        <w:t xml:space="preserve"> Strategic projects</w:t>
      </w:r>
    </w:p>
    <w:p w14:paraId="16D268A6" w14:textId="6A960161" w:rsidR="00DB7084" w:rsidRPr="0035686A" w:rsidRDefault="00DB7084" w:rsidP="00DB7084">
      <w:pPr>
        <w:pStyle w:val="Bullet2"/>
        <w:rPr>
          <w:lang w:eastAsia="en-AU"/>
        </w:rPr>
      </w:pPr>
      <w:r w:rsidRPr="0035686A">
        <w:rPr>
          <w:lang w:eastAsia="en-AU"/>
        </w:rPr>
        <w:t>1</w:t>
      </w:r>
      <w:r w:rsidR="00136845" w:rsidRPr="0035686A">
        <w:rPr>
          <w:lang w:eastAsia="en-AU"/>
        </w:rPr>
        <w:t>67</w:t>
      </w:r>
      <w:r w:rsidRPr="0035686A">
        <w:rPr>
          <w:lang w:eastAsia="en-AU"/>
        </w:rPr>
        <w:t xml:space="preserve"> Standard projects</w:t>
      </w:r>
    </w:p>
    <w:p w14:paraId="4913CC2C" w14:textId="4683A1BB" w:rsidR="00EB3D04" w:rsidRPr="0035686A" w:rsidRDefault="00136845" w:rsidP="00DB7084">
      <w:pPr>
        <w:pStyle w:val="Bullet2"/>
        <w:rPr>
          <w:lang w:eastAsia="en-AU"/>
        </w:rPr>
      </w:pPr>
      <w:r w:rsidRPr="0035686A">
        <w:rPr>
          <w:lang w:eastAsia="en-AU"/>
        </w:rPr>
        <w:t>5,155 Jobs committed in LIDPs across all completed projects</w:t>
      </w:r>
    </w:p>
    <w:p w14:paraId="1897242F" w14:textId="112A6DB0" w:rsidR="00EB3D04" w:rsidRPr="0035686A" w:rsidRDefault="00136845" w:rsidP="00DB7084">
      <w:pPr>
        <w:pStyle w:val="Bullet2"/>
        <w:rPr>
          <w:lang w:eastAsia="en-AU"/>
        </w:rPr>
      </w:pPr>
      <w:r w:rsidRPr="0035686A">
        <w:rPr>
          <w:lang w:eastAsia="en-AU"/>
        </w:rPr>
        <w:t>10,934 opportunities for SMEs identified in LIDPs across all completed projects</w:t>
      </w:r>
    </w:p>
    <w:p w14:paraId="24BFB89A" w14:textId="328D2148" w:rsidR="00DB7084" w:rsidRPr="0035686A" w:rsidRDefault="00DB7084" w:rsidP="00DB7084">
      <w:pPr>
        <w:pStyle w:val="Bullet"/>
        <w:rPr>
          <w:lang w:eastAsia="en-AU"/>
        </w:rPr>
      </w:pPr>
      <w:r w:rsidRPr="0035686A">
        <w:rPr>
          <w:lang w:eastAsia="en-AU"/>
        </w:rPr>
        <w:t xml:space="preserve">Worth </w:t>
      </w:r>
      <w:r w:rsidR="00136845" w:rsidRPr="0035686A">
        <w:rPr>
          <w:lang w:eastAsia="en-AU"/>
        </w:rPr>
        <w:t>$9 billion* in total</w:t>
      </w:r>
    </w:p>
    <w:p w14:paraId="39FFF72B" w14:textId="5F2D6C95" w:rsidR="00EB3D04" w:rsidRPr="0035686A" w:rsidRDefault="00EB3D04" w:rsidP="009E0094">
      <w:pPr>
        <w:pStyle w:val="FootnoteText"/>
        <w:rPr>
          <w:lang w:eastAsia="en-AU"/>
        </w:rPr>
      </w:pPr>
      <w:r w:rsidRPr="0035686A">
        <w:rPr>
          <w:lang w:eastAsia="en-AU"/>
        </w:rPr>
        <w:t>* This figure represents the metro Melbourne, regional Victoria and Statewide figures rounded up.</w:t>
      </w:r>
    </w:p>
    <w:p w14:paraId="6CAB720F" w14:textId="2513A0F8" w:rsidR="00EB3D04" w:rsidRPr="0035686A" w:rsidRDefault="00EB3D04" w:rsidP="00565EF7">
      <w:pPr>
        <w:rPr>
          <w:lang w:eastAsia="en-AU"/>
        </w:rPr>
      </w:pPr>
      <w:r w:rsidRPr="0035686A">
        <w:rPr>
          <w:lang w:eastAsia="en-AU"/>
        </w:rPr>
        <w:t>Metro Melbourne</w:t>
      </w:r>
    </w:p>
    <w:p w14:paraId="7D131FBC" w14:textId="12F126F7" w:rsidR="00EB3D04" w:rsidRPr="0035686A" w:rsidRDefault="00136845" w:rsidP="00565EF7">
      <w:pPr>
        <w:pStyle w:val="Bullet"/>
      </w:pPr>
      <w:r w:rsidRPr="0035686A">
        <w:t>69</w:t>
      </w:r>
      <w:r w:rsidR="00EB3D04" w:rsidRPr="0035686A">
        <w:t xml:space="preserve"> Completed projects worth $</w:t>
      </w:r>
      <w:r w:rsidRPr="0035686A">
        <w:t>6.4</w:t>
      </w:r>
      <w:r w:rsidR="00EB3D04" w:rsidRPr="0035686A">
        <w:t xml:space="preserve"> billion</w:t>
      </w:r>
    </w:p>
    <w:p w14:paraId="75CD19CD" w14:textId="142049AF" w:rsidR="00EB3D04" w:rsidRPr="0035686A" w:rsidRDefault="00EB3D04" w:rsidP="00565EF7">
      <w:pPr>
        <w:rPr>
          <w:lang w:eastAsia="en-AU"/>
        </w:rPr>
      </w:pPr>
      <w:r w:rsidRPr="0035686A">
        <w:rPr>
          <w:lang w:eastAsia="en-AU"/>
        </w:rPr>
        <w:t>Regional Victoria</w:t>
      </w:r>
    </w:p>
    <w:p w14:paraId="35B76EE7" w14:textId="0197D612" w:rsidR="00EB3D04" w:rsidRPr="0035686A" w:rsidRDefault="00136845" w:rsidP="00565EF7">
      <w:pPr>
        <w:pStyle w:val="Bullet"/>
      </w:pPr>
      <w:r w:rsidRPr="0035686A">
        <w:t>105</w:t>
      </w:r>
      <w:r w:rsidR="00EB3D04" w:rsidRPr="0035686A">
        <w:t xml:space="preserve"> Completed projects worth $</w:t>
      </w:r>
      <w:r w:rsidR="009E7304" w:rsidRPr="0035686A">
        <w:t>1.</w:t>
      </w:r>
      <w:r w:rsidRPr="0035686A">
        <w:t>8</w:t>
      </w:r>
      <w:r w:rsidR="009E7304" w:rsidRPr="0035686A">
        <w:t xml:space="preserve"> billion</w:t>
      </w:r>
    </w:p>
    <w:p w14:paraId="7D8148DD" w14:textId="36B7C9A4" w:rsidR="00EB3D04" w:rsidRPr="0035686A" w:rsidRDefault="00EB3D04" w:rsidP="00565EF7">
      <w:pPr>
        <w:rPr>
          <w:lang w:eastAsia="en-AU"/>
        </w:rPr>
      </w:pPr>
      <w:r w:rsidRPr="0035686A">
        <w:rPr>
          <w:lang w:eastAsia="en-AU"/>
        </w:rPr>
        <w:t>Statewide</w:t>
      </w:r>
    </w:p>
    <w:p w14:paraId="43BF732B" w14:textId="54C300A1" w:rsidR="00EB3D04" w:rsidRPr="0035686A" w:rsidRDefault="00136845" w:rsidP="00565EF7">
      <w:pPr>
        <w:pStyle w:val="Bullet"/>
      </w:pPr>
      <w:r w:rsidRPr="0035686A">
        <w:t>18</w:t>
      </w:r>
      <w:r w:rsidR="00EB3D04" w:rsidRPr="0035686A">
        <w:t xml:space="preserve"> Completed projects worth $</w:t>
      </w:r>
      <w:r w:rsidRPr="0035686A">
        <w:t>787.9</w:t>
      </w:r>
      <w:r w:rsidR="00EB3D04" w:rsidRPr="0035686A">
        <w:t xml:space="preserve"> million</w:t>
      </w:r>
    </w:p>
    <w:p w14:paraId="2F97F2C5" w14:textId="3C65F827" w:rsidR="00EB3D04" w:rsidRPr="0035686A" w:rsidRDefault="00EB3D04" w:rsidP="00EB3D04">
      <w:pPr>
        <w:keepNext/>
        <w:keepLines/>
        <w:autoSpaceDE w:val="0"/>
        <w:autoSpaceDN w:val="0"/>
        <w:adjustRightInd w:val="0"/>
        <w:spacing w:before="227" w:after="113" w:line="288" w:lineRule="auto"/>
        <w:textAlignment w:val="center"/>
        <w:rPr>
          <w:rFonts w:asciiTheme="minorHAnsi" w:eastAsiaTheme="minorEastAsia" w:hAnsiTheme="minorHAnsi" w:cstheme="minorHAnsi"/>
          <w:b/>
          <w:bCs/>
          <w:color w:val="000000"/>
          <w:szCs w:val="24"/>
          <w:lang w:eastAsia="en-AU"/>
        </w:rPr>
      </w:pPr>
      <w:r w:rsidRPr="0035686A">
        <w:rPr>
          <w:rFonts w:asciiTheme="minorHAnsi" w:eastAsiaTheme="minorEastAsia" w:hAnsiTheme="minorHAnsi" w:cstheme="minorHAnsi"/>
          <w:b/>
          <w:bCs/>
          <w:color w:val="000000"/>
          <w:szCs w:val="24"/>
          <w:lang w:eastAsia="en-AU"/>
        </w:rPr>
        <w:lastRenderedPageBreak/>
        <w:t>Since its introduction in 2016 and 30 March 202</w:t>
      </w:r>
      <w:r w:rsidR="00414250" w:rsidRPr="0035686A">
        <w:rPr>
          <w:rFonts w:asciiTheme="minorHAnsi" w:eastAsiaTheme="minorEastAsia" w:hAnsiTheme="minorHAnsi" w:cstheme="minorHAnsi"/>
          <w:b/>
          <w:bCs/>
          <w:color w:val="000000"/>
          <w:szCs w:val="24"/>
          <w:lang w:eastAsia="en-AU"/>
        </w:rPr>
        <w:t>5</w:t>
      </w:r>
      <w:r w:rsidR="00F43CBE" w:rsidRPr="0035686A">
        <w:rPr>
          <w:rStyle w:val="FootnoteReference"/>
          <w:rFonts w:eastAsiaTheme="minorEastAsia" w:cstheme="minorHAnsi"/>
          <w:b/>
          <w:bCs/>
          <w:color w:val="000000"/>
          <w:szCs w:val="24"/>
          <w:lang w:eastAsia="en-AU"/>
        </w:rPr>
        <w:footnoteReference w:id="3"/>
      </w:r>
      <w:r w:rsidRPr="0035686A">
        <w:rPr>
          <w:rFonts w:asciiTheme="minorHAnsi" w:eastAsiaTheme="minorEastAsia" w:hAnsiTheme="minorHAnsi" w:cstheme="minorHAnsi"/>
          <w:b/>
          <w:bCs/>
          <w:color w:val="000000"/>
          <w:szCs w:val="24"/>
          <w:lang w:eastAsia="en-AU"/>
        </w:rPr>
        <w:t xml:space="preserve">, the </w:t>
      </w:r>
      <w:r w:rsidR="00414250" w:rsidRPr="0035686A">
        <w:rPr>
          <w:rFonts w:asciiTheme="minorHAnsi" w:eastAsiaTheme="minorEastAsia" w:hAnsiTheme="minorHAnsi" w:cstheme="minorHAnsi"/>
          <w:b/>
          <w:bCs/>
          <w:color w:val="000000"/>
          <w:szCs w:val="24"/>
          <w:lang w:eastAsia="en-AU"/>
        </w:rPr>
        <w:t>MPSG has been applied to 480 projects worth $182.9 billion and supported</w:t>
      </w:r>
    </w:p>
    <w:p w14:paraId="20E78F72" w14:textId="3802C7C3" w:rsidR="00EB3D04" w:rsidRPr="0035686A" w:rsidRDefault="00EB3D04" w:rsidP="00EB3D04">
      <w:pPr>
        <w:pStyle w:val="Bullet"/>
        <w:rPr>
          <w:lang w:eastAsia="en-AU"/>
        </w:rPr>
      </w:pPr>
      <w:r w:rsidRPr="0035686A">
        <w:rPr>
          <w:lang w:eastAsia="en-AU"/>
        </w:rPr>
        <w:t>4</w:t>
      </w:r>
      <w:r w:rsidR="00414250" w:rsidRPr="0035686A">
        <w:rPr>
          <w:lang w:eastAsia="en-AU"/>
        </w:rPr>
        <w:t>80</w:t>
      </w:r>
      <w:r w:rsidRPr="0035686A">
        <w:rPr>
          <w:lang w:eastAsia="en-AU"/>
        </w:rPr>
        <w:t xml:space="preserve"> MPSG Projects</w:t>
      </w:r>
    </w:p>
    <w:p w14:paraId="1C78EB05" w14:textId="26EDCCBE" w:rsidR="00EB3D04" w:rsidRPr="0035686A" w:rsidRDefault="00414250" w:rsidP="00EB3D04">
      <w:pPr>
        <w:pStyle w:val="Bullet2"/>
        <w:rPr>
          <w:lang w:eastAsia="en-AU"/>
        </w:rPr>
      </w:pPr>
      <w:r w:rsidRPr="0035686A">
        <w:rPr>
          <w:lang w:eastAsia="en-AU"/>
        </w:rPr>
        <w:t xml:space="preserve">11,974 </w:t>
      </w:r>
      <w:r w:rsidR="00F43CBE" w:rsidRPr="0035686A">
        <w:t>Apprentices</w:t>
      </w:r>
    </w:p>
    <w:p w14:paraId="3A5D499A" w14:textId="4CC66BCD" w:rsidR="00F43CBE" w:rsidRPr="0035686A" w:rsidRDefault="00414250" w:rsidP="00F43CBE">
      <w:pPr>
        <w:pStyle w:val="Bullet2"/>
        <w:rPr>
          <w:lang w:eastAsia="en-AU"/>
        </w:rPr>
      </w:pPr>
      <w:r w:rsidRPr="0035686A">
        <w:rPr>
          <w:lang w:eastAsia="en-AU"/>
        </w:rPr>
        <w:t xml:space="preserve">3,457 </w:t>
      </w:r>
      <w:r w:rsidR="00F43CBE" w:rsidRPr="0035686A">
        <w:rPr>
          <w:lang w:eastAsia="en-AU"/>
        </w:rPr>
        <w:t>Trainees</w:t>
      </w:r>
    </w:p>
    <w:p w14:paraId="42E379C9" w14:textId="303EF06A" w:rsidR="00F43CBE" w:rsidRPr="0035686A" w:rsidRDefault="00414250" w:rsidP="00F43CBE">
      <w:pPr>
        <w:pStyle w:val="Bullet2"/>
        <w:rPr>
          <w:lang w:eastAsia="en-AU"/>
        </w:rPr>
      </w:pPr>
      <w:r w:rsidRPr="0035686A">
        <w:rPr>
          <w:lang w:eastAsia="en-AU"/>
        </w:rPr>
        <w:t xml:space="preserve">3,766 </w:t>
      </w:r>
      <w:r w:rsidR="00F43CBE" w:rsidRPr="0035686A">
        <w:rPr>
          <w:lang w:eastAsia="en-AU"/>
        </w:rPr>
        <w:t>Cadets</w:t>
      </w:r>
    </w:p>
    <w:p w14:paraId="1D021290" w14:textId="4140BC6C" w:rsidR="00414250" w:rsidRPr="0035686A" w:rsidRDefault="00414250" w:rsidP="00F43CBE">
      <w:pPr>
        <w:pStyle w:val="Bullet"/>
        <w:rPr>
          <w:lang w:eastAsia="en-AU"/>
        </w:rPr>
      </w:pPr>
      <w:r w:rsidRPr="0035686A">
        <w:rPr>
          <w:lang w:eastAsia="en-AU"/>
        </w:rPr>
        <w:t>19,197 total jobs for ATCs</w:t>
      </w:r>
      <w:r w:rsidRPr="0035686A">
        <w:rPr>
          <w:rStyle w:val="FootnoteReference"/>
          <w:lang w:eastAsia="en-AU"/>
        </w:rPr>
        <w:footnoteReference w:id="4"/>
      </w:r>
    </w:p>
    <w:p w14:paraId="4405BEAA" w14:textId="5EA4313B" w:rsidR="00F43CBE" w:rsidRPr="0035686A" w:rsidRDefault="00414250" w:rsidP="00F43CBE">
      <w:pPr>
        <w:pStyle w:val="Bullet"/>
        <w:rPr>
          <w:lang w:eastAsia="en-AU"/>
        </w:rPr>
      </w:pPr>
      <w:r w:rsidRPr="0035686A">
        <w:rPr>
          <w:lang w:eastAsia="en-AU"/>
        </w:rPr>
        <w:t>24.3 million hours worked by ATCs</w:t>
      </w:r>
    </w:p>
    <w:p w14:paraId="0E16C268" w14:textId="033DA582" w:rsidR="00F43CBE" w:rsidRPr="0035686A" w:rsidRDefault="00F43CBE" w:rsidP="00F43CBE">
      <w:pPr>
        <w:pStyle w:val="Bullet"/>
        <w:rPr>
          <w:lang w:eastAsia="en-AU"/>
        </w:rPr>
      </w:pPr>
      <w:r w:rsidRPr="0035686A">
        <w:rPr>
          <w:lang w:eastAsia="en-AU"/>
        </w:rPr>
        <w:t>Metro MPSG projects have supported:</w:t>
      </w:r>
    </w:p>
    <w:p w14:paraId="07762BD5" w14:textId="011FB0E7" w:rsidR="00F43CBE" w:rsidRPr="0035686A" w:rsidRDefault="00AD4988" w:rsidP="00F43CBE">
      <w:pPr>
        <w:pStyle w:val="Bullet2"/>
        <w:rPr>
          <w:lang w:eastAsia="en-AU"/>
        </w:rPr>
      </w:pPr>
      <w:r w:rsidRPr="0035686A">
        <w:rPr>
          <w:lang w:eastAsia="en-AU"/>
        </w:rPr>
        <w:t>13,417 jobs for ATCs (including 7,602 jobs for apprentices, 2,879 jobs for trainees and 2,936 jobs for cadets)</w:t>
      </w:r>
    </w:p>
    <w:p w14:paraId="0D95C008" w14:textId="11AB4A2B" w:rsidR="00F43CBE" w:rsidRPr="0035686A" w:rsidRDefault="00AD4988" w:rsidP="00F43CBE">
      <w:pPr>
        <w:pStyle w:val="Bullet2"/>
        <w:rPr>
          <w:lang w:eastAsia="en-AU"/>
        </w:rPr>
      </w:pPr>
      <w:r w:rsidRPr="0035686A">
        <w:rPr>
          <w:lang w:eastAsia="en-AU"/>
        </w:rPr>
        <w:t>20.4 million hours worked by ATCs</w:t>
      </w:r>
    </w:p>
    <w:p w14:paraId="32CAB5E8" w14:textId="6798FA68" w:rsidR="00F43CBE" w:rsidRPr="0035686A" w:rsidRDefault="00F43CBE" w:rsidP="00F43CBE">
      <w:pPr>
        <w:pStyle w:val="Bullet"/>
        <w:rPr>
          <w:lang w:eastAsia="en-AU"/>
        </w:rPr>
      </w:pPr>
      <w:r w:rsidRPr="0035686A">
        <w:rPr>
          <w:lang w:eastAsia="en-AU"/>
        </w:rPr>
        <w:t>Regional MPSG projects have supported:</w:t>
      </w:r>
    </w:p>
    <w:p w14:paraId="72CB4BA8" w14:textId="6785CBC5" w:rsidR="00F43CBE" w:rsidRPr="0035686A" w:rsidRDefault="00AD4988" w:rsidP="00F43CBE">
      <w:pPr>
        <w:pStyle w:val="Bullet2"/>
        <w:rPr>
          <w:lang w:eastAsia="en-AU"/>
        </w:rPr>
      </w:pPr>
      <w:r w:rsidRPr="0035686A">
        <w:rPr>
          <w:lang w:eastAsia="en-AU"/>
        </w:rPr>
        <w:t>3,139 jobs for ATCs (including 2,331 jobs for apprentices, 326 jobs for trainees and 482 jobs for cadets)</w:t>
      </w:r>
    </w:p>
    <w:p w14:paraId="5921D326" w14:textId="1ABC7E08" w:rsidR="00F43CBE" w:rsidRPr="0035686A" w:rsidRDefault="00AD4988" w:rsidP="00F43CBE">
      <w:pPr>
        <w:pStyle w:val="Bullet2"/>
        <w:rPr>
          <w:lang w:eastAsia="en-AU"/>
        </w:rPr>
      </w:pPr>
      <w:r w:rsidRPr="0035686A">
        <w:rPr>
          <w:lang w:eastAsia="en-AU"/>
        </w:rPr>
        <w:t>2.5 million hours worked by ATCs</w:t>
      </w:r>
    </w:p>
    <w:p w14:paraId="6C854879" w14:textId="5F4DDDE3" w:rsidR="00F43CBE" w:rsidRPr="0035686A" w:rsidRDefault="00F43CBE" w:rsidP="00F43CBE">
      <w:pPr>
        <w:pStyle w:val="Bullet"/>
        <w:rPr>
          <w:lang w:eastAsia="en-AU"/>
        </w:rPr>
      </w:pPr>
      <w:r w:rsidRPr="0035686A">
        <w:rPr>
          <w:lang w:eastAsia="en-AU"/>
        </w:rPr>
        <w:t>Statewide MPSG projects have supported:</w:t>
      </w:r>
    </w:p>
    <w:p w14:paraId="49464905" w14:textId="5C84724D" w:rsidR="00F43CBE" w:rsidRPr="0035686A" w:rsidRDefault="00AD4988" w:rsidP="00F43CBE">
      <w:pPr>
        <w:pStyle w:val="Bullet2"/>
        <w:rPr>
          <w:lang w:eastAsia="en-AU"/>
        </w:rPr>
      </w:pPr>
      <w:r w:rsidRPr="0035686A">
        <w:rPr>
          <w:lang w:eastAsia="en-AU"/>
        </w:rPr>
        <w:t xml:space="preserve">2,557 jobs for ATCs (including 1,964 jobs for apprentices, 251 jobs for trainees and 342 jobs for cadets) </w:t>
      </w:r>
    </w:p>
    <w:p w14:paraId="328A0354" w14:textId="7C11100B" w:rsidR="00F43CBE" w:rsidRPr="0035686A" w:rsidRDefault="00AD4988" w:rsidP="00F43CBE">
      <w:pPr>
        <w:pStyle w:val="Bullet2"/>
        <w:rPr>
          <w:lang w:eastAsia="en-AU"/>
        </w:rPr>
      </w:pPr>
      <w:r w:rsidRPr="0035686A">
        <w:rPr>
          <w:lang w:eastAsia="en-AU"/>
        </w:rPr>
        <w:t>1.3 million hours worked by ATCs</w:t>
      </w:r>
    </w:p>
    <w:p w14:paraId="490198D9" w14:textId="7F6433FC" w:rsidR="000F7AD5" w:rsidRPr="0035686A" w:rsidRDefault="00BA59A6" w:rsidP="00CC493F">
      <w:pPr>
        <w:pStyle w:val="Heading3"/>
      </w:pPr>
      <w:r w:rsidRPr="0035686A">
        <w:t>Case</w:t>
      </w:r>
      <w:r w:rsidR="00CF7EE1" w:rsidRPr="0035686A">
        <w:t xml:space="preserve"> </w:t>
      </w:r>
      <w:r w:rsidRPr="0035686A">
        <w:t>study</w:t>
      </w:r>
      <w:r w:rsidR="00CF7EE1" w:rsidRPr="0035686A">
        <w:t xml:space="preserve"> </w:t>
      </w:r>
      <w:r w:rsidRPr="0035686A">
        <w:t>1:</w:t>
      </w:r>
    </w:p>
    <w:p w14:paraId="5D5192C6" w14:textId="048DE783" w:rsidR="000F7AD5" w:rsidRPr="0035686A" w:rsidRDefault="00D43861" w:rsidP="00565EF7">
      <w:r w:rsidRPr="0035686A">
        <w:t>Werribee Open Range Zoo Expansion</w:t>
      </w:r>
    </w:p>
    <w:p w14:paraId="7896B69B" w14:textId="443D5215" w:rsidR="00697E92" w:rsidRPr="0035686A" w:rsidRDefault="00697E92" w:rsidP="00B041B6">
      <w:r w:rsidRPr="0035686A">
        <w:t>The Werribee Open Range Zoo Expansion is an $88 million Local Jobs First Strategic Project, funded by the Victorian Government, that delivers a world</w:t>
      </w:r>
      <w:r w:rsidR="00B041B6" w:rsidRPr="0035686A">
        <w:t>-</w:t>
      </w:r>
      <w:r w:rsidRPr="0035686A">
        <w:t>class experience, with a purpose</w:t>
      </w:r>
      <w:r w:rsidR="00B041B6" w:rsidRPr="0035686A">
        <w:t>-</w:t>
      </w:r>
      <w:r w:rsidRPr="0035686A">
        <w:t xml:space="preserve">built elephant habitat to house Zoos Victoria’s Asian elephant herd that was relocated from Melbourne Zoo. </w:t>
      </w:r>
    </w:p>
    <w:p w14:paraId="48E8506B" w14:textId="1B060EB8" w:rsidR="00697E92" w:rsidRPr="0035686A" w:rsidRDefault="00697E92" w:rsidP="00B041B6">
      <w:r w:rsidRPr="0035686A">
        <w:t>The Elephant Trail comprises a 21</w:t>
      </w:r>
      <w:r w:rsidR="00B041B6" w:rsidRPr="0035686A">
        <w:t>-</w:t>
      </w:r>
      <w:r w:rsidRPr="0035686A">
        <w:t xml:space="preserve">hectare open range habitat featuring 6 large interconnecting habitats for roaming, foraging and socialising, 2 mega pools that collectively hold nearly 2 million litres of water, 2 specially designed elephant barns </w:t>
      </w:r>
      <w:r w:rsidRPr="0035686A">
        <w:lastRenderedPageBreak/>
        <w:t>equipped with state</w:t>
      </w:r>
      <w:r w:rsidR="00B041B6" w:rsidRPr="0035686A">
        <w:t>-</w:t>
      </w:r>
      <w:r w:rsidRPr="0035686A">
        <w:t>of</w:t>
      </w:r>
      <w:r w:rsidR="00B041B6" w:rsidRPr="0035686A">
        <w:t>-</w:t>
      </w:r>
      <w:r w:rsidRPr="0035686A">
        <w:t>the</w:t>
      </w:r>
      <w:r w:rsidR="00B041B6" w:rsidRPr="0035686A">
        <w:t>-</w:t>
      </w:r>
      <w:r w:rsidRPr="0035686A">
        <w:t>art healthcare training spaces and 3,300 tonnes of sand, and 2 impressive overpasses that allow the elephants to cross over visitor walking trails. Expanded facilities also include a connecting walking trail featuring nature play areas and additional animal habitats, landscapes for priority conservation species, a café and a viewing area overlooking the elephant pools.</w:t>
      </w:r>
    </w:p>
    <w:p w14:paraId="1361F94F" w14:textId="77777777" w:rsidR="00697E92" w:rsidRPr="0035686A" w:rsidRDefault="00697E92" w:rsidP="00697E92">
      <w:r w:rsidRPr="0035686A">
        <w:t>Development Victoria delivered the new Elephant Trail and Waterhole Trail in partnership with Zoos Victoria.</w:t>
      </w:r>
    </w:p>
    <w:p w14:paraId="30A5F669" w14:textId="77777777" w:rsidR="00697E92" w:rsidRPr="0035686A" w:rsidRDefault="00697E92" w:rsidP="00697E92">
      <w:r w:rsidRPr="0035686A">
        <w:t>Development Victoria’s design-and-construct contractor, Fairbrother, committed to supporting social enterprises within the local community. The project’s outcomes exceeded the original commitments for the Victorian Government’s Local Jobs First and Social Procurement policies, demonstrating its positive impact on the local economy and community. The initial minimum local content requirements were 91% for construction and 83% for furniture, fixtures and equipment. The project achieved 98% for construction and 93% overall local content.</w:t>
      </w:r>
    </w:p>
    <w:p w14:paraId="69EAE226" w14:textId="77777777" w:rsidR="00697E92" w:rsidRPr="0035686A" w:rsidRDefault="00697E92" w:rsidP="00B041B6">
      <w:r w:rsidRPr="0035686A">
        <w:t xml:space="preserve">In particular, Fairbrother worked closely with Ceres Fair Wood located in Preston, Victoria, who manage supply chains for sustainable and recycled timber. Together they sourced 2,530 linear metres of Class 1 Decking timber for the Werribee Open Range Zoo’s timber boardwalk, which travels around the outside of the terrace and elephant pool areas. Ceres Fair Wood sourced from a local timber supplier who had recycled Spotted Gum and Ironbark from a demolition project in Queensland which met Zoos Victoria’s Ethical and Sustainable Procurement of Wood Products procurement policy. </w:t>
      </w:r>
    </w:p>
    <w:p w14:paraId="6CFCEAA9" w14:textId="0E250D6F" w:rsidR="00697E92" w:rsidRPr="0035686A" w:rsidRDefault="00697E92" w:rsidP="00B041B6">
      <w:r w:rsidRPr="0035686A">
        <w:t>Additionally, Fairbrother engaged local Victorian supplier Animal Carpentry to construct the boardwalk. They employed a female apprentice who worked on the Northern Boardwalk, also contributing to Fairbrother’s Local Industry Development Plan.</w:t>
      </w:r>
    </w:p>
    <w:p w14:paraId="5163B0F1" w14:textId="77777777" w:rsidR="00984E54" w:rsidRPr="0035686A" w:rsidRDefault="00984E54" w:rsidP="00984E54">
      <w:pPr>
        <w:pStyle w:val="Heading1-numbered"/>
      </w:pPr>
      <w:bookmarkStart w:id="5" w:name="_Toc213233911"/>
      <w:r w:rsidRPr="0035686A">
        <w:lastRenderedPageBreak/>
        <w:t>Local Jobs First Implementation Functions</w:t>
      </w:r>
      <w:bookmarkEnd w:id="5"/>
    </w:p>
    <w:p w14:paraId="7887F745" w14:textId="77777777" w:rsidR="00984E54" w:rsidRPr="0035686A" w:rsidRDefault="00984E54" w:rsidP="00984E54">
      <w:pPr>
        <w:pStyle w:val="Heading2-numbered"/>
      </w:pPr>
      <w:bookmarkStart w:id="6" w:name="_Toc213233912"/>
      <w:r w:rsidRPr="0035686A">
        <w:t>Local Jobs First Commissioner</w:t>
      </w:r>
      <w:bookmarkEnd w:id="6"/>
    </w:p>
    <w:p w14:paraId="13261D96" w14:textId="77777777" w:rsidR="00984E54" w:rsidRPr="0035686A" w:rsidRDefault="00984E54" w:rsidP="00984E54">
      <w:r w:rsidRPr="0035686A">
        <w:t>The Local Jobs First Commissioner advocates for local businesses, workers and ATCs, ensuring that they continue to benefit from Victorian Government procurement. By connecting with local industry, contractors, and government agencies applying Local Jobs First, the Commissioner educates stakeholders about Local Jobs First and assists with maximising outcomes for Victorian businesses and workers on government projects.</w:t>
      </w:r>
    </w:p>
    <w:p w14:paraId="3849BF5C" w14:textId="77777777" w:rsidR="00984E54" w:rsidRPr="0035686A" w:rsidRDefault="00984E54" w:rsidP="00984E54">
      <w:r w:rsidRPr="0035686A">
        <w:t>As part of the role, the Commissioner advocates to ensure that local businesses are provided with a full and fair opportunity to participate in Local Jobs First projects and undertakes compliance activities to ensure that agencies and suppliers are delivering on their stated local content and jobs commitments.</w:t>
      </w:r>
    </w:p>
    <w:p w14:paraId="003F0B49" w14:textId="77777777" w:rsidR="00984E54" w:rsidRPr="0035686A" w:rsidRDefault="00984E54" w:rsidP="00984E54">
      <w:r w:rsidRPr="0035686A">
        <w:t>Ms Moana Weir was appointed to the role of Local Jobs First Commissioner on 27 January 2022. In her time in the role, Ms Weir has led the Office of the Local Jobs First Commissioner (OLJFC) with a clear purpose to strengthen the participation of local industry and workers through Victorian Government procurement to deliver economic and social benefits for Victorians.</w:t>
      </w:r>
    </w:p>
    <w:p w14:paraId="0DA0A15A" w14:textId="77777777" w:rsidR="00984E54" w:rsidRPr="0035686A" w:rsidRDefault="00984E54" w:rsidP="00984E54"/>
    <w:p w14:paraId="665AA527" w14:textId="77777777" w:rsidR="00984E54" w:rsidRPr="0035686A" w:rsidRDefault="00984E54" w:rsidP="00984E54">
      <w:pPr>
        <w:pStyle w:val="Heading2-numbered"/>
      </w:pPr>
      <w:bookmarkStart w:id="7" w:name="_Toc213233913"/>
      <w:r w:rsidRPr="0035686A">
        <w:t>Message from the Local Jobs First Commissioner</w:t>
      </w:r>
      <w:bookmarkEnd w:id="7"/>
      <w:r w:rsidRPr="0035686A">
        <w:t xml:space="preserve"> </w:t>
      </w:r>
    </w:p>
    <w:p w14:paraId="3E7EBEDD" w14:textId="77777777" w:rsidR="00984E54" w:rsidRPr="0035686A" w:rsidRDefault="00984E54" w:rsidP="00984E54">
      <w:r w:rsidRPr="0035686A">
        <w:rPr>
          <w:b/>
          <w:bCs/>
        </w:rPr>
        <w:t>Moana Weir</w:t>
      </w:r>
      <w:r w:rsidRPr="0035686A">
        <w:br/>
        <w:t>Local Jobs First Commissioner</w:t>
      </w:r>
    </w:p>
    <w:p w14:paraId="1F6CED58" w14:textId="158BC396" w:rsidR="00984E54" w:rsidRPr="0035686A" w:rsidRDefault="00984E54" w:rsidP="00B041B6">
      <w:r w:rsidRPr="0035686A">
        <w:t>The 2024</w:t>
      </w:r>
      <w:r w:rsidR="00B041B6" w:rsidRPr="0035686A">
        <w:t>-</w:t>
      </w:r>
      <w:r w:rsidRPr="0035686A">
        <w:t>25 financial year has been a productive year for the OLJFC.</w:t>
      </w:r>
    </w:p>
    <w:p w14:paraId="30DA0044" w14:textId="45017F49" w:rsidR="00984E54" w:rsidRPr="0035686A" w:rsidRDefault="00984E54" w:rsidP="00B041B6">
      <w:r w:rsidRPr="0035686A">
        <w:t>We have delivered expanded Commissioner industry engagement and advocacy for local industry and SMEs. During the financial year, I have met with 101 local industry stakeholders, including industry associations and head contractors on Local Jobs First Strategic Projects. 55 of these industry stakeholders have been SMEs from across metropolitan and regional Victoria, with over 90% supplying goods and services to Local Jobs First Strategic Projects across the state. It has provided a valuable opportunity to hear first</w:t>
      </w:r>
      <w:r w:rsidR="00B041B6" w:rsidRPr="0035686A">
        <w:t>-</w:t>
      </w:r>
      <w:r w:rsidRPr="0035686A">
        <w:t xml:space="preserve">hand from these businesses as to the barriers and opportunities for achieving the objectives of Local Jobs First as well as the Social Procurement Framework (on which the Commissioner also has an advocacy remit) through the supply chain. </w:t>
      </w:r>
    </w:p>
    <w:p w14:paraId="36490C7E" w14:textId="03F87C1E" w:rsidR="00984E54" w:rsidRPr="0035686A" w:rsidRDefault="00984E54" w:rsidP="00B041B6">
      <w:r w:rsidRPr="0035686A">
        <w:t xml:space="preserve">The impact of my industry engagement work has significantly enhanced the OLJFC’s continued deep engagement with agencies and contractors delivering the broad array of 142 Local Jobs First Strategic Projects currently in execution across the construction of </w:t>
      </w:r>
      <w:r w:rsidRPr="0035686A">
        <w:lastRenderedPageBreak/>
        <w:t>roads, hospitals, schools and community facilities. The OLJFC conducted 202 meetings with 81% of Strategic Projects currently in execution during the financial year, and across 43 delivery agencies. This is the primary channel through which the OLJFC directs its education and prevention of non</w:t>
      </w:r>
      <w:r w:rsidR="00B041B6" w:rsidRPr="0035686A">
        <w:t>-</w:t>
      </w:r>
      <w:r w:rsidRPr="0035686A">
        <w:t xml:space="preserve">compliance activity. </w:t>
      </w:r>
    </w:p>
    <w:p w14:paraId="2B7104CF" w14:textId="77777777" w:rsidR="00984E54" w:rsidRPr="0035686A" w:rsidRDefault="00984E54" w:rsidP="00B041B6">
      <w:r w:rsidRPr="0035686A">
        <w:t xml:space="preserve">The OLJFC shares the insights gained from the combination of industry engagement and Strategic Project engagement across government, agencies and contractors to support enhanced performance and compliance by procuring agencies and contractors in the delivery of Local Jobs First projects, and to support the provision of full and fair opportunity to compete for Victorian procurement projects to SMEs. </w:t>
      </w:r>
    </w:p>
    <w:p w14:paraId="29D2342B" w14:textId="116651D4" w:rsidR="00984E54" w:rsidRPr="0035686A" w:rsidRDefault="00984E54" w:rsidP="00B041B6">
      <w:r w:rsidRPr="0035686A">
        <w:t>The OLJFC has currently requested 7 Local Jobs First compliance audits by agencies delivering Local Jobs First Strategic Projects, relating to hospitals, roads, tram facilities, public housing and water infrastructure projects. The OLJFC also commenced the conduct of desktop audits (as an addition to its Local Jobs First compliance audit stream) for the first time during the financial year. This has proven to be a highly valuable exercise, providing the OLJFC with a direct line of sight into the implementation of Local Jobs First by agencies and their head contractors and suppliers on the ground. In addition, there were a small number of compliance engagements conducted by the OLJFC with procuring agencies and contractors during 2024</w:t>
      </w:r>
      <w:r w:rsidR="00B041B6" w:rsidRPr="0035686A">
        <w:t>-</w:t>
      </w:r>
      <w:r w:rsidRPr="0035686A">
        <w:t xml:space="preserve">25. In response to the Commissioner’s inquiries, agencies and contractors demonstrated constructive engagement, resulting in effective outcomes. </w:t>
      </w:r>
    </w:p>
    <w:p w14:paraId="00282D97" w14:textId="77777777" w:rsidR="00984E54" w:rsidRPr="0035686A" w:rsidRDefault="00984E54" w:rsidP="00984E54">
      <w:r w:rsidRPr="0035686A">
        <w:t>The combination of these channels demonstrates the actions taken by the OLJFC in fulfilling its purpose to support the increased participation of local businesses and local workers through Victorian government procurement. Local Jobs First and the Social Procurement Framework continue to deliver significant impact and enduring economic and social value for Victorians. The ground is set for this work to be continued and strengthened into the future.</w:t>
      </w:r>
    </w:p>
    <w:p w14:paraId="2069B6C6" w14:textId="77777777" w:rsidR="00984E54" w:rsidRPr="0035686A" w:rsidRDefault="00984E54" w:rsidP="00984E54">
      <w:pPr>
        <w:pStyle w:val="Heading2-numbered"/>
      </w:pPr>
      <w:bookmarkStart w:id="8" w:name="_Toc213233914"/>
      <w:r w:rsidRPr="0035686A">
        <w:t>Department of Jobs, Skills, Industry and Regions</w:t>
      </w:r>
      <w:bookmarkEnd w:id="8"/>
    </w:p>
    <w:p w14:paraId="12959743" w14:textId="25477149" w:rsidR="00984E54" w:rsidRPr="0035686A" w:rsidRDefault="002C469D" w:rsidP="00984E54">
      <w:r w:rsidRPr="002C469D">
        <w:t>The Department of Jobs, Skills, Industry and Regions (DJSIR) is responsible for administering the Act. This includes developing the Local Jobs First Policy, maintaining and updating guidelines and model clauses, and establishing structures to support delivery of Local Jobs First across Victorian Government agencies</w:t>
      </w:r>
      <w:r w:rsidR="00984E54" w:rsidRPr="0035686A">
        <w:t xml:space="preserve">. </w:t>
      </w:r>
    </w:p>
    <w:p w14:paraId="0FD8923A" w14:textId="77777777" w:rsidR="00984E54" w:rsidRPr="0035686A" w:rsidRDefault="00984E54" w:rsidP="00984E54">
      <w:r w:rsidRPr="0035686A">
        <w:t xml:space="preserve">DJSIR advises, monitors and reports on the implementation of Local Jobs First and provides regular advice and reporting to the Minister responsible for Local Jobs First, and the Victorian Government regarding the operation of Local Jobs First. </w:t>
      </w:r>
    </w:p>
    <w:p w14:paraId="026E66FB" w14:textId="77777777" w:rsidR="00984E54" w:rsidRPr="0035686A" w:rsidRDefault="00984E54" w:rsidP="00984E54">
      <w:r w:rsidRPr="0035686A">
        <w:t xml:space="preserve">In addition, DJSIR is responsible for: </w:t>
      </w:r>
    </w:p>
    <w:p w14:paraId="60716F97" w14:textId="77777777" w:rsidR="00984E54" w:rsidRPr="0035686A" w:rsidRDefault="00984E54" w:rsidP="00984E54">
      <w:pPr>
        <w:pStyle w:val="TableBullet"/>
        <w:suppressAutoHyphens w:val="0"/>
        <w:spacing w:before="0" w:after="120" w:line="240" w:lineRule="auto"/>
        <w:ind w:left="346" w:hanging="346"/>
      </w:pPr>
      <w:r w:rsidRPr="0035686A">
        <w:t xml:space="preserve">working with Victorian Government agencies to set Local Jobs First requirements on Strategic Projects </w:t>
      </w:r>
    </w:p>
    <w:p w14:paraId="7AD2EDD6" w14:textId="77777777" w:rsidR="00984E54" w:rsidRPr="0035686A" w:rsidRDefault="00984E54" w:rsidP="00984E54">
      <w:pPr>
        <w:pStyle w:val="TableBullet"/>
        <w:suppressAutoHyphens w:val="0"/>
        <w:spacing w:before="0" w:after="120" w:line="240" w:lineRule="auto"/>
        <w:ind w:left="346" w:hanging="346"/>
      </w:pPr>
      <w:r w:rsidRPr="0035686A">
        <w:lastRenderedPageBreak/>
        <w:t xml:space="preserve">managing the services delivered by the ICN Victoria to support Local Jobs First implementation </w:t>
      </w:r>
    </w:p>
    <w:p w14:paraId="08FB36DD" w14:textId="77777777" w:rsidR="00984E54" w:rsidRPr="0035686A" w:rsidRDefault="00984E54" w:rsidP="00984E54">
      <w:pPr>
        <w:pStyle w:val="TableBullet"/>
        <w:suppressAutoHyphens w:val="0"/>
        <w:spacing w:before="0" w:after="120" w:line="240" w:lineRule="auto"/>
        <w:ind w:left="346" w:hanging="346"/>
      </w:pPr>
      <w:r w:rsidRPr="0035686A">
        <w:t xml:space="preserve">leading engagement with the Commonwealth Government, other states and territories, and international bodies on Local Jobs First </w:t>
      </w:r>
    </w:p>
    <w:p w14:paraId="2874632D" w14:textId="77777777" w:rsidR="00984E54" w:rsidRPr="0035686A" w:rsidRDefault="00984E54" w:rsidP="00984E54">
      <w:pPr>
        <w:pStyle w:val="TableBullet"/>
        <w:suppressAutoHyphens w:val="0"/>
        <w:spacing w:before="0" w:after="120" w:line="240" w:lineRule="auto"/>
        <w:ind w:left="346" w:hanging="346"/>
      </w:pPr>
      <w:r w:rsidRPr="0035686A">
        <w:t>preparing this whole-of-government Annual Report on the implementation of Local Jobs First for the responsible Minister to table in Parliament as required under the Act.</w:t>
      </w:r>
    </w:p>
    <w:p w14:paraId="140D733E" w14:textId="77777777" w:rsidR="00984E54" w:rsidRPr="0035686A" w:rsidRDefault="00984E54" w:rsidP="00984E54">
      <w:r w:rsidRPr="0035686A">
        <w:t xml:space="preserve">DJSIR is also responsible for advising on, and implementing, amendments to the Act, such as the Local Jobs First Amendment Bill 2025. </w:t>
      </w:r>
    </w:p>
    <w:p w14:paraId="630AC659" w14:textId="77777777" w:rsidR="00984E54" w:rsidRPr="0035686A" w:rsidRDefault="00984E54" w:rsidP="00984E54">
      <w:r w:rsidRPr="0035686A">
        <w:t xml:space="preserve">For further details, please refer to the Local Jobs First website at </w:t>
      </w:r>
      <w:r w:rsidRPr="0035686A">
        <w:rPr>
          <w:rStyle w:val="Hyperlink"/>
        </w:rPr>
        <w:t>localjobsfirst.vic.gov.au</w:t>
      </w:r>
      <w:r w:rsidRPr="0035686A">
        <w:t>.</w:t>
      </w:r>
    </w:p>
    <w:p w14:paraId="2F682058" w14:textId="77777777" w:rsidR="00984E54" w:rsidRPr="0035686A" w:rsidRDefault="00984E54" w:rsidP="00984E54">
      <w:pPr>
        <w:pStyle w:val="Heading2-numbered"/>
      </w:pPr>
      <w:bookmarkStart w:id="9" w:name="_Toc213233915"/>
      <w:r w:rsidRPr="0035686A">
        <w:t>Industry Capability Network (ICN) Victoria</w:t>
      </w:r>
      <w:bookmarkEnd w:id="9"/>
    </w:p>
    <w:p w14:paraId="48ADABE8" w14:textId="77777777" w:rsidR="00984E54" w:rsidRPr="0035686A" w:rsidRDefault="00984E54" w:rsidP="00B041B6">
      <w:r w:rsidRPr="0035686A">
        <w:t xml:space="preserve">The ICN Victoria is an independent, not-for-profit organisation that supports DJSIR with the day-to-day implementation of Local Jobs First. </w:t>
      </w:r>
    </w:p>
    <w:p w14:paraId="49A8B840" w14:textId="77777777" w:rsidR="00984E54" w:rsidRPr="0035686A" w:rsidRDefault="00984E54" w:rsidP="00984E54">
      <w:r w:rsidRPr="0035686A">
        <w:t>The key activities that the ICN Victoria manages through the Victorian Management Centre (VMC) include preparing local content recommendations for DJSIR, managing tender registration of government projects including contestability assessments, reviewing bidders’ Local Industry Development Plan (LIDP) submissions and capturing contractors’ project reporting.</w:t>
      </w:r>
    </w:p>
    <w:p w14:paraId="68B14856" w14:textId="77777777" w:rsidR="00984E54" w:rsidRPr="0035686A" w:rsidRDefault="00984E54" w:rsidP="00984E54">
      <w:r w:rsidRPr="0035686A">
        <w:t xml:space="preserve">The ICN Victoria can also provide localisation assistance for bidders as they are preparing their LIDPs, or as contractors are implementing their LIDPs, connecting SMEs to bidders and lead contractors through sector directories, Gateway pages and events. In 2024-25, events were held in metro Melbourne, Ballarat, Geelong, Bendigo, Gippsland, Wangaratta, and Camperdown. </w:t>
      </w:r>
    </w:p>
    <w:p w14:paraId="1865C807" w14:textId="77777777" w:rsidR="00984E54" w:rsidRPr="0035686A" w:rsidRDefault="00984E54" w:rsidP="00984E54">
      <w:pPr>
        <w:pStyle w:val="Heading3"/>
      </w:pPr>
      <w:r w:rsidRPr="0035686A">
        <w:t>Case study 2:</w:t>
      </w:r>
    </w:p>
    <w:p w14:paraId="13B77F1A" w14:textId="77777777" w:rsidR="00984E54" w:rsidRPr="0035686A" w:rsidRDefault="00984E54" w:rsidP="00984E54">
      <w:r w:rsidRPr="0035686A">
        <w:t>LS Precast</w:t>
      </w:r>
    </w:p>
    <w:p w14:paraId="0193B1A9" w14:textId="77777777" w:rsidR="00984E54" w:rsidRPr="0035686A" w:rsidRDefault="00984E54" w:rsidP="00984E54">
      <w:r w:rsidRPr="0035686A">
        <w:t xml:space="preserve">Locally owned and operated LS Precast is Victoria’s largest precast concrete manufacturing </w:t>
      </w:r>
      <w:proofErr w:type="gramStart"/>
      <w:r w:rsidRPr="0035686A">
        <w:t>facility, and</w:t>
      </w:r>
      <w:proofErr w:type="gramEnd"/>
      <w:r w:rsidRPr="0035686A">
        <w:t xml:space="preserve"> was established in Benalla in 2018 to support Victoria’s Big Build.</w:t>
      </w:r>
    </w:p>
    <w:p w14:paraId="1A135020" w14:textId="77777777" w:rsidR="00984E54" w:rsidRPr="0035686A" w:rsidRDefault="00984E54" w:rsidP="00984E54">
      <w:r w:rsidRPr="0035686A">
        <w:t xml:space="preserve">Since then, the facility has delivered on 2 Local Jobs First Strategic Projects: supplying 49,000 concrete products for the West Gate Tunnel Project which created 400 jobs, and is currently manufacturing more than 46,000 concrete segments for the </w:t>
      </w:r>
      <w:proofErr w:type="gramStart"/>
      <w:r w:rsidRPr="0035686A">
        <w:t>North East</w:t>
      </w:r>
      <w:proofErr w:type="gramEnd"/>
      <w:r w:rsidRPr="0035686A">
        <w:t xml:space="preserve"> Link, creating 120 jobs.</w:t>
      </w:r>
    </w:p>
    <w:p w14:paraId="71F5AA26" w14:textId="381CCEB8" w:rsidR="00984E54" w:rsidRPr="0035686A" w:rsidRDefault="00984E54" w:rsidP="00B041B6">
      <w:r w:rsidRPr="0035686A">
        <w:t>LS Precast has recently been engaged on a third Local Jobs First Strategic Project, producing more than 96,700 segments for the 16</w:t>
      </w:r>
      <w:r w:rsidR="00B041B6" w:rsidRPr="0035686A">
        <w:t>-</w:t>
      </w:r>
      <w:r w:rsidRPr="0035686A">
        <w:t xml:space="preserve">kilometre southern section of Suburban Rail Loop (SRL) East twin tunnels between Cheltenham and Glen Waverley. </w:t>
      </w:r>
    </w:p>
    <w:p w14:paraId="788D66EE" w14:textId="5A08A7A8" w:rsidR="00984E54" w:rsidRPr="0035686A" w:rsidRDefault="00984E54" w:rsidP="00B041B6">
      <w:r w:rsidRPr="0035686A">
        <w:lastRenderedPageBreak/>
        <w:t>LS Precast will manufacture more than 170 segments per day, continuing through to mid</w:t>
      </w:r>
      <w:r w:rsidR="00B041B6" w:rsidRPr="0035686A">
        <w:t>-</w:t>
      </w:r>
      <w:r w:rsidRPr="0035686A">
        <w:t>2028. The facility’s scale and output are critical to the timely progress of this city</w:t>
      </w:r>
      <w:r w:rsidR="00B041B6" w:rsidRPr="0035686A">
        <w:t>-</w:t>
      </w:r>
      <w:r w:rsidRPr="0035686A">
        <w:t>shaping transport project. The SRL East work will secure more than 75 direct jobs in Benalla, with additional employment generated across the regional supply chain. The company’s operations contribute to long</w:t>
      </w:r>
      <w:r w:rsidR="00B041B6" w:rsidRPr="0035686A">
        <w:t>-</w:t>
      </w:r>
      <w:r w:rsidRPr="0035686A">
        <w:t>term workforce development and regional economic growth, supporting skilled trades and training opportunities.</w:t>
      </w:r>
    </w:p>
    <w:p w14:paraId="63B2A914" w14:textId="77777777" w:rsidR="00984E54" w:rsidRPr="0035686A" w:rsidRDefault="00984E54" w:rsidP="00B041B6">
      <w:r w:rsidRPr="0035686A">
        <w:t xml:space="preserve">LS Precast is a great example of how regional businesses can contribute meaningfully to major projects. In particular, the company demonstrates the value of regional manufacturing in building infrastructure and the employment opportunities that it creates. </w:t>
      </w:r>
    </w:p>
    <w:p w14:paraId="580D3E67" w14:textId="77777777" w:rsidR="00984E54" w:rsidRPr="0035686A" w:rsidRDefault="00984E54" w:rsidP="00B041B6">
      <w:r w:rsidRPr="0035686A">
        <w:t xml:space="preserve">Meanwhile, SRL East’s Tunnels South </w:t>
      </w:r>
      <w:proofErr w:type="gramStart"/>
      <w:r w:rsidRPr="0035686A">
        <w:t>contractor</w:t>
      </w:r>
      <w:proofErr w:type="gramEnd"/>
      <w:r w:rsidRPr="0035686A">
        <w:t xml:space="preserve"> Suburban Connect will be actively working to attract women to the workforce to help produce the concrete segments. </w:t>
      </w:r>
    </w:p>
    <w:p w14:paraId="0F1FE2F7" w14:textId="77777777" w:rsidR="00984E54" w:rsidRPr="0035686A" w:rsidRDefault="00984E54" w:rsidP="00B041B6">
      <w:r w:rsidRPr="0035686A">
        <w:t>Construction of SRL East from Cheltenham to Box Hill is powering ahead, creating up to 8,000 direct local jobs, with more than 3,000 people already working on the project.</w:t>
      </w:r>
    </w:p>
    <w:p w14:paraId="5552E6A2" w14:textId="77777777" w:rsidR="00984E54" w:rsidRPr="0035686A" w:rsidRDefault="00984E54" w:rsidP="00B041B6">
      <w:r w:rsidRPr="0035686A">
        <w:t xml:space="preserve">Major construction is now underway, with tunnelling starting next year and trains taking passengers in 2035. </w:t>
      </w:r>
    </w:p>
    <w:p w14:paraId="6866CAF0" w14:textId="77777777" w:rsidR="00984E54" w:rsidRPr="0035686A" w:rsidRDefault="00984E54" w:rsidP="00984E54">
      <w:pPr>
        <w:pStyle w:val="Heading1-numbered"/>
      </w:pPr>
      <w:bookmarkStart w:id="10" w:name="_Toc213233916"/>
      <w:r w:rsidRPr="0035686A">
        <w:lastRenderedPageBreak/>
        <w:t>Local Jobs First Key Activities and Impact: 2024-25</w:t>
      </w:r>
      <w:bookmarkEnd w:id="10"/>
    </w:p>
    <w:p w14:paraId="4A843D37" w14:textId="77777777" w:rsidR="00984E54" w:rsidRPr="0035686A" w:rsidRDefault="00984E54" w:rsidP="00B041B6">
      <w:r w:rsidRPr="0035686A">
        <w:t xml:space="preserve">Under Local Jobs First, each project is designated as either a Standard Project or a Strategic Project based on the project value and/or Ministerial determination. </w:t>
      </w:r>
    </w:p>
    <w:p w14:paraId="4E2D53A0" w14:textId="77777777" w:rsidR="00984E54" w:rsidRPr="0035686A" w:rsidRDefault="00984E54" w:rsidP="00B041B6">
      <w:r w:rsidRPr="0035686A">
        <w:t>As Victoria’s infrastructure spending has increased in recent years, the number and value of Local Jobs First Standard Projects and Strategic Projects has also grown. The strong pipeline of current and future government projects will continue to generate opportunities for local industry over the next decade and beyond.</w:t>
      </w:r>
    </w:p>
    <w:p w14:paraId="3BEE0980" w14:textId="77777777" w:rsidR="00984E54" w:rsidRPr="0035686A" w:rsidRDefault="00984E54" w:rsidP="00984E54">
      <w:pPr>
        <w:pStyle w:val="Heading2-numbered"/>
      </w:pPr>
      <w:bookmarkStart w:id="11" w:name="_Toc213233917"/>
      <w:r w:rsidRPr="0035686A">
        <w:t>Strategic Projects</w:t>
      </w:r>
      <w:bookmarkEnd w:id="11"/>
    </w:p>
    <w:p w14:paraId="35EF4E50" w14:textId="77777777" w:rsidR="00984E54" w:rsidRPr="0035686A" w:rsidRDefault="00984E54" w:rsidP="00984E54">
      <w:r w:rsidRPr="0035686A">
        <w:t>Since November 2014 to 30 June 2025, minimum local content requirements have been set on a total of 392 Local Jobs First Strategic Projects, with a combined value of $189.8 billion. These projects are expected to deliver an average of 88% local content, with commitments of more than 68,000 jobs and over 28,000 opportunities for local SMEs to get involved in large Victorian Government projects.</w:t>
      </w:r>
    </w:p>
    <w:p w14:paraId="389C3299" w14:textId="4E95F488" w:rsidR="00984E54" w:rsidRPr="0035686A" w:rsidRDefault="00984E54" w:rsidP="00B041B6">
      <w:r w:rsidRPr="0035686A">
        <w:t>In 2024</w:t>
      </w:r>
      <w:r w:rsidR="00B041B6" w:rsidRPr="0035686A">
        <w:t>-</w:t>
      </w:r>
      <w:r w:rsidRPr="0035686A">
        <w:t>25, the Victorian Government set local content requirements for 44 Strategic Projects worth $14.8 billion collectively. The average minimum local content requirement set across these projects was 84%.</w:t>
      </w:r>
    </w:p>
    <w:p w14:paraId="5B4DE1C2" w14:textId="58DCB04B" w:rsidR="00984E54" w:rsidRPr="0035686A" w:rsidRDefault="00984E54" w:rsidP="00B041B6">
      <w:r w:rsidRPr="0035686A">
        <w:t>Ministerial requirements were set for Local Jobs First Strategic Projects across a diverse range of industries. Of the 44 Strategic Projects that had minimum requirements set, 8 (18% of all projects) were services projects, and 28 (63% of all projects) were in construction. The share of construction projects has been steady in 2024</w:t>
      </w:r>
      <w:r w:rsidR="00B041B6" w:rsidRPr="0035686A">
        <w:t>-</w:t>
      </w:r>
      <w:r w:rsidRPr="0035686A">
        <w:t xml:space="preserve">25, with an average minimum local content requirement of 94% set across these projects, which is consistent with the average minimum local content requirement in previous years. </w:t>
      </w:r>
    </w:p>
    <w:p w14:paraId="55DAC8EF" w14:textId="77777777" w:rsidR="00984E54" w:rsidRPr="0035686A" w:rsidRDefault="00984E54" w:rsidP="00984E54">
      <w:pPr>
        <w:pStyle w:val="Heading2-numbered"/>
      </w:pPr>
      <w:bookmarkStart w:id="12" w:name="_Toc213233918"/>
      <w:r w:rsidRPr="0035686A">
        <w:t>Standard Projects</w:t>
      </w:r>
      <w:bookmarkEnd w:id="12"/>
    </w:p>
    <w:p w14:paraId="455B6386" w14:textId="77777777" w:rsidR="00984E54" w:rsidRPr="0035686A" w:rsidRDefault="00984E54" w:rsidP="00984E54">
      <w:r w:rsidRPr="0035686A">
        <w:t xml:space="preserve">Between November 2014 to 30 June 2025, Local Jobs First has been applied to a total of 3,143 Standard Projects with a combined value of $26.0 billion. </w:t>
      </w:r>
    </w:p>
    <w:p w14:paraId="5E05D854" w14:textId="08E3CF01" w:rsidR="00984E54" w:rsidRPr="0035686A" w:rsidRDefault="00984E54" w:rsidP="00984E54">
      <w:r w:rsidRPr="0035686A">
        <w:t>In 2024</w:t>
      </w:r>
      <w:r w:rsidR="00B041B6" w:rsidRPr="0035686A">
        <w:t>-</w:t>
      </w:r>
      <w:r w:rsidRPr="0035686A">
        <w:t>25, Local Jobs First has been applied to 307 projects with a combined value of $2.8 billion.</w:t>
      </w:r>
    </w:p>
    <w:p w14:paraId="6B90882E" w14:textId="7B7CA87E" w:rsidR="000F7AD5" w:rsidRPr="0035686A" w:rsidRDefault="00E620EE" w:rsidP="00D979D8">
      <w:r w:rsidRPr="0035686A">
        <w:rPr>
          <w:noProof/>
        </w:rPr>
        <w:lastRenderedPageBreak/>
        <w:drawing>
          <wp:inline distT="0" distB="0" distL="0" distR="0" wp14:anchorId="7858E0D5" wp14:editId="45EF51CC">
            <wp:extent cx="5396603" cy="3022097"/>
            <wp:effectExtent l="0" t="0" r="1270"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a:stretch>
                      <a:fillRect/>
                    </a:stretch>
                  </pic:blipFill>
                  <pic:spPr>
                    <a:xfrm>
                      <a:off x="0" y="0"/>
                      <a:ext cx="5396603" cy="3022097"/>
                    </a:xfrm>
                    <a:prstGeom prst="rect">
                      <a:avLst/>
                    </a:prstGeom>
                  </pic:spPr>
                </pic:pic>
              </a:graphicData>
            </a:graphic>
          </wp:inline>
        </w:drawing>
      </w:r>
    </w:p>
    <w:p w14:paraId="1D9D84E7" w14:textId="502C21C5" w:rsidR="00610226" w:rsidRPr="0035686A" w:rsidRDefault="00610226" w:rsidP="00D979D8"/>
    <w:tbl>
      <w:tblPr>
        <w:tblStyle w:val="TableGrid"/>
        <w:tblW w:w="0" w:type="auto"/>
        <w:tblLook w:val="04A0" w:firstRow="1" w:lastRow="0" w:firstColumn="1" w:lastColumn="0" w:noHBand="0" w:noVBand="1"/>
      </w:tblPr>
      <w:tblGrid>
        <w:gridCol w:w="1060"/>
        <w:gridCol w:w="1608"/>
        <w:gridCol w:w="1863"/>
        <w:gridCol w:w="987"/>
        <w:gridCol w:w="1568"/>
        <w:gridCol w:w="1381"/>
        <w:gridCol w:w="1161"/>
      </w:tblGrid>
      <w:tr w:rsidR="000E25BC" w:rsidRPr="0035686A" w14:paraId="4EAED6EC" w14:textId="49592F4D" w:rsidTr="001C7CA5">
        <w:tc>
          <w:tcPr>
            <w:tcW w:w="1060" w:type="dxa"/>
          </w:tcPr>
          <w:p w14:paraId="65B87B36" w14:textId="77777777" w:rsidR="000E25BC" w:rsidRPr="0035686A" w:rsidRDefault="000E25BC" w:rsidP="004576C5">
            <w:pPr>
              <w:pStyle w:val="TableColumnHeading"/>
              <w:rPr>
                <w:lang w:val="en-AU"/>
              </w:rPr>
            </w:pPr>
            <w:bookmarkStart w:id="13" w:name="ColumnTitles_3"/>
            <w:bookmarkEnd w:id="13"/>
          </w:p>
        </w:tc>
        <w:tc>
          <w:tcPr>
            <w:tcW w:w="1608" w:type="dxa"/>
          </w:tcPr>
          <w:p w14:paraId="715BB68F" w14:textId="590DF177" w:rsidR="000E25BC" w:rsidRPr="0035686A" w:rsidRDefault="000E25BC" w:rsidP="001C7CA5">
            <w:pPr>
              <w:pStyle w:val="TableColumnHeading"/>
              <w:jc w:val="right"/>
              <w:rPr>
                <w:lang w:val="en-AU"/>
              </w:rPr>
            </w:pPr>
            <w:r w:rsidRPr="0035686A">
              <w:rPr>
                <w:lang w:val="en-AU"/>
              </w:rPr>
              <w:t>Construction</w:t>
            </w:r>
          </w:p>
        </w:tc>
        <w:tc>
          <w:tcPr>
            <w:tcW w:w="1863" w:type="dxa"/>
          </w:tcPr>
          <w:p w14:paraId="66777406" w14:textId="78E77B71" w:rsidR="000E25BC" w:rsidRPr="0035686A" w:rsidRDefault="000E25BC" w:rsidP="001C7CA5">
            <w:pPr>
              <w:pStyle w:val="TableColumnHeading"/>
              <w:jc w:val="right"/>
              <w:rPr>
                <w:lang w:val="en-AU"/>
              </w:rPr>
            </w:pPr>
            <w:r w:rsidRPr="0035686A">
              <w:rPr>
                <w:lang w:val="en-AU"/>
              </w:rPr>
              <w:t>Construction &amp; Maintenance</w:t>
            </w:r>
          </w:p>
        </w:tc>
        <w:tc>
          <w:tcPr>
            <w:tcW w:w="987" w:type="dxa"/>
          </w:tcPr>
          <w:p w14:paraId="0FAAEF90" w14:textId="6414A71A" w:rsidR="000E25BC" w:rsidRPr="0035686A" w:rsidRDefault="000E25BC" w:rsidP="001C7CA5">
            <w:pPr>
              <w:pStyle w:val="TableColumnHeading"/>
              <w:jc w:val="right"/>
              <w:rPr>
                <w:lang w:val="en-AU"/>
              </w:rPr>
            </w:pPr>
            <w:r w:rsidRPr="0035686A">
              <w:rPr>
                <w:lang w:val="en-AU"/>
              </w:rPr>
              <w:t>Goods</w:t>
            </w:r>
          </w:p>
        </w:tc>
        <w:tc>
          <w:tcPr>
            <w:tcW w:w="1568" w:type="dxa"/>
          </w:tcPr>
          <w:p w14:paraId="2BB51193" w14:textId="455BF99C" w:rsidR="000E25BC" w:rsidRPr="0035686A" w:rsidRDefault="000E25BC" w:rsidP="001C7CA5">
            <w:pPr>
              <w:pStyle w:val="TableColumnHeading"/>
              <w:jc w:val="right"/>
              <w:rPr>
                <w:lang w:val="en-AU"/>
              </w:rPr>
            </w:pPr>
            <w:r w:rsidRPr="0035686A">
              <w:rPr>
                <w:lang w:val="en-AU"/>
              </w:rPr>
              <w:t>Maintenance</w:t>
            </w:r>
          </w:p>
        </w:tc>
        <w:tc>
          <w:tcPr>
            <w:tcW w:w="1381" w:type="dxa"/>
          </w:tcPr>
          <w:p w14:paraId="5C6FF8F6" w14:textId="6B21BEF1" w:rsidR="000E25BC" w:rsidRPr="0035686A" w:rsidRDefault="000E25BC" w:rsidP="001C7CA5">
            <w:pPr>
              <w:pStyle w:val="TableColumnHeading"/>
              <w:jc w:val="right"/>
              <w:rPr>
                <w:lang w:val="en-AU"/>
              </w:rPr>
            </w:pPr>
            <w:r w:rsidRPr="0035686A">
              <w:rPr>
                <w:lang w:val="en-AU"/>
              </w:rPr>
              <w:t>Operations</w:t>
            </w:r>
          </w:p>
        </w:tc>
        <w:tc>
          <w:tcPr>
            <w:tcW w:w="1161" w:type="dxa"/>
          </w:tcPr>
          <w:p w14:paraId="7D787FA6" w14:textId="064DCDDB" w:rsidR="000E25BC" w:rsidRPr="0035686A" w:rsidRDefault="000E25BC" w:rsidP="001C7CA5">
            <w:pPr>
              <w:pStyle w:val="TableColumnHeading"/>
              <w:jc w:val="right"/>
              <w:rPr>
                <w:lang w:val="en-AU"/>
              </w:rPr>
            </w:pPr>
            <w:r w:rsidRPr="0035686A">
              <w:rPr>
                <w:lang w:val="en-AU"/>
              </w:rPr>
              <w:t>Services</w:t>
            </w:r>
          </w:p>
        </w:tc>
      </w:tr>
      <w:tr w:rsidR="000E25BC" w:rsidRPr="0035686A" w14:paraId="0B071AD6" w14:textId="18F70597" w:rsidTr="001C7CA5">
        <w:tc>
          <w:tcPr>
            <w:tcW w:w="1060" w:type="dxa"/>
          </w:tcPr>
          <w:p w14:paraId="2478089B" w14:textId="72E56A13" w:rsidR="000E25BC" w:rsidRPr="0035686A" w:rsidRDefault="000E25BC" w:rsidP="004576C5">
            <w:pPr>
              <w:pStyle w:val="TableCopy"/>
              <w:rPr>
                <w:lang w:val="en-AU"/>
              </w:rPr>
            </w:pPr>
            <w:r w:rsidRPr="0035686A">
              <w:rPr>
                <w:lang w:val="en-AU"/>
              </w:rPr>
              <w:t>2014-15</w:t>
            </w:r>
          </w:p>
        </w:tc>
        <w:tc>
          <w:tcPr>
            <w:tcW w:w="1608" w:type="dxa"/>
          </w:tcPr>
          <w:p w14:paraId="2BEEF93A" w14:textId="266EDF06" w:rsidR="000E25BC" w:rsidRPr="0035686A" w:rsidRDefault="00D85080" w:rsidP="001C7CA5">
            <w:pPr>
              <w:pStyle w:val="TableCopy"/>
              <w:jc w:val="right"/>
              <w:rPr>
                <w:lang w:val="en-AU"/>
              </w:rPr>
            </w:pPr>
            <w:r w:rsidRPr="0035686A">
              <w:rPr>
                <w:lang w:val="en-AU"/>
              </w:rPr>
              <w:t>100%</w:t>
            </w:r>
          </w:p>
        </w:tc>
        <w:tc>
          <w:tcPr>
            <w:tcW w:w="1863" w:type="dxa"/>
          </w:tcPr>
          <w:p w14:paraId="09DBF486" w14:textId="066EA7AC" w:rsidR="000E25BC" w:rsidRPr="0035686A" w:rsidRDefault="00D85080" w:rsidP="001C7CA5">
            <w:pPr>
              <w:pStyle w:val="TableCopy"/>
              <w:jc w:val="right"/>
              <w:rPr>
                <w:lang w:val="en-AU"/>
              </w:rPr>
            </w:pPr>
            <w:r w:rsidRPr="0035686A">
              <w:rPr>
                <w:lang w:val="en-AU"/>
              </w:rPr>
              <w:t>–</w:t>
            </w:r>
          </w:p>
        </w:tc>
        <w:tc>
          <w:tcPr>
            <w:tcW w:w="987" w:type="dxa"/>
          </w:tcPr>
          <w:p w14:paraId="564072F9" w14:textId="5E2337B1" w:rsidR="000E25BC" w:rsidRPr="0035686A" w:rsidRDefault="00D85080" w:rsidP="001C7CA5">
            <w:pPr>
              <w:pStyle w:val="TableCopy"/>
              <w:jc w:val="right"/>
              <w:rPr>
                <w:lang w:val="en-AU"/>
              </w:rPr>
            </w:pPr>
            <w:r w:rsidRPr="0035686A">
              <w:rPr>
                <w:lang w:val="en-AU"/>
              </w:rPr>
              <w:t>–</w:t>
            </w:r>
          </w:p>
        </w:tc>
        <w:tc>
          <w:tcPr>
            <w:tcW w:w="1568" w:type="dxa"/>
          </w:tcPr>
          <w:p w14:paraId="0187A070" w14:textId="081C62B6" w:rsidR="000E25BC" w:rsidRPr="0035686A" w:rsidRDefault="00D85080" w:rsidP="001C7CA5">
            <w:pPr>
              <w:pStyle w:val="TableCopy"/>
              <w:jc w:val="right"/>
              <w:rPr>
                <w:lang w:val="en-AU"/>
              </w:rPr>
            </w:pPr>
            <w:r w:rsidRPr="0035686A">
              <w:rPr>
                <w:lang w:val="en-AU"/>
              </w:rPr>
              <w:t>–</w:t>
            </w:r>
          </w:p>
        </w:tc>
        <w:tc>
          <w:tcPr>
            <w:tcW w:w="1381" w:type="dxa"/>
          </w:tcPr>
          <w:p w14:paraId="4B22A454" w14:textId="440398B0" w:rsidR="000E25BC" w:rsidRPr="0035686A" w:rsidRDefault="00D85080" w:rsidP="001C7CA5">
            <w:pPr>
              <w:pStyle w:val="TableCopy"/>
              <w:jc w:val="right"/>
              <w:rPr>
                <w:lang w:val="en-AU"/>
              </w:rPr>
            </w:pPr>
            <w:r w:rsidRPr="0035686A">
              <w:rPr>
                <w:lang w:val="en-AU"/>
              </w:rPr>
              <w:t>–</w:t>
            </w:r>
          </w:p>
        </w:tc>
        <w:tc>
          <w:tcPr>
            <w:tcW w:w="1161" w:type="dxa"/>
          </w:tcPr>
          <w:p w14:paraId="579E440D" w14:textId="59057718" w:rsidR="000E25BC" w:rsidRPr="0035686A" w:rsidRDefault="00D85080" w:rsidP="001C7CA5">
            <w:pPr>
              <w:pStyle w:val="TableCopy"/>
              <w:jc w:val="right"/>
              <w:rPr>
                <w:lang w:val="en-AU"/>
              </w:rPr>
            </w:pPr>
            <w:r w:rsidRPr="0035686A">
              <w:rPr>
                <w:lang w:val="en-AU"/>
              </w:rPr>
              <w:t>–</w:t>
            </w:r>
          </w:p>
        </w:tc>
      </w:tr>
      <w:tr w:rsidR="000E25BC" w:rsidRPr="0035686A" w14:paraId="356D6AA3" w14:textId="22B5D179" w:rsidTr="001C7CA5">
        <w:tc>
          <w:tcPr>
            <w:tcW w:w="1060" w:type="dxa"/>
          </w:tcPr>
          <w:p w14:paraId="2A9D4D66" w14:textId="1DCE678A" w:rsidR="000E25BC" w:rsidRPr="0035686A" w:rsidRDefault="005A19A7" w:rsidP="004576C5">
            <w:pPr>
              <w:pStyle w:val="TableCopy"/>
              <w:rPr>
                <w:lang w:val="en-AU"/>
              </w:rPr>
            </w:pPr>
            <w:r w:rsidRPr="0035686A">
              <w:rPr>
                <w:lang w:val="en-AU"/>
              </w:rPr>
              <w:t>2015-16</w:t>
            </w:r>
          </w:p>
        </w:tc>
        <w:tc>
          <w:tcPr>
            <w:tcW w:w="1608" w:type="dxa"/>
          </w:tcPr>
          <w:p w14:paraId="6FAF0ABC" w14:textId="06D1BC94" w:rsidR="000E25BC" w:rsidRPr="0035686A" w:rsidRDefault="003C3569" w:rsidP="001C7CA5">
            <w:pPr>
              <w:pStyle w:val="TableCopy"/>
              <w:jc w:val="right"/>
              <w:rPr>
                <w:lang w:val="en-AU"/>
              </w:rPr>
            </w:pPr>
            <w:r w:rsidRPr="0035686A">
              <w:rPr>
                <w:lang w:val="en-AU"/>
              </w:rPr>
              <w:t>90%</w:t>
            </w:r>
          </w:p>
        </w:tc>
        <w:tc>
          <w:tcPr>
            <w:tcW w:w="1863" w:type="dxa"/>
          </w:tcPr>
          <w:p w14:paraId="293BAF7B" w14:textId="373C2C58" w:rsidR="000E25BC" w:rsidRPr="0035686A" w:rsidRDefault="003C3569" w:rsidP="001C7CA5">
            <w:pPr>
              <w:pStyle w:val="TableCopy"/>
              <w:jc w:val="right"/>
              <w:rPr>
                <w:lang w:val="en-AU"/>
              </w:rPr>
            </w:pPr>
            <w:r w:rsidRPr="0035686A">
              <w:rPr>
                <w:lang w:val="en-AU"/>
              </w:rPr>
              <w:t>–</w:t>
            </w:r>
          </w:p>
        </w:tc>
        <w:tc>
          <w:tcPr>
            <w:tcW w:w="987" w:type="dxa"/>
          </w:tcPr>
          <w:p w14:paraId="71C7CBC9" w14:textId="1A7DF6C0" w:rsidR="000E25BC" w:rsidRPr="0035686A" w:rsidRDefault="003C3569" w:rsidP="001C7CA5">
            <w:pPr>
              <w:pStyle w:val="TableCopy"/>
              <w:jc w:val="right"/>
              <w:rPr>
                <w:lang w:val="en-AU"/>
              </w:rPr>
            </w:pPr>
            <w:r w:rsidRPr="0035686A">
              <w:rPr>
                <w:lang w:val="en-AU"/>
              </w:rPr>
              <w:t>–</w:t>
            </w:r>
          </w:p>
        </w:tc>
        <w:tc>
          <w:tcPr>
            <w:tcW w:w="1568" w:type="dxa"/>
          </w:tcPr>
          <w:p w14:paraId="18E1D083" w14:textId="7838CB60" w:rsidR="000E25BC" w:rsidRPr="0035686A" w:rsidRDefault="003C3569" w:rsidP="001C7CA5">
            <w:pPr>
              <w:pStyle w:val="TableCopy"/>
              <w:jc w:val="right"/>
              <w:rPr>
                <w:lang w:val="en-AU"/>
              </w:rPr>
            </w:pPr>
            <w:r w:rsidRPr="0035686A">
              <w:rPr>
                <w:lang w:val="en-AU"/>
              </w:rPr>
              <w:t>5%</w:t>
            </w:r>
          </w:p>
        </w:tc>
        <w:tc>
          <w:tcPr>
            <w:tcW w:w="1381" w:type="dxa"/>
          </w:tcPr>
          <w:p w14:paraId="2A08FA0C" w14:textId="35DF17E3" w:rsidR="000E25BC" w:rsidRPr="0035686A" w:rsidRDefault="003C3569" w:rsidP="001C7CA5">
            <w:pPr>
              <w:pStyle w:val="TableCopy"/>
              <w:jc w:val="right"/>
              <w:rPr>
                <w:lang w:val="en-AU"/>
              </w:rPr>
            </w:pPr>
            <w:r w:rsidRPr="0035686A">
              <w:rPr>
                <w:lang w:val="en-AU"/>
              </w:rPr>
              <w:t>–</w:t>
            </w:r>
          </w:p>
        </w:tc>
        <w:tc>
          <w:tcPr>
            <w:tcW w:w="1161" w:type="dxa"/>
          </w:tcPr>
          <w:p w14:paraId="3431C941" w14:textId="19B5B152" w:rsidR="000E25BC" w:rsidRPr="0035686A" w:rsidRDefault="003C3569" w:rsidP="001C7CA5">
            <w:pPr>
              <w:pStyle w:val="TableCopy"/>
              <w:jc w:val="right"/>
              <w:rPr>
                <w:lang w:val="en-AU"/>
              </w:rPr>
            </w:pPr>
            <w:r w:rsidRPr="0035686A">
              <w:rPr>
                <w:lang w:val="en-AU"/>
              </w:rPr>
              <w:t>5%</w:t>
            </w:r>
          </w:p>
        </w:tc>
      </w:tr>
      <w:tr w:rsidR="000E25BC" w:rsidRPr="0035686A" w14:paraId="366D9A83" w14:textId="1B1B3EBB" w:rsidTr="001C7CA5">
        <w:tc>
          <w:tcPr>
            <w:tcW w:w="1060" w:type="dxa"/>
          </w:tcPr>
          <w:p w14:paraId="41A0C59B" w14:textId="35413AEE" w:rsidR="000E25BC" w:rsidRPr="0035686A" w:rsidRDefault="005A19A7" w:rsidP="004576C5">
            <w:pPr>
              <w:pStyle w:val="TableCopy"/>
              <w:rPr>
                <w:lang w:val="en-AU"/>
              </w:rPr>
            </w:pPr>
            <w:r w:rsidRPr="0035686A">
              <w:rPr>
                <w:lang w:val="en-AU"/>
              </w:rPr>
              <w:t>2016-17</w:t>
            </w:r>
          </w:p>
        </w:tc>
        <w:tc>
          <w:tcPr>
            <w:tcW w:w="1608" w:type="dxa"/>
          </w:tcPr>
          <w:p w14:paraId="4FC9B5B5" w14:textId="67DA7D9C" w:rsidR="000E25BC" w:rsidRPr="0035686A" w:rsidRDefault="003C3569" w:rsidP="001C7CA5">
            <w:pPr>
              <w:pStyle w:val="TableCopy"/>
              <w:jc w:val="right"/>
              <w:rPr>
                <w:lang w:val="en-AU"/>
              </w:rPr>
            </w:pPr>
            <w:r w:rsidRPr="0035686A">
              <w:rPr>
                <w:lang w:val="en-AU"/>
              </w:rPr>
              <w:t>97%</w:t>
            </w:r>
          </w:p>
        </w:tc>
        <w:tc>
          <w:tcPr>
            <w:tcW w:w="1863" w:type="dxa"/>
          </w:tcPr>
          <w:p w14:paraId="084CB7E6" w14:textId="2448D64F" w:rsidR="000E25BC" w:rsidRPr="0035686A" w:rsidRDefault="00C47F5B" w:rsidP="001C7CA5">
            <w:pPr>
              <w:pStyle w:val="TableCopy"/>
              <w:jc w:val="right"/>
              <w:rPr>
                <w:lang w:val="en-AU"/>
              </w:rPr>
            </w:pPr>
            <w:r w:rsidRPr="0035686A">
              <w:rPr>
                <w:lang w:val="en-AU"/>
              </w:rPr>
              <w:t>–</w:t>
            </w:r>
          </w:p>
        </w:tc>
        <w:tc>
          <w:tcPr>
            <w:tcW w:w="987" w:type="dxa"/>
          </w:tcPr>
          <w:p w14:paraId="0237AF8D" w14:textId="195253DE" w:rsidR="000E25BC" w:rsidRPr="0035686A" w:rsidRDefault="00C47F5B" w:rsidP="001C7CA5">
            <w:pPr>
              <w:pStyle w:val="TableCopy"/>
              <w:jc w:val="right"/>
              <w:rPr>
                <w:lang w:val="en-AU"/>
              </w:rPr>
            </w:pPr>
            <w:r w:rsidRPr="0035686A">
              <w:rPr>
                <w:lang w:val="en-AU"/>
              </w:rPr>
              <w:t>–</w:t>
            </w:r>
          </w:p>
        </w:tc>
        <w:tc>
          <w:tcPr>
            <w:tcW w:w="1568" w:type="dxa"/>
          </w:tcPr>
          <w:p w14:paraId="2D566228" w14:textId="066823D9" w:rsidR="000E25BC" w:rsidRPr="0035686A" w:rsidRDefault="00C47F5B" w:rsidP="001C7CA5">
            <w:pPr>
              <w:pStyle w:val="TableCopy"/>
              <w:jc w:val="right"/>
              <w:rPr>
                <w:lang w:val="en-AU"/>
              </w:rPr>
            </w:pPr>
            <w:r w:rsidRPr="0035686A">
              <w:rPr>
                <w:lang w:val="en-AU"/>
              </w:rPr>
              <w:t>–</w:t>
            </w:r>
          </w:p>
        </w:tc>
        <w:tc>
          <w:tcPr>
            <w:tcW w:w="1381" w:type="dxa"/>
          </w:tcPr>
          <w:p w14:paraId="66005945" w14:textId="38C3AC1D" w:rsidR="000E25BC" w:rsidRPr="0035686A" w:rsidRDefault="00C47F5B" w:rsidP="001C7CA5">
            <w:pPr>
              <w:pStyle w:val="TableCopy"/>
              <w:jc w:val="right"/>
              <w:rPr>
                <w:lang w:val="en-AU"/>
              </w:rPr>
            </w:pPr>
            <w:r w:rsidRPr="0035686A">
              <w:rPr>
                <w:lang w:val="en-AU"/>
              </w:rPr>
              <w:t>3%</w:t>
            </w:r>
          </w:p>
        </w:tc>
        <w:tc>
          <w:tcPr>
            <w:tcW w:w="1161" w:type="dxa"/>
          </w:tcPr>
          <w:p w14:paraId="7F425117" w14:textId="45AE9400" w:rsidR="000E25BC" w:rsidRPr="0035686A" w:rsidRDefault="00C47F5B" w:rsidP="001C7CA5">
            <w:pPr>
              <w:pStyle w:val="TableCopy"/>
              <w:jc w:val="right"/>
              <w:rPr>
                <w:lang w:val="en-AU"/>
              </w:rPr>
            </w:pPr>
            <w:r w:rsidRPr="0035686A">
              <w:rPr>
                <w:lang w:val="en-AU"/>
              </w:rPr>
              <w:t>–</w:t>
            </w:r>
          </w:p>
        </w:tc>
      </w:tr>
      <w:tr w:rsidR="000E25BC" w:rsidRPr="0035686A" w14:paraId="5B15834A" w14:textId="4DED303F" w:rsidTr="001C7CA5">
        <w:tc>
          <w:tcPr>
            <w:tcW w:w="1060" w:type="dxa"/>
          </w:tcPr>
          <w:p w14:paraId="25CD6364" w14:textId="6F75E686" w:rsidR="000E25BC" w:rsidRPr="0035686A" w:rsidRDefault="005A19A7" w:rsidP="004576C5">
            <w:pPr>
              <w:pStyle w:val="TableCopy"/>
              <w:rPr>
                <w:lang w:val="en-AU"/>
              </w:rPr>
            </w:pPr>
            <w:r w:rsidRPr="0035686A">
              <w:rPr>
                <w:lang w:val="en-AU"/>
              </w:rPr>
              <w:t>2017-18</w:t>
            </w:r>
          </w:p>
        </w:tc>
        <w:tc>
          <w:tcPr>
            <w:tcW w:w="1608" w:type="dxa"/>
          </w:tcPr>
          <w:p w14:paraId="536AB7F6" w14:textId="5B035C1A" w:rsidR="000E25BC" w:rsidRPr="0035686A" w:rsidRDefault="00C47F5B" w:rsidP="001C7CA5">
            <w:pPr>
              <w:pStyle w:val="TableCopy"/>
              <w:jc w:val="right"/>
              <w:rPr>
                <w:lang w:val="en-AU"/>
              </w:rPr>
            </w:pPr>
            <w:r w:rsidRPr="0035686A">
              <w:rPr>
                <w:lang w:val="en-AU"/>
              </w:rPr>
              <w:t>65%</w:t>
            </w:r>
          </w:p>
        </w:tc>
        <w:tc>
          <w:tcPr>
            <w:tcW w:w="1863" w:type="dxa"/>
          </w:tcPr>
          <w:p w14:paraId="402040E4" w14:textId="00C5E4D1" w:rsidR="000E25BC" w:rsidRPr="0035686A" w:rsidRDefault="00C47F5B" w:rsidP="001C7CA5">
            <w:pPr>
              <w:pStyle w:val="TableCopy"/>
              <w:jc w:val="right"/>
              <w:rPr>
                <w:lang w:val="en-AU"/>
              </w:rPr>
            </w:pPr>
            <w:r w:rsidRPr="0035686A">
              <w:rPr>
                <w:lang w:val="en-AU"/>
              </w:rPr>
              <w:t>3%</w:t>
            </w:r>
          </w:p>
        </w:tc>
        <w:tc>
          <w:tcPr>
            <w:tcW w:w="987" w:type="dxa"/>
          </w:tcPr>
          <w:p w14:paraId="30665394" w14:textId="53865659" w:rsidR="000E25BC" w:rsidRPr="0035686A" w:rsidRDefault="00C47F5B" w:rsidP="001C7CA5">
            <w:pPr>
              <w:pStyle w:val="TableCopy"/>
              <w:jc w:val="right"/>
              <w:rPr>
                <w:lang w:val="en-AU"/>
              </w:rPr>
            </w:pPr>
            <w:r w:rsidRPr="0035686A">
              <w:rPr>
                <w:lang w:val="en-AU"/>
              </w:rPr>
              <w:t>8%</w:t>
            </w:r>
          </w:p>
        </w:tc>
        <w:tc>
          <w:tcPr>
            <w:tcW w:w="1568" w:type="dxa"/>
          </w:tcPr>
          <w:p w14:paraId="60A12C0E" w14:textId="45911E6B" w:rsidR="000E25BC" w:rsidRPr="0035686A" w:rsidRDefault="00C47F5B" w:rsidP="001C7CA5">
            <w:pPr>
              <w:pStyle w:val="TableCopy"/>
              <w:jc w:val="right"/>
              <w:rPr>
                <w:lang w:val="en-AU"/>
              </w:rPr>
            </w:pPr>
            <w:r w:rsidRPr="0035686A">
              <w:rPr>
                <w:lang w:val="en-AU"/>
              </w:rPr>
              <w:t>5%</w:t>
            </w:r>
          </w:p>
        </w:tc>
        <w:tc>
          <w:tcPr>
            <w:tcW w:w="1381" w:type="dxa"/>
          </w:tcPr>
          <w:p w14:paraId="22240661" w14:textId="64794692" w:rsidR="000E25BC" w:rsidRPr="0035686A" w:rsidRDefault="00C47F5B" w:rsidP="001C7CA5">
            <w:pPr>
              <w:pStyle w:val="TableCopy"/>
              <w:jc w:val="right"/>
              <w:rPr>
                <w:lang w:val="en-AU"/>
              </w:rPr>
            </w:pPr>
            <w:r w:rsidRPr="0035686A">
              <w:rPr>
                <w:lang w:val="en-AU"/>
              </w:rPr>
              <w:t>8%</w:t>
            </w:r>
          </w:p>
        </w:tc>
        <w:tc>
          <w:tcPr>
            <w:tcW w:w="1161" w:type="dxa"/>
          </w:tcPr>
          <w:p w14:paraId="1F60B149" w14:textId="7C0BDC20" w:rsidR="000E25BC" w:rsidRPr="0035686A" w:rsidRDefault="00C47F5B" w:rsidP="001C7CA5">
            <w:pPr>
              <w:pStyle w:val="TableCopy"/>
              <w:jc w:val="right"/>
              <w:rPr>
                <w:lang w:val="en-AU"/>
              </w:rPr>
            </w:pPr>
            <w:r w:rsidRPr="0035686A">
              <w:rPr>
                <w:lang w:val="en-AU"/>
              </w:rPr>
              <w:t>11%</w:t>
            </w:r>
          </w:p>
        </w:tc>
      </w:tr>
      <w:tr w:rsidR="005A19A7" w:rsidRPr="0035686A" w14:paraId="67161D8C" w14:textId="77777777" w:rsidTr="001C7CA5">
        <w:tc>
          <w:tcPr>
            <w:tcW w:w="1060" w:type="dxa"/>
          </w:tcPr>
          <w:p w14:paraId="5F4650E9" w14:textId="651C49A9" w:rsidR="005A19A7" w:rsidRPr="0035686A" w:rsidRDefault="005A19A7" w:rsidP="004576C5">
            <w:pPr>
              <w:pStyle w:val="TableCopy"/>
              <w:rPr>
                <w:lang w:val="en-AU"/>
              </w:rPr>
            </w:pPr>
            <w:r w:rsidRPr="0035686A">
              <w:rPr>
                <w:lang w:val="en-AU"/>
              </w:rPr>
              <w:t>2018-19</w:t>
            </w:r>
          </w:p>
        </w:tc>
        <w:tc>
          <w:tcPr>
            <w:tcW w:w="1608" w:type="dxa"/>
          </w:tcPr>
          <w:p w14:paraId="279AD708" w14:textId="13358911" w:rsidR="005A19A7" w:rsidRPr="0035686A" w:rsidRDefault="00C47F5B" w:rsidP="001C7CA5">
            <w:pPr>
              <w:pStyle w:val="TableCopy"/>
              <w:jc w:val="right"/>
              <w:rPr>
                <w:lang w:val="en-AU"/>
              </w:rPr>
            </w:pPr>
            <w:r w:rsidRPr="0035686A">
              <w:rPr>
                <w:lang w:val="en-AU"/>
              </w:rPr>
              <w:t>85%</w:t>
            </w:r>
          </w:p>
        </w:tc>
        <w:tc>
          <w:tcPr>
            <w:tcW w:w="1863" w:type="dxa"/>
          </w:tcPr>
          <w:p w14:paraId="7A382652" w14:textId="530F05D3" w:rsidR="005A19A7" w:rsidRPr="0035686A" w:rsidRDefault="00C26740" w:rsidP="001C7CA5">
            <w:pPr>
              <w:pStyle w:val="TableCopy"/>
              <w:jc w:val="right"/>
              <w:rPr>
                <w:lang w:val="en-AU"/>
              </w:rPr>
            </w:pPr>
            <w:r w:rsidRPr="0035686A">
              <w:rPr>
                <w:lang w:val="en-AU"/>
              </w:rPr>
              <w:t>–</w:t>
            </w:r>
          </w:p>
        </w:tc>
        <w:tc>
          <w:tcPr>
            <w:tcW w:w="987" w:type="dxa"/>
          </w:tcPr>
          <w:p w14:paraId="5722FE84" w14:textId="025F4D18" w:rsidR="005A19A7" w:rsidRPr="0035686A" w:rsidRDefault="00C26740" w:rsidP="001C7CA5">
            <w:pPr>
              <w:pStyle w:val="TableCopy"/>
              <w:jc w:val="right"/>
              <w:rPr>
                <w:lang w:val="en-AU"/>
              </w:rPr>
            </w:pPr>
            <w:r w:rsidRPr="0035686A">
              <w:rPr>
                <w:lang w:val="en-AU"/>
              </w:rPr>
              <w:t>–</w:t>
            </w:r>
          </w:p>
        </w:tc>
        <w:tc>
          <w:tcPr>
            <w:tcW w:w="1568" w:type="dxa"/>
          </w:tcPr>
          <w:p w14:paraId="748AE8FD" w14:textId="041D2190" w:rsidR="005A19A7" w:rsidRPr="0035686A" w:rsidRDefault="00C26740" w:rsidP="001C7CA5">
            <w:pPr>
              <w:pStyle w:val="TableCopy"/>
              <w:jc w:val="right"/>
              <w:rPr>
                <w:lang w:val="en-AU"/>
              </w:rPr>
            </w:pPr>
            <w:r w:rsidRPr="0035686A">
              <w:rPr>
                <w:lang w:val="en-AU"/>
              </w:rPr>
              <w:t>6%</w:t>
            </w:r>
          </w:p>
        </w:tc>
        <w:tc>
          <w:tcPr>
            <w:tcW w:w="1381" w:type="dxa"/>
          </w:tcPr>
          <w:p w14:paraId="1019265A" w14:textId="6C9D3BCB" w:rsidR="005A19A7" w:rsidRPr="0035686A" w:rsidRDefault="00C26740" w:rsidP="001C7CA5">
            <w:pPr>
              <w:pStyle w:val="TableCopy"/>
              <w:jc w:val="right"/>
              <w:rPr>
                <w:lang w:val="en-AU"/>
              </w:rPr>
            </w:pPr>
            <w:r w:rsidRPr="0035686A">
              <w:rPr>
                <w:lang w:val="en-AU"/>
              </w:rPr>
              <w:t>–</w:t>
            </w:r>
          </w:p>
        </w:tc>
        <w:tc>
          <w:tcPr>
            <w:tcW w:w="1161" w:type="dxa"/>
          </w:tcPr>
          <w:p w14:paraId="2FE108AA" w14:textId="4CCD0EBF" w:rsidR="005A19A7" w:rsidRPr="0035686A" w:rsidRDefault="00C26740" w:rsidP="001C7CA5">
            <w:pPr>
              <w:pStyle w:val="TableCopy"/>
              <w:jc w:val="right"/>
              <w:rPr>
                <w:lang w:val="en-AU"/>
              </w:rPr>
            </w:pPr>
            <w:r w:rsidRPr="0035686A">
              <w:rPr>
                <w:lang w:val="en-AU"/>
              </w:rPr>
              <w:t>9%</w:t>
            </w:r>
          </w:p>
        </w:tc>
      </w:tr>
      <w:tr w:rsidR="005A19A7" w:rsidRPr="0035686A" w14:paraId="38984860" w14:textId="77777777" w:rsidTr="001C7CA5">
        <w:tc>
          <w:tcPr>
            <w:tcW w:w="1060" w:type="dxa"/>
          </w:tcPr>
          <w:p w14:paraId="20F71543" w14:textId="5DF4B82A" w:rsidR="005A19A7" w:rsidRPr="0035686A" w:rsidRDefault="005A19A7" w:rsidP="004576C5">
            <w:pPr>
              <w:pStyle w:val="TableCopy"/>
              <w:rPr>
                <w:lang w:val="en-AU"/>
              </w:rPr>
            </w:pPr>
            <w:r w:rsidRPr="0035686A">
              <w:rPr>
                <w:lang w:val="en-AU"/>
              </w:rPr>
              <w:t>2019-20</w:t>
            </w:r>
          </w:p>
        </w:tc>
        <w:tc>
          <w:tcPr>
            <w:tcW w:w="1608" w:type="dxa"/>
          </w:tcPr>
          <w:p w14:paraId="41F774FF" w14:textId="1D982593" w:rsidR="005A19A7" w:rsidRPr="0035686A" w:rsidRDefault="009C5933" w:rsidP="001C7CA5">
            <w:pPr>
              <w:pStyle w:val="TableCopy"/>
              <w:jc w:val="right"/>
              <w:rPr>
                <w:lang w:val="en-AU"/>
              </w:rPr>
            </w:pPr>
            <w:r w:rsidRPr="0035686A">
              <w:rPr>
                <w:lang w:val="en-AU"/>
              </w:rPr>
              <w:t>73%</w:t>
            </w:r>
          </w:p>
        </w:tc>
        <w:tc>
          <w:tcPr>
            <w:tcW w:w="1863" w:type="dxa"/>
          </w:tcPr>
          <w:p w14:paraId="4D502351" w14:textId="70E644FA" w:rsidR="005A19A7" w:rsidRPr="0035686A" w:rsidRDefault="009C5933" w:rsidP="001C7CA5">
            <w:pPr>
              <w:pStyle w:val="TableCopy"/>
              <w:jc w:val="right"/>
              <w:rPr>
                <w:lang w:val="en-AU"/>
              </w:rPr>
            </w:pPr>
            <w:r w:rsidRPr="0035686A">
              <w:rPr>
                <w:lang w:val="en-AU"/>
              </w:rPr>
              <w:t>–</w:t>
            </w:r>
          </w:p>
        </w:tc>
        <w:tc>
          <w:tcPr>
            <w:tcW w:w="987" w:type="dxa"/>
          </w:tcPr>
          <w:p w14:paraId="1667BB9C" w14:textId="58F5AEFB" w:rsidR="005A19A7" w:rsidRPr="0035686A" w:rsidRDefault="009C5933" w:rsidP="001C7CA5">
            <w:pPr>
              <w:pStyle w:val="TableCopy"/>
              <w:jc w:val="right"/>
              <w:rPr>
                <w:lang w:val="en-AU"/>
              </w:rPr>
            </w:pPr>
            <w:r w:rsidRPr="0035686A">
              <w:rPr>
                <w:lang w:val="en-AU"/>
              </w:rPr>
              <w:t>6%</w:t>
            </w:r>
          </w:p>
        </w:tc>
        <w:tc>
          <w:tcPr>
            <w:tcW w:w="1568" w:type="dxa"/>
          </w:tcPr>
          <w:p w14:paraId="249519B4" w14:textId="364EEBDC" w:rsidR="005A19A7" w:rsidRPr="0035686A" w:rsidRDefault="007F229B" w:rsidP="001C7CA5">
            <w:pPr>
              <w:pStyle w:val="TableCopy"/>
              <w:jc w:val="right"/>
              <w:rPr>
                <w:lang w:val="en-AU"/>
              </w:rPr>
            </w:pPr>
            <w:r w:rsidRPr="0035686A">
              <w:rPr>
                <w:lang w:val="en-AU"/>
              </w:rPr>
              <w:t>3%</w:t>
            </w:r>
          </w:p>
        </w:tc>
        <w:tc>
          <w:tcPr>
            <w:tcW w:w="1381" w:type="dxa"/>
          </w:tcPr>
          <w:p w14:paraId="0707D38E" w14:textId="0CBB1A49" w:rsidR="005A19A7" w:rsidRPr="0035686A" w:rsidRDefault="007F229B" w:rsidP="001C7CA5">
            <w:pPr>
              <w:pStyle w:val="TableCopy"/>
              <w:jc w:val="right"/>
              <w:rPr>
                <w:lang w:val="en-AU"/>
              </w:rPr>
            </w:pPr>
            <w:r w:rsidRPr="0035686A">
              <w:rPr>
                <w:lang w:val="en-AU"/>
              </w:rPr>
              <w:t>–</w:t>
            </w:r>
          </w:p>
        </w:tc>
        <w:tc>
          <w:tcPr>
            <w:tcW w:w="1161" w:type="dxa"/>
          </w:tcPr>
          <w:p w14:paraId="524B94CC" w14:textId="4B388A94" w:rsidR="005A19A7" w:rsidRPr="0035686A" w:rsidRDefault="007F229B" w:rsidP="001C7CA5">
            <w:pPr>
              <w:pStyle w:val="TableCopy"/>
              <w:jc w:val="right"/>
              <w:rPr>
                <w:lang w:val="en-AU"/>
              </w:rPr>
            </w:pPr>
            <w:r w:rsidRPr="0035686A">
              <w:rPr>
                <w:lang w:val="en-AU"/>
              </w:rPr>
              <w:t>18%</w:t>
            </w:r>
          </w:p>
        </w:tc>
      </w:tr>
      <w:tr w:rsidR="005A19A7" w:rsidRPr="0035686A" w14:paraId="72ABBB3B" w14:textId="77777777" w:rsidTr="001C7CA5">
        <w:tc>
          <w:tcPr>
            <w:tcW w:w="1060" w:type="dxa"/>
          </w:tcPr>
          <w:p w14:paraId="46600111" w14:textId="7819F4F3" w:rsidR="005A19A7" w:rsidRPr="0035686A" w:rsidRDefault="007A63AB" w:rsidP="004576C5">
            <w:pPr>
              <w:pStyle w:val="TableCopy"/>
              <w:rPr>
                <w:lang w:val="en-AU"/>
              </w:rPr>
            </w:pPr>
            <w:r w:rsidRPr="0035686A">
              <w:rPr>
                <w:lang w:val="en-AU"/>
              </w:rPr>
              <w:t>2020-21</w:t>
            </w:r>
          </w:p>
        </w:tc>
        <w:tc>
          <w:tcPr>
            <w:tcW w:w="1608" w:type="dxa"/>
          </w:tcPr>
          <w:p w14:paraId="6C15B72C" w14:textId="5512C01D" w:rsidR="005A19A7" w:rsidRPr="0035686A" w:rsidRDefault="007F229B" w:rsidP="001C7CA5">
            <w:pPr>
              <w:pStyle w:val="TableCopy"/>
              <w:jc w:val="right"/>
              <w:rPr>
                <w:lang w:val="en-AU"/>
              </w:rPr>
            </w:pPr>
            <w:r w:rsidRPr="0035686A">
              <w:rPr>
                <w:lang w:val="en-AU"/>
              </w:rPr>
              <w:t>80%</w:t>
            </w:r>
          </w:p>
        </w:tc>
        <w:tc>
          <w:tcPr>
            <w:tcW w:w="1863" w:type="dxa"/>
          </w:tcPr>
          <w:p w14:paraId="18211690" w14:textId="4B60F4C6" w:rsidR="005A19A7" w:rsidRPr="0035686A" w:rsidRDefault="007F229B" w:rsidP="001C7CA5">
            <w:pPr>
              <w:pStyle w:val="TableCopy"/>
              <w:jc w:val="right"/>
              <w:rPr>
                <w:lang w:val="en-AU"/>
              </w:rPr>
            </w:pPr>
            <w:r w:rsidRPr="0035686A">
              <w:rPr>
                <w:lang w:val="en-AU"/>
              </w:rPr>
              <w:t>–</w:t>
            </w:r>
          </w:p>
        </w:tc>
        <w:tc>
          <w:tcPr>
            <w:tcW w:w="987" w:type="dxa"/>
          </w:tcPr>
          <w:p w14:paraId="486B444A" w14:textId="1650F6C1" w:rsidR="005A19A7" w:rsidRPr="0035686A" w:rsidRDefault="007F229B" w:rsidP="001C7CA5">
            <w:pPr>
              <w:pStyle w:val="TableCopy"/>
              <w:jc w:val="right"/>
              <w:rPr>
                <w:lang w:val="en-AU"/>
              </w:rPr>
            </w:pPr>
            <w:r w:rsidRPr="0035686A">
              <w:rPr>
                <w:lang w:val="en-AU"/>
              </w:rPr>
              <w:t>5%</w:t>
            </w:r>
          </w:p>
        </w:tc>
        <w:tc>
          <w:tcPr>
            <w:tcW w:w="1568" w:type="dxa"/>
          </w:tcPr>
          <w:p w14:paraId="5627AAA4" w14:textId="53078369" w:rsidR="005A19A7" w:rsidRPr="0035686A" w:rsidRDefault="0053646C" w:rsidP="001C7CA5">
            <w:pPr>
              <w:pStyle w:val="TableCopy"/>
              <w:jc w:val="right"/>
              <w:rPr>
                <w:lang w:val="en-AU"/>
              </w:rPr>
            </w:pPr>
            <w:r w:rsidRPr="0035686A">
              <w:rPr>
                <w:lang w:val="en-AU"/>
              </w:rPr>
              <w:t>–</w:t>
            </w:r>
          </w:p>
        </w:tc>
        <w:tc>
          <w:tcPr>
            <w:tcW w:w="1381" w:type="dxa"/>
          </w:tcPr>
          <w:p w14:paraId="4ACA34A9" w14:textId="62493693" w:rsidR="005A19A7" w:rsidRPr="0035686A" w:rsidRDefault="0053646C" w:rsidP="001C7CA5">
            <w:pPr>
              <w:pStyle w:val="TableCopy"/>
              <w:jc w:val="right"/>
              <w:rPr>
                <w:lang w:val="en-AU"/>
              </w:rPr>
            </w:pPr>
            <w:r w:rsidRPr="0035686A">
              <w:rPr>
                <w:lang w:val="en-AU"/>
              </w:rPr>
              <w:t>–</w:t>
            </w:r>
          </w:p>
        </w:tc>
        <w:tc>
          <w:tcPr>
            <w:tcW w:w="1161" w:type="dxa"/>
          </w:tcPr>
          <w:p w14:paraId="4A53247D" w14:textId="769C1679" w:rsidR="005A19A7" w:rsidRPr="0035686A" w:rsidRDefault="0053646C" w:rsidP="001C7CA5">
            <w:pPr>
              <w:pStyle w:val="TableCopy"/>
              <w:jc w:val="right"/>
              <w:rPr>
                <w:lang w:val="en-AU"/>
              </w:rPr>
            </w:pPr>
            <w:r w:rsidRPr="0035686A">
              <w:rPr>
                <w:lang w:val="en-AU"/>
              </w:rPr>
              <w:t>15%</w:t>
            </w:r>
          </w:p>
        </w:tc>
      </w:tr>
      <w:tr w:rsidR="007A63AB" w:rsidRPr="0035686A" w14:paraId="21A608DC" w14:textId="77777777" w:rsidTr="001C7CA5">
        <w:tc>
          <w:tcPr>
            <w:tcW w:w="1060" w:type="dxa"/>
          </w:tcPr>
          <w:p w14:paraId="33B073E1" w14:textId="3BDCF487" w:rsidR="007A63AB" w:rsidRPr="0035686A" w:rsidRDefault="007A63AB" w:rsidP="004576C5">
            <w:pPr>
              <w:pStyle w:val="TableCopy"/>
              <w:rPr>
                <w:lang w:val="en-AU"/>
              </w:rPr>
            </w:pPr>
            <w:r w:rsidRPr="0035686A">
              <w:rPr>
                <w:lang w:val="en-AU"/>
              </w:rPr>
              <w:t>2021-22</w:t>
            </w:r>
          </w:p>
        </w:tc>
        <w:tc>
          <w:tcPr>
            <w:tcW w:w="1608" w:type="dxa"/>
          </w:tcPr>
          <w:p w14:paraId="135A4639" w14:textId="72D4207E" w:rsidR="007A63AB" w:rsidRPr="0035686A" w:rsidRDefault="0053646C" w:rsidP="001C7CA5">
            <w:pPr>
              <w:pStyle w:val="TableCopy"/>
              <w:jc w:val="right"/>
              <w:rPr>
                <w:lang w:val="en-AU"/>
              </w:rPr>
            </w:pPr>
            <w:r w:rsidRPr="0035686A">
              <w:rPr>
                <w:lang w:val="en-AU"/>
              </w:rPr>
              <w:t>65%</w:t>
            </w:r>
          </w:p>
        </w:tc>
        <w:tc>
          <w:tcPr>
            <w:tcW w:w="1863" w:type="dxa"/>
          </w:tcPr>
          <w:p w14:paraId="0944B720" w14:textId="555FE54F" w:rsidR="007A63AB" w:rsidRPr="0035686A" w:rsidRDefault="0053646C" w:rsidP="001C7CA5">
            <w:pPr>
              <w:pStyle w:val="TableCopy"/>
              <w:jc w:val="right"/>
              <w:rPr>
                <w:lang w:val="en-AU"/>
              </w:rPr>
            </w:pPr>
            <w:r w:rsidRPr="0035686A">
              <w:rPr>
                <w:lang w:val="en-AU"/>
              </w:rPr>
              <w:t>2%</w:t>
            </w:r>
          </w:p>
        </w:tc>
        <w:tc>
          <w:tcPr>
            <w:tcW w:w="987" w:type="dxa"/>
          </w:tcPr>
          <w:p w14:paraId="2C3205DE" w14:textId="4C531FC7" w:rsidR="007A63AB" w:rsidRPr="0035686A" w:rsidRDefault="0053646C" w:rsidP="001C7CA5">
            <w:pPr>
              <w:pStyle w:val="TableCopy"/>
              <w:jc w:val="right"/>
              <w:rPr>
                <w:lang w:val="en-AU"/>
              </w:rPr>
            </w:pPr>
            <w:r w:rsidRPr="0035686A">
              <w:rPr>
                <w:lang w:val="en-AU"/>
              </w:rPr>
              <w:t>7%</w:t>
            </w:r>
          </w:p>
        </w:tc>
        <w:tc>
          <w:tcPr>
            <w:tcW w:w="1568" w:type="dxa"/>
          </w:tcPr>
          <w:p w14:paraId="1617D4D1" w14:textId="3DE43EA2" w:rsidR="007A63AB" w:rsidRPr="0035686A" w:rsidRDefault="0053646C" w:rsidP="001C7CA5">
            <w:pPr>
              <w:pStyle w:val="TableCopy"/>
              <w:jc w:val="right"/>
              <w:rPr>
                <w:lang w:val="en-AU"/>
              </w:rPr>
            </w:pPr>
            <w:r w:rsidRPr="0035686A">
              <w:rPr>
                <w:lang w:val="en-AU"/>
              </w:rPr>
              <w:t>9%</w:t>
            </w:r>
          </w:p>
        </w:tc>
        <w:tc>
          <w:tcPr>
            <w:tcW w:w="1381" w:type="dxa"/>
          </w:tcPr>
          <w:p w14:paraId="2B4C0E20" w14:textId="27C7A0F1" w:rsidR="007A63AB" w:rsidRPr="0035686A" w:rsidRDefault="001D71CA" w:rsidP="001C7CA5">
            <w:pPr>
              <w:pStyle w:val="TableCopy"/>
              <w:jc w:val="right"/>
              <w:rPr>
                <w:lang w:val="en-AU"/>
              </w:rPr>
            </w:pPr>
            <w:r w:rsidRPr="0035686A">
              <w:rPr>
                <w:lang w:val="en-AU"/>
              </w:rPr>
              <w:t>–</w:t>
            </w:r>
          </w:p>
        </w:tc>
        <w:tc>
          <w:tcPr>
            <w:tcW w:w="1161" w:type="dxa"/>
          </w:tcPr>
          <w:p w14:paraId="1FC69DF2" w14:textId="65EC6152" w:rsidR="007A63AB" w:rsidRPr="0035686A" w:rsidRDefault="001D71CA" w:rsidP="001C7CA5">
            <w:pPr>
              <w:pStyle w:val="TableCopy"/>
              <w:jc w:val="right"/>
              <w:rPr>
                <w:lang w:val="en-AU"/>
              </w:rPr>
            </w:pPr>
            <w:r w:rsidRPr="0035686A">
              <w:rPr>
                <w:lang w:val="en-AU"/>
              </w:rPr>
              <w:t>16%</w:t>
            </w:r>
          </w:p>
        </w:tc>
      </w:tr>
      <w:tr w:rsidR="007A63AB" w:rsidRPr="0035686A" w14:paraId="257883CC" w14:textId="77777777" w:rsidTr="001C7CA5">
        <w:tc>
          <w:tcPr>
            <w:tcW w:w="1060" w:type="dxa"/>
          </w:tcPr>
          <w:p w14:paraId="2F85D869" w14:textId="10E3DE3E" w:rsidR="007A63AB" w:rsidRPr="0035686A" w:rsidRDefault="007A63AB" w:rsidP="004576C5">
            <w:pPr>
              <w:pStyle w:val="TableCopy"/>
              <w:rPr>
                <w:lang w:val="en-AU"/>
              </w:rPr>
            </w:pPr>
            <w:r w:rsidRPr="0035686A">
              <w:rPr>
                <w:lang w:val="en-AU"/>
              </w:rPr>
              <w:t>2022-23</w:t>
            </w:r>
          </w:p>
        </w:tc>
        <w:tc>
          <w:tcPr>
            <w:tcW w:w="1608" w:type="dxa"/>
          </w:tcPr>
          <w:p w14:paraId="3CCC097D" w14:textId="75E2E9F0" w:rsidR="007A63AB" w:rsidRPr="0035686A" w:rsidRDefault="001D71CA" w:rsidP="001C7CA5">
            <w:pPr>
              <w:pStyle w:val="TableCopy"/>
              <w:jc w:val="right"/>
              <w:rPr>
                <w:lang w:val="en-AU"/>
              </w:rPr>
            </w:pPr>
            <w:r w:rsidRPr="0035686A">
              <w:rPr>
                <w:lang w:val="en-AU"/>
              </w:rPr>
              <w:t>52%</w:t>
            </w:r>
          </w:p>
        </w:tc>
        <w:tc>
          <w:tcPr>
            <w:tcW w:w="1863" w:type="dxa"/>
          </w:tcPr>
          <w:p w14:paraId="7A94D5FA" w14:textId="28B86860" w:rsidR="007A63AB" w:rsidRPr="0035686A" w:rsidRDefault="001D71CA" w:rsidP="001C7CA5">
            <w:pPr>
              <w:pStyle w:val="TableCopy"/>
              <w:jc w:val="right"/>
              <w:rPr>
                <w:lang w:val="en-AU"/>
              </w:rPr>
            </w:pPr>
            <w:r w:rsidRPr="0035686A">
              <w:rPr>
                <w:lang w:val="en-AU"/>
              </w:rPr>
              <w:t>6%</w:t>
            </w:r>
          </w:p>
        </w:tc>
        <w:tc>
          <w:tcPr>
            <w:tcW w:w="987" w:type="dxa"/>
          </w:tcPr>
          <w:p w14:paraId="3AE1C24B" w14:textId="25B7EFAE" w:rsidR="007A63AB" w:rsidRPr="0035686A" w:rsidRDefault="001C7CA5" w:rsidP="001C7CA5">
            <w:pPr>
              <w:pStyle w:val="TableCopy"/>
              <w:jc w:val="right"/>
              <w:rPr>
                <w:lang w:val="en-AU"/>
              </w:rPr>
            </w:pPr>
            <w:r w:rsidRPr="0035686A">
              <w:rPr>
                <w:lang w:val="en-AU"/>
              </w:rPr>
              <w:t>5%</w:t>
            </w:r>
          </w:p>
        </w:tc>
        <w:tc>
          <w:tcPr>
            <w:tcW w:w="1568" w:type="dxa"/>
          </w:tcPr>
          <w:p w14:paraId="01E7956F" w14:textId="78FC675E" w:rsidR="007A63AB" w:rsidRPr="0035686A" w:rsidRDefault="001C7CA5" w:rsidP="001C7CA5">
            <w:pPr>
              <w:pStyle w:val="TableCopy"/>
              <w:jc w:val="right"/>
              <w:rPr>
                <w:lang w:val="en-AU"/>
              </w:rPr>
            </w:pPr>
            <w:r w:rsidRPr="0035686A">
              <w:rPr>
                <w:lang w:val="en-AU"/>
              </w:rPr>
              <w:t>2%</w:t>
            </w:r>
          </w:p>
        </w:tc>
        <w:tc>
          <w:tcPr>
            <w:tcW w:w="1381" w:type="dxa"/>
          </w:tcPr>
          <w:p w14:paraId="2C5C832A" w14:textId="2550EF58" w:rsidR="007A63AB" w:rsidRPr="0035686A" w:rsidRDefault="001C7CA5" w:rsidP="001C7CA5">
            <w:pPr>
              <w:pStyle w:val="TableCopy"/>
              <w:jc w:val="right"/>
              <w:rPr>
                <w:lang w:val="en-AU"/>
              </w:rPr>
            </w:pPr>
            <w:r w:rsidRPr="0035686A">
              <w:rPr>
                <w:lang w:val="en-AU"/>
              </w:rPr>
              <w:t>2%</w:t>
            </w:r>
          </w:p>
        </w:tc>
        <w:tc>
          <w:tcPr>
            <w:tcW w:w="1161" w:type="dxa"/>
          </w:tcPr>
          <w:p w14:paraId="7420B2CE" w14:textId="498EB65E" w:rsidR="007A63AB" w:rsidRPr="0035686A" w:rsidRDefault="001C7CA5" w:rsidP="001C7CA5">
            <w:pPr>
              <w:pStyle w:val="TableCopy"/>
              <w:jc w:val="right"/>
              <w:rPr>
                <w:lang w:val="en-AU"/>
              </w:rPr>
            </w:pPr>
            <w:r w:rsidRPr="0035686A">
              <w:rPr>
                <w:lang w:val="en-AU"/>
              </w:rPr>
              <w:t>33%</w:t>
            </w:r>
          </w:p>
        </w:tc>
      </w:tr>
      <w:tr w:rsidR="00610226" w:rsidRPr="0035686A" w14:paraId="4DA647F0" w14:textId="77777777" w:rsidTr="001C7CA5">
        <w:tc>
          <w:tcPr>
            <w:tcW w:w="1060" w:type="dxa"/>
          </w:tcPr>
          <w:p w14:paraId="377819D2" w14:textId="6D9C045C" w:rsidR="00610226" w:rsidRPr="0035686A" w:rsidRDefault="005A3BA1" w:rsidP="00610226">
            <w:pPr>
              <w:pStyle w:val="TableCopy"/>
              <w:rPr>
                <w:lang w:val="en-AU"/>
              </w:rPr>
            </w:pPr>
            <w:r w:rsidRPr="0035686A">
              <w:rPr>
                <w:lang w:val="en-AU"/>
              </w:rPr>
              <w:t>202</w:t>
            </w:r>
            <w:r w:rsidR="000C1F1A" w:rsidRPr="0035686A">
              <w:rPr>
                <w:lang w:val="en-AU"/>
              </w:rPr>
              <w:t>3</w:t>
            </w:r>
            <w:r w:rsidRPr="0035686A">
              <w:rPr>
                <w:lang w:val="en-AU"/>
              </w:rPr>
              <w:t>-2</w:t>
            </w:r>
            <w:r w:rsidR="000C1F1A" w:rsidRPr="0035686A">
              <w:rPr>
                <w:lang w:val="en-AU"/>
              </w:rPr>
              <w:t>4</w:t>
            </w:r>
          </w:p>
        </w:tc>
        <w:tc>
          <w:tcPr>
            <w:tcW w:w="1608" w:type="dxa"/>
          </w:tcPr>
          <w:p w14:paraId="158365B5" w14:textId="5DC54ED0" w:rsidR="00610226" w:rsidRPr="0035686A" w:rsidRDefault="00610226" w:rsidP="00610226">
            <w:pPr>
              <w:pStyle w:val="TableCopy"/>
              <w:jc w:val="right"/>
              <w:rPr>
                <w:lang w:val="en-AU"/>
              </w:rPr>
            </w:pPr>
            <w:r w:rsidRPr="0035686A">
              <w:rPr>
                <w:lang w:val="en-AU"/>
              </w:rPr>
              <w:t>63%</w:t>
            </w:r>
          </w:p>
        </w:tc>
        <w:tc>
          <w:tcPr>
            <w:tcW w:w="1863" w:type="dxa"/>
          </w:tcPr>
          <w:p w14:paraId="6CE1911D" w14:textId="7F32F1C4" w:rsidR="00610226" w:rsidRPr="0035686A" w:rsidRDefault="00610226" w:rsidP="00610226">
            <w:pPr>
              <w:pStyle w:val="TableCopy"/>
              <w:jc w:val="right"/>
              <w:rPr>
                <w:lang w:val="en-AU"/>
              </w:rPr>
            </w:pPr>
            <w:r w:rsidRPr="0035686A">
              <w:rPr>
                <w:lang w:val="en-AU"/>
              </w:rPr>
              <w:t>–</w:t>
            </w:r>
          </w:p>
        </w:tc>
        <w:tc>
          <w:tcPr>
            <w:tcW w:w="987" w:type="dxa"/>
          </w:tcPr>
          <w:p w14:paraId="248906DD" w14:textId="6CD8C847" w:rsidR="00610226" w:rsidRPr="0035686A" w:rsidRDefault="00610226" w:rsidP="00610226">
            <w:pPr>
              <w:pStyle w:val="TableCopy"/>
              <w:jc w:val="right"/>
              <w:rPr>
                <w:lang w:val="en-AU"/>
              </w:rPr>
            </w:pPr>
            <w:r w:rsidRPr="0035686A">
              <w:rPr>
                <w:lang w:val="en-AU"/>
              </w:rPr>
              <w:t>–</w:t>
            </w:r>
          </w:p>
        </w:tc>
        <w:tc>
          <w:tcPr>
            <w:tcW w:w="1568" w:type="dxa"/>
          </w:tcPr>
          <w:p w14:paraId="37D9138B" w14:textId="2CFDFCCC" w:rsidR="00610226" w:rsidRPr="0035686A" w:rsidRDefault="00610226" w:rsidP="00610226">
            <w:pPr>
              <w:pStyle w:val="TableCopy"/>
              <w:jc w:val="right"/>
              <w:rPr>
                <w:lang w:val="en-AU"/>
              </w:rPr>
            </w:pPr>
            <w:r w:rsidRPr="0035686A">
              <w:rPr>
                <w:lang w:val="en-AU"/>
              </w:rPr>
              <w:t>8%</w:t>
            </w:r>
          </w:p>
        </w:tc>
        <w:tc>
          <w:tcPr>
            <w:tcW w:w="1381" w:type="dxa"/>
          </w:tcPr>
          <w:p w14:paraId="1DCF8B5F" w14:textId="46C011E8" w:rsidR="00610226" w:rsidRPr="0035686A" w:rsidRDefault="00610226" w:rsidP="00610226">
            <w:pPr>
              <w:pStyle w:val="TableCopy"/>
              <w:jc w:val="right"/>
              <w:rPr>
                <w:lang w:val="en-AU"/>
              </w:rPr>
            </w:pPr>
            <w:r w:rsidRPr="0035686A">
              <w:rPr>
                <w:lang w:val="en-AU"/>
              </w:rPr>
              <w:t>2%</w:t>
            </w:r>
          </w:p>
        </w:tc>
        <w:tc>
          <w:tcPr>
            <w:tcW w:w="1161" w:type="dxa"/>
          </w:tcPr>
          <w:p w14:paraId="3E22871D" w14:textId="7DC95079" w:rsidR="00610226" w:rsidRPr="0035686A" w:rsidRDefault="00610226" w:rsidP="00610226">
            <w:pPr>
              <w:pStyle w:val="TableCopy"/>
              <w:jc w:val="right"/>
              <w:rPr>
                <w:lang w:val="en-AU"/>
              </w:rPr>
            </w:pPr>
            <w:r w:rsidRPr="0035686A">
              <w:rPr>
                <w:lang w:val="en-AU"/>
              </w:rPr>
              <w:t>27%</w:t>
            </w:r>
          </w:p>
        </w:tc>
      </w:tr>
      <w:tr w:rsidR="003D130A" w:rsidRPr="0035686A" w14:paraId="2544D865" w14:textId="77777777" w:rsidTr="001C7CA5">
        <w:tc>
          <w:tcPr>
            <w:tcW w:w="1060" w:type="dxa"/>
          </w:tcPr>
          <w:p w14:paraId="230F071B" w14:textId="42419DAD" w:rsidR="003D130A" w:rsidRPr="0035686A" w:rsidRDefault="003D130A" w:rsidP="003D130A">
            <w:pPr>
              <w:pStyle w:val="TableCopy"/>
              <w:rPr>
                <w:lang w:val="en-AU"/>
              </w:rPr>
            </w:pPr>
            <w:r w:rsidRPr="0035686A">
              <w:rPr>
                <w:lang w:val="en-AU"/>
              </w:rPr>
              <w:t>2024-25</w:t>
            </w:r>
          </w:p>
        </w:tc>
        <w:tc>
          <w:tcPr>
            <w:tcW w:w="1608" w:type="dxa"/>
          </w:tcPr>
          <w:p w14:paraId="129068DC" w14:textId="1D86D26B" w:rsidR="003D130A" w:rsidRPr="0035686A" w:rsidRDefault="003D130A" w:rsidP="003D130A">
            <w:pPr>
              <w:pStyle w:val="TableCopy"/>
              <w:jc w:val="right"/>
              <w:rPr>
                <w:lang w:val="en-AU"/>
              </w:rPr>
            </w:pPr>
            <w:r w:rsidRPr="0035686A">
              <w:rPr>
                <w:lang w:val="en-AU"/>
              </w:rPr>
              <w:t>63%</w:t>
            </w:r>
          </w:p>
        </w:tc>
        <w:tc>
          <w:tcPr>
            <w:tcW w:w="1863" w:type="dxa"/>
          </w:tcPr>
          <w:p w14:paraId="49136F6D" w14:textId="0E2F9AF8" w:rsidR="003D130A" w:rsidRPr="0035686A" w:rsidRDefault="003D130A" w:rsidP="003D130A">
            <w:pPr>
              <w:pStyle w:val="TableCopy"/>
              <w:jc w:val="right"/>
              <w:rPr>
                <w:lang w:val="en-AU"/>
              </w:rPr>
            </w:pPr>
            <w:r w:rsidRPr="0035686A">
              <w:rPr>
                <w:lang w:val="en-AU"/>
              </w:rPr>
              <w:t>–</w:t>
            </w:r>
          </w:p>
        </w:tc>
        <w:tc>
          <w:tcPr>
            <w:tcW w:w="987" w:type="dxa"/>
          </w:tcPr>
          <w:p w14:paraId="09A68896" w14:textId="62CA67A1" w:rsidR="003D130A" w:rsidRPr="0035686A" w:rsidRDefault="003D130A" w:rsidP="003D130A">
            <w:pPr>
              <w:pStyle w:val="TableCopy"/>
              <w:jc w:val="right"/>
              <w:rPr>
                <w:lang w:val="en-AU"/>
              </w:rPr>
            </w:pPr>
            <w:r w:rsidRPr="0035686A">
              <w:rPr>
                <w:lang w:val="en-AU"/>
              </w:rPr>
              <w:t>9%</w:t>
            </w:r>
          </w:p>
        </w:tc>
        <w:tc>
          <w:tcPr>
            <w:tcW w:w="1568" w:type="dxa"/>
          </w:tcPr>
          <w:p w14:paraId="54D289C1" w14:textId="50C76914" w:rsidR="003D130A" w:rsidRPr="0035686A" w:rsidRDefault="003D130A" w:rsidP="003D130A">
            <w:pPr>
              <w:pStyle w:val="TableCopy"/>
              <w:jc w:val="right"/>
              <w:rPr>
                <w:lang w:val="en-AU"/>
              </w:rPr>
            </w:pPr>
            <w:r w:rsidRPr="0035686A">
              <w:rPr>
                <w:lang w:val="en-AU"/>
              </w:rPr>
              <w:t>5%</w:t>
            </w:r>
          </w:p>
        </w:tc>
        <w:tc>
          <w:tcPr>
            <w:tcW w:w="1381" w:type="dxa"/>
          </w:tcPr>
          <w:p w14:paraId="2BFB91D9" w14:textId="464761AB" w:rsidR="003D130A" w:rsidRPr="0035686A" w:rsidRDefault="003D130A" w:rsidP="003D130A">
            <w:pPr>
              <w:pStyle w:val="TableCopy"/>
              <w:jc w:val="right"/>
              <w:rPr>
                <w:lang w:val="en-AU"/>
              </w:rPr>
            </w:pPr>
            <w:r w:rsidRPr="0035686A">
              <w:rPr>
                <w:lang w:val="en-AU"/>
              </w:rPr>
              <w:t>5%</w:t>
            </w:r>
          </w:p>
        </w:tc>
        <w:tc>
          <w:tcPr>
            <w:tcW w:w="1161" w:type="dxa"/>
          </w:tcPr>
          <w:p w14:paraId="6D16F869" w14:textId="460266E8" w:rsidR="003D130A" w:rsidRPr="0035686A" w:rsidRDefault="003D130A" w:rsidP="003D130A">
            <w:pPr>
              <w:pStyle w:val="TableCopy"/>
              <w:jc w:val="right"/>
              <w:rPr>
                <w:lang w:val="en-AU"/>
              </w:rPr>
            </w:pPr>
            <w:r w:rsidRPr="0035686A">
              <w:rPr>
                <w:lang w:val="en-AU"/>
              </w:rPr>
              <w:t>18%</w:t>
            </w:r>
          </w:p>
        </w:tc>
      </w:tr>
    </w:tbl>
    <w:p w14:paraId="22C5486B" w14:textId="5411CCB8" w:rsidR="000F7AD5" w:rsidRPr="0035686A" w:rsidRDefault="00610226" w:rsidP="00F77C72">
      <w:pPr>
        <w:pStyle w:val="FootnoteText"/>
      </w:pPr>
      <w:r w:rsidRPr="0035686A">
        <w:t>Please refer to the Local Jobs First website for full project details at</w:t>
      </w:r>
      <w:r w:rsidR="00BA59A6" w:rsidRPr="0035686A">
        <w:t>:</w:t>
      </w:r>
      <w:r w:rsidR="00CF7EE1" w:rsidRPr="0035686A">
        <w:t xml:space="preserve"> </w:t>
      </w:r>
      <w:hyperlink r:id="rId17" w:tooltip="Link to Local Jobs First/Strategic Projects webpage" w:history="1">
        <w:r w:rsidR="00B94EED" w:rsidRPr="0035686A">
          <w:rPr>
            <w:rStyle w:val="Hyperlink"/>
          </w:rPr>
          <w:t>Local Jobs First/Strategic Projects</w:t>
        </w:r>
      </w:hyperlink>
      <w:r w:rsidR="00BA59A6" w:rsidRPr="0035686A">
        <w:t>.</w:t>
      </w:r>
    </w:p>
    <w:p w14:paraId="40BB15DE" w14:textId="77777777" w:rsidR="000C1F1A" w:rsidRPr="0035686A" w:rsidRDefault="000C1F1A" w:rsidP="009E0094">
      <w:pPr>
        <w:pStyle w:val="FootnoteText"/>
      </w:pPr>
    </w:p>
    <w:p w14:paraId="47556341" w14:textId="77777777" w:rsidR="00610226" w:rsidRPr="0035686A" w:rsidRDefault="00610226" w:rsidP="00610226">
      <w:r w:rsidRPr="0035686A">
        <w:rPr>
          <w:noProof/>
        </w:rPr>
        <w:lastRenderedPageBreak/>
        <w:drawing>
          <wp:inline distT="0" distB="0" distL="0" distR="0" wp14:anchorId="17149E70" wp14:editId="23E1AAD7">
            <wp:extent cx="6130800" cy="1618735"/>
            <wp:effectExtent l="0" t="0" r="3810" b="0"/>
            <wp:docPr id="382633174" name="Picture 382633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33174" name="Picture 382633174">
                      <a:extLst>
                        <a:ext uri="{C183D7F6-B498-43B3-948B-1728B52AA6E4}">
                          <adec:decorative xmlns:adec="http://schemas.microsoft.com/office/drawing/2017/decorative" val="1"/>
                        </a:ext>
                      </a:extLst>
                    </pic:cNvPr>
                    <pic:cNvPicPr/>
                  </pic:nvPicPr>
                  <pic:blipFill>
                    <a:blip r:embed="rId18"/>
                    <a:stretch>
                      <a:fillRect/>
                    </a:stretch>
                  </pic:blipFill>
                  <pic:spPr>
                    <a:xfrm>
                      <a:off x="0" y="0"/>
                      <a:ext cx="6130800" cy="1618735"/>
                    </a:xfrm>
                    <a:prstGeom prst="rect">
                      <a:avLst/>
                    </a:prstGeom>
                  </pic:spPr>
                </pic:pic>
              </a:graphicData>
            </a:graphic>
          </wp:inline>
        </w:drawing>
      </w:r>
    </w:p>
    <w:tbl>
      <w:tblPr>
        <w:tblStyle w:val="TableGrid"/>
        <w:tblW w:w="0" w:type="auto"/>
        <w:tblLook w:val="04A0" w:firstRow="1" w:lastRow="0" w:firstColumn="1" w:lastColumn="0" w:noHBand="0" w:noVBand="1"/>
      </w:tblPr>
      <w:tblGrid>
        <w:gridCol w:w="3209"/>
        <w:gridCol w:w="3209"/>
        <w:gridCol w:w="3210"/>
      </w:tblGrid>
      <w:tr w:rsidR="006B33F1" w:rsidRPr="0035686A" w14:paraId="300F5CE2" w14:textId="77777777" w:rsidTr="00EF1645">
        <w:trPr>
          <w:cantSplit/>
        </w:trPr>
        <w:tc>
          <w:tcPr>
            <w:tcW w:w="3209" w:type="dxa"/>
          </w:tcPr>
          <w:p w14:paraId="06987870" w14:textId="77777777" w:rsidR="006B33F1" w:rsidRPr="0035686A" w:rsidRDefault="006B33F1" w:rsidP="00EF1645">
            <w:pPr>
              <w:pStyle w:val="TableColumnHeading"/>
              <w:rPr>
                <w:lang w:val="en-AU"/>
              </w:rPr>
            </w:pPr>
          </w:p>
        </w:tc>
        <w:tc>
          <w:tcPr>
            <w:tcW w:w="3209" w:type="dxa"/>
          </w:tcPr>
          <w:p w14:paraId="225110B8" w14:textId="78D8FC68" w:rsidR="006B33F1" w:rsidRPr="0035686A" w:rsidRDefault="006B33F1" w:rsidP="00EF1645">
            <w:pPr>
              <w:pStyle w:val="TableColumnHeading"/>
              <w:jc w:val="right"/>
              <w:rPr>
                <w:lang w:val="en-AU"/>
              </w:rPr>
            </w:pPr>
            <w:r w:rsidRPr="0035686A">
              <w:rPr>
                <w:lang w:val="en-AU"/>
              </w:rPr>
              <w:t>Projects Set</w:t>
            </w:r>
          </w:p>
        </w:tc>
        <w:tc>
          <w:tcPr>
            <w:tcW w:w="3210" w:type="dxa"/>
          </w:tcPr>
          <w:p w14:paraId="1AFB26E2" w14:textId="4BB1F3AC" w:rsidR="006B33F1" w:rsidRPr="0035686A" w:rsidRDefault="006B33F1" w:rsidP="00EF1645">
            <w:pPr>
              <w:pStyle w:val="TableColumnHeading"/>
              <w:jc w:val="right"/>
              <w:rPr>
                <w:lang w:val="en-AU"/>
              </w:rPr>
            </w:pPr>
            <w:r w:rsidRPr="0035686A">
              <w:rPr>
                <w:lang w:val="en-AU"/>
              </w:rPr>
              <w:t>Project Value ex GST ($bn)</w:t>
            </w:r>
          </w:p>
        </w:tc>
      </w:tr>
      <w:tr w:rsidR="006B33F1" w:rsidRPr="0035686A" w14:paraId="1F8557CB" w14:textId="77777777" w:rsidTr="00EF1645">
        <w:trPr>
          <w:cantSplit/>
        </w:trPr>
        <w:tc>
          <w:tcPr>
            <w:tcW w:w="3209" w:type="dxa"/>
          </w:tcPr>
          <w:p w14:paraId="7ED8AF34" w14:textId="2AC8A7B0" w:rsidR="006B33F1" w:rsidRPr="0035686A" w:rsidRDefault="006B33F1" w:rsidP="006B33F1">
            <w:pPr>
              <w:pStyle w:val="TableCopy"/>
              <w:rPr>
                <w:lang w:val="en-AU" w:eastAsia="en-AU"/>
              </w:rPr>
            </w:pPr>
            <w:r w:rsidRPr="0035686A">
              <w:rPr>
                <w:lang w:val="en-AU" w:eastAsia="en-AU"/>
              </w:rPr>
              <w:t>2014-15 FY</w:t>
            </w:r>
          </w:p>
        </w:tc>
        <w:tc>
          <w:tcPr>
            <w:tcW w:w="3209" w:type="dxa"/>
          </w:tcPr>
          <w:p w14:paraId="59C65314" w14:textId="2512F0F1" w:rsidR="006B33F1" w:rsidRPr="0035686A" w:rsidRDefault="000E5FD9" w:rsidP="006B33F1">
            <w:pPr>
              <w:pStyle w:val="TableCopy"/>
              <w:jc w:val="right"/>
              <w:rPr>
                <w:lang w:val="en-AU"/>
              </w:rPr>
            </w:pPr>
            <w:r w:rsidRPr="0035686A">
              <w:rPr>
                <w:lang w:val="en-AU"/>
              </w:rPr>
              <w:t>5</w:t>
            </w:r>
          </w:p>
        </w:tc>
        <w:tc>
          <w:tcPr>
            <w:tcW w:w="3210" w:type="dxa"/>
          </w:tcPr>
          <w:p w14:paraId="286E0367" w14:textId="71303715" w:rsidR="006B33F1" w:rsidRPr="0035686A" w:rsidRDefault="000E5FD9" w:rsidP="006B33F1">
            <w:pPr>
              <w:pStyle w:val="TableCopy"/>
              <w:jc w:val="right"/>
              <w:rPr>
                <w:lang w:val="en-AU"/>
              </w:rPr>
            </w:pPr>
            <w:r w:rsidRPr="0035686A">
              <w:rPr>
                <w:lang w:val="en-AU"/>
              </w:rPr>
              <w:t>7</w:t>
            </w:r>
          </w:p>
        </w:tc>
      </w:tr>
      <w:tr w:rsidR="006B33F1" w:rsidRPr="0035686A" w14:paraId="3A37993E" w14:textId="77777777" w:rsidTr="00EF1645">
        <w:trPr>
          <w:cantSplit/>
        </w:trPr>
        <w:tc>
          <w:tcPr>
            <w:tcW w:w="3209" w:type="dxa"/>
          </w:tcPr>
          <w:p w14:paraId="586B0718" w14:textId="77777777" w:rsidR="006B33F1" w:rsidRPr="0035686A" w:rsidRDefault="006B33F1" w:rsidP="006B33F1">
            <w:pPr>
              <w:pStyle w:val="TableCopy"/>
              <w:rPr>
                <w:lang w:val="en-AU"/>
              </w:rPr>
            </w:pPr>
            <w:r w:rsidRPr="0035686A">
              <w:rPr>
                <w:lang w:val="en-AU" w:eastAsia="en-AU"/>
              </w:rPr>
              <w:t>2015-16 FY</w:t>
            </w:r>
          </w:p>
        </w:tc>
        <w:tc>
          <w:tcPr>
            <w:tcW w:w="3209" w:type="dxa"/>
          </w:tcPr>
          <w:p w14:paraId="1CFBF804" w14:textId="64597EA2" w:rsidR="006B33F1" w:rsidRPr="0035686A" w:rsidRDefault="000E5FD9" w:rsidP="006B33F1">
            <w:pPr>
              <w:pStyle w:val="TableCopy"/>
              <w:jc w:val="right"/>
              <w:rPr>
                <w:lang w:val="en-AU"/>
              </w:rPr>
            </w:pPr>
            <w:r w:rsidRPr="0035686A">
              <w:rPr>
                <w:lang w:val="en-AU"/>
              </w:rPr>
              <w:t>19</w:t>
            </w:r>
          </w:p>
        </w:tc>
        <w:tc>
          <w:tcPr>
            <w:tcW w:w="3210" w:type="dxa"/>
          </w:tcPr>
          <w:p w14:paraId="09667232" w14:textId="5388D95F" w:rsidR="006B33F1" w:rsidRPr="0035686A" w:rsidRDefault="000E5FD9" w:rsidP="006B33F1">
            <w:pPr>
              <w:pStyle w:val="TableCopy"/>
              <w:jc w:val="right"/>
              <w:rPr>
                <w:lang w:val="en-AU"/>
              </w:rPr>
            </w:pPr>
            <w:r w:rsidRPr="0035686A">
              <w:rPr>
                <w:lang w:val="en-AU"/>
              </w:rPr>
              <w:t>24</w:t>
            </w:r>
          </w:p>
        </w:tc>
      </w:tr>
      <w:tr w:rsidR="006B33F1" w:rsidRPr="0035686A" w14:paraId="59BE86C8" w14:textId="77777777" w:rsidTr="00EF1645">
        <w:trPr>
          <w:cantSplit/>
        </w:trPr>
        <w:tc>
          <w:tcPr>
            <w:tcW w:w="3209" w:type="dxa"/>
          </w:tcPr>
          <w:p w14:paraId="01FEB864" w14:textId="77777777" w:rsidR="006B33F1" w:rsidRPr="0035686A" w:rsidRDefault="006B33F1" w:rsidP="006B33F1">
            <w:pPr>
              <w:pStyle w:val="TableCopy"/>
              <w:rPr>
                <w:lang w:val="en-AU"/>
              </w:rPr>
            </w:pPr>
            <w:r w:rsidRPr="0035686A">
              <w:rPr>
                <w:lang w:val="en-AU" w:eastAsia="en-AU"/>
              </w:rPr>
              <w:t>2016-17 FY</w:t>
            </w:r>
          </w:p>
        </w:tc>
        <w:tc>
          <w:tcPr>
            <w:tcW w:w="3209" w:type="dxa"/>
          </w:tcPr>
          <w:p w14:paraId="23F49824" w14:textId="5A1AF58C" w:rsidR="006B33F1" w:rsidRPr="0035686A" w:rsidRDefault="000E5FD9" w:rsidP="006B33F1">
            <w:pPr>
              <w:pStyle w:val="TableCopy"/>
              <w:jc w:val="right"/>
              <w:rPr>
                <w:lang w:val="en-AU"/>
              </w:rPr>
            </w:pPr>
            <w:r w:rsidRPr="0035686A">
              <w:rPr>
                <w:lang w:val="en-AU"/>
              </w:rPr>
              <w:t>31</w:t>
            </w:r>
          </w:p>
        </w:tc>
        <w:tc>
          <w:tcPr>
            <w:tcW w:w="3210" w:type="dxa"/>
          </w:tcPr>
          <w:p w14:paraId="797D5F50" w14:textId="4407FF0F" w:rsidR="006B33F1" w:rsidRPr="0035686A" w:rsidRDefault="000E5FD9" w:rsidP="006B33F1">
            <w:pPr>
              <w:pStyle w:val="TableCopy"/>
              <w:jc w:val="right"/>
              <w:rPr>
                <w:lang w:val="en-AU"/>
              </w:rPr>
            </w:pPr>
            <w:r w:rsidRPr="0035686A">
              <w:rPr>
                <w:lang w:val="en-AU"/>
              </w:rPr>
              <w:t>6</w:t>
            </w:r>
          </w:p>
        </w:tc>
      </w:tr>
      <w:tr w:rsidR="006B33F1" w:rsidRPr="0035686A" w14:paraId="5C3DF389" w14:textId="77777777" w:rsidTr="00EF1645">
        <w:trPr>
          <w:cantSplit/>
        </w:trPr>
        <w:tc>
          <w:tcPr>
            <w:tcW w:w="3209" w:type="dxa"/>
          </w:tcPr>
          <w:p w14:paraId="7D459745" w14:textId="77777777" w:rsidR="006B33F1" w:rsidRPr="0035686A" w:rsidRDefault="006B33F1" w:rsidP="006B33F1">
            <w:pPr>
              <w:pStyle w:val="TableCopy"/>
              <w:rPr>
                <w:lang w:val="en-AU"/>
              </w:rPr>
            </w:pPr>
            <w:r w:rsidRPr="0035686A">
              <w:rPr>
                <w:lang w:val="en-AU" w:eastAsia="en-AU"/>
              </w:rPr>
              <w:t>2017-18 FY</w:t>
            </w:r>
          </w:p>
        </w:tc>
        <w:tc>
          <w:tcPr>
            <w:tcW w:w="3209" w:type="dxa"/>
          </w:tcPr>
          <w:p w14:paraId="71C9327E" w14:textId="6EF1CECE" w:rsidR="006B33F1" w:rsidRPr="0035686A" w:rsidRDefault="000E5FD9" w:rsidP="006B33F1">
            <w:pPr>
              <w:pStyle w:val="TableCopy"/>
              <w:jc w:val="right"/>
              <w:rPr>
                <w:lang w:val="en-AU"/>
              </w:rPr>
            </w:pPr>
            <w:r w:rsidRPr="0035686A">
              <w:rPr>
                <w:lang w:val="en-AU"/>
              </w:rPr>
              <w:t>37</w:t>
            </w:r>
          </w:p>
        </w:tc>
        <w:tc>
          <w:tcPr>
            <w:tcW w:w="3210" w:type="dxa"/>
          </w:tcPr>
          <w:p w14:paraId="4EA2F280" w14:textId="3D4A91C8" w:rsidR="006B33F1" w:rsidRPr="0035686A" w:rsidRDefault="000E5FD9" w:rsidP="006B33F1">
            <w:pPr>
              <w:pStyle w:val="TableCopy"/>
              <w:jc w:val="right"/>
              <w:rPr>
                <w:lang w:val="en-AU"/>
              </w:rPr>
            </w:pPr>
            <w:r w:rsidRPr="0035686A">
              <w:rPr>
                <w:lang w:val="en-AU"/>
              </w:rPr>
              <w:t>19</w:t>
            </w:r>
          </w:p>
        </w:tc>
      </w:tr>
      <w:tr w:rsidR="006B33F1" w:rsidRPr="0035686A" w14:paraId="63D59EA1" w14:textId="77777777" w:rsidTr="00EF1645">
        <w:trPr>
          <w:cantSplit/>
        </w:trPr>
        <w:tc>
          <w:tcPr>
            <w:tcW w:w="3209" w:type="dxa"/>
          </w:tcPr>
          <w:p w14:paraId="4FB4C335" w14:textId="77777777" w:rsidR="006B33F1" w:rsidRPr="0035686A" w:rsidRDefault="006B33F1" w:rsidP="006B33F1">
            <w:pPr>
              <w:pStyle w:val="TableCopy"/>
              <w:rPr>
                <w:lang w:val="en-AU"/>
              </w:rPr>
            </w:pPr>
            <w:r w:rsidRPr="0035686A">
              <w:rPr>
                <w:lang w:val="en-AU" w:eastAsia="en-AU"/>
              </w:rPr>
              <w:t>2018-19 FY</w:t>
            </w:r>
          </w:p>
        </w:tc>
        <w:tc>
          <w:tcPr>
            <w:tcW w:w="3209" w:type="dxa"/>
          </w:tcPr>
          <w:p w14:paraId="64B1AC6E" w14:textId="4FE3B423" w:rsidR="006B33F1" w:rsidRPr="0035686A" w:rsidRDefault="000E5FD9" w:rsidP="006B33F1">
            <w:pPr>
              <w:pStyle w:val="TableCopy"/>
              <w:jc w:val="right"/>
              <w:rPr>
                <w:lang w:val="en-AU"/>
              </w:rPr>
            </w:pPr>
            <w:r w:rsidRPr="0035686A">
              <w:rPr>
                <w:lang w:val="en-AU"/>
              </w:rPr>
              <w:t>32</w:t>
            </w:r>
          </w:p>
        </w:tc>
        <w:tc>
          <w:tcPr>
            <w:tcW w:w="3210" w:type="dxa"/>
          </w:tcPr>
          <w:p w14:paraId="0F30F28C" w14:textId="70C789AF" w:rsidR="006B33F1" w:rsidRPr="0035686A" w:rsidRDefault="000E5FD9" w:rsidP="006B33F1">
            <w:pPr>
              <w:pStyle w:val="TableCopy"/>
              <w:jc w:val="right"/>
              <w:rPr>
                <w:lang w:val="en-AU"/>
              </w:rPr>
            </w:pPr>
            <w:r w:rsidRPr="0035686A">
              <w:rPr>
                <w:lang w:val="en-AU"/>
              </w:rPr>
              <w:t>6</w:t>
            </w:r>
          </w:p>
        </w:tc>
      </w:tr>
      <w:tr w:rsidR="006B33F1" w:rsidRPr="0035686A" w14:paraId="0486F1E9" w14:textId="77777777" w:rsidTr="00EF1645">
        <w:trPr>
          <w:cantSplit/>
        </w:trPr>
        <w:tc>
          <w:tcPr>
            <w:tcW w:w="3209" w:type="dxa"/>
          </w:tcPr>
          <w:p w14:paraId="1533620E" w14:textId="77777777" w:rsidR="006B33F1" w:rsidRPr="0035686A" w:rsidRDefault="006B33F1" w:rsidP="006B33F1">
            <w:pPr>
              <w:pStyle w:val="TableCopy"/>
              <w:rPr>
                <w:lang w:val="en-AU"/>
              </w:rPr>
            </w:pPr>
            <w:r w:rsidRPr="0035686A">
              <w:rPr>
                <w:lang w:val="en-AU" w:eastAsia="en-AU"/>
              </w:rPr>
              <w:t>2019-20 FY</w:t>
            </w:r>
          </w:p>
        </w:tc>
        <w:tc>
          <w:tcPr>
            <w:tcW w:w="3209" w:type="dxa"/>
          </w:tcPr>
          <w:p w14:paraId="6F456536" w14:textId="407E55F1" w:rsidR="006B33F1" w:rsidRPr="0035686A" w:rsidRDefault="000E5FD9" w:rsidP="006B33F1">
            <w:pPr>
              <w:pStyle w:val="TableCopy"/>
              <w:jc w:val="right"/>
              <w:rPr>
                <w:lang w:val="en-AU"/>
              </w:rPr>
            </w:pPr>
            <w:r w:rsidRPr="0035686A">
              <w:rPr>
                <w:lang w:val="en-AU"/>
              </w:rPr>
              <w:t>33</w:t>
            </w:r>
          </w:p>
        </w:tc>
        <w:tc>
          <w:tcPr>
            <w:tcW w:w="3210" w:type="dxa"/>
          </w:tcPr>
          <w:p w14:paraId="5448B650" w14:textId="5F342417" w:rsidR="006B33F1" w:rsidRPr="0035686A" w:rsidRDefault="000E5FD9" w:rsidP="006B33F1">
            <w:pPr>
              <w:pStyle w:val="TableCopy"/>
              <w:jc w:val="right"/>
              <w:rPr>
                <w:lang w:val="en-AU"/>
              </w:rPr>
            </w:pPr>
            <w:r w:rsidRPr="0035686A">
              <w:rPr>
                <w:lang w:val="en-AU"/>
              </w:rPr>
              <w:t>22</w:t>
            </w:r>
          </w:p>
        </w:tc>
      </w:tr>
      <w:tr w:rsidR="006B33F1" w:rsidRPr="0035686A" w14:paraId="4E498987" w14:textId="77777777" w:rsidTr="00EF1645">
        <w:trPr>
          <w:cantSplit/>
        </w:trPr>
        <w:tc>
          <w:tcPr>
            <w:tcW w:w="3209" w:type="dxa"/>
          </w:tcPr>
          <w:p w14:paraId="47FB18C3" w14:textId="77777777" w:rsidR="006B33F1" w:rsidRPr="0035686A" w:rsidRDefault="006B33F1" w:rsidP="006B33F1">
            <w:pPr>
              <w:pStyle w:val="TableCopy"/>
              <w:rPr>
                <w:lang w:val="en-AU"/>
              </w:rPr>
            </w:pPr>
            <w:r w:rsidRPr="0035686A">
              <w:rPr>
                <w:lang w:val="en-AU" w:eastAsia="en-AU"/>
              </w:rPr>
              <w:t>2020-21 FY</w:t>
            </w:r>
          </w:p>
        </w:tc>
        <w:tc>
          <w:tcPr>
            <w:tcW w:w="3209" w:type="dxa"/>
          </w:tcPr>
          <w:p w14:paraId="06F1D59F" w14:textId="12A11017" w:rsidR="006B33F1" w:rsidRPr="0035686A" w:rsidRDefault="000E5FD9" w:rsidP="006B33F1">
            <w:pPr>
              <w:pStyle w:val="TableCopy"/>
              <w:jc w:val="right"/>
              <w:rPr>
                <w:lang w:val="en-AU"/>
              </w:rPr>
            </w:pPr>
            <w:r w:rsidRPr="0035686A">
              <w:rPr>
                <w:lang w:val="en-AU"/>
              </w:rPr>
              <w:t>40</w:t>
            </w:r>
          </w:p>
        </w:tc>
        <w:tc>
          <w:tcPr>
            <w:tcW w:w="3210" w:type="dxa"/>
          </w:tcPr>
          <w:p w14:paraId="069CF401" w14:textId="771C80B4" w:rsidR="006B33F1" w:rsidRPr="0035686A" w:rsidRDefault="000E5FD9" w:rsidP="006B33F1">
            <w:pPr>
              <w:pStyle w:val="TableCopy"/>
              <w:jc w:val="right"/>
              <w:rPr>
                <w:lang w:val="en-AU"/>
              </w:rPr>
            </w:pPr>
            <w:r w:rsidRPr="0035686A">
              <w:rPr>
                <w:lang w:val="en-AU"/>
              </w:rPr>
              <w:t>12</w:t>
            </w:r>
          </w:p>
        </w:tc>
      </w:tr>
      <w:tr w:rsidR="006B33F1" w:rsidRPr="0035686A" w14:paraId="745BA9A8" w14:textId="77777777" w:rsidTr="00EF1645">
        <w:trPr>
          <w:cantSplit/>
        </w:trPr>
        <w:tc>
          <w:tcPr>
            <w:tcW w:w="3209" w:type="dxa"/>
          </w:tcPr>
          <w:p w14:paraId="762DDE99" w14:textId="77777777" w:rsidR="006B33F1" w:rsidRPr="0035686A" w:rsidRDefault="006B33F1" w:rsidP="006B33F1">
            <w:pPr>
              <w:pStyle w:val="TableCopy"/>
              <w:rPr>
                <w:lang w:val="en-AU" w:eastAsia="en-AU"/>
              </w:rPr>
            </w:pPr>
            <w:r w:rsidRPr="0035686A">
              <w:rPr>
                <w:lang w:val="en-AU" w:eastAsia="en-AU"/>
              </w:rPr>
              <w:t>2021-22 FY</w:t>
            </w:r>
          </w:p>
        </w:tc>
        <w:tc>
          <w:tcPr>
            <w:tcW w:w="3209" w:type="dxa"/>
          </w:tcPr>
          <w:p w14:paraId="58C19CA0" w14:textId="50EA25BD" w:rsidR="006B33F1" w:rsidRPr="0035686A" w:rsidRDefault="000E5FD9" w:rsidP="006B33F1">
            <w:pPr>
              <w:pStyle w:val="TableCopy"/>
              <w:jc w:val="right"/>
              <w:rPr>
                <w:lang w:val="en-AU"/>
              </w:rPr>
            </w:pPr>
            <w:r w:rsidRPr="0035686A">
              <w:rPr>
                <w:lang w:val="en-AU"/>
              </w:rPr>
              <w:t>55</w:t>
            </w:r>
          </w:p>
        </w:tc>
        <w:tc>
          <w:tcPr>
            <w:tcW w:w="3210" w:type="dxa"/>
          </w:tcPr>
          <w:p w14:paraId="16A28882" w14:textId="742CB43E" w:rsidR="006B33F1" w:rsidRPr="0035686A" w:rsidRDefault="000E5FD9" w:rsidP="006B33F1">
            <w:pPr>
              <w:pStyle w:val="TableCopy"/>
              <w:jc w:val="right"/>
              <w:rPr>
                <w:lang w:val="en-AU"/>
              </w:rPr>
            </w:pPr>
            <w:r w:rsidRPr="0035686A">
              <w:rPr>
                <w:lang w:val="en-AU"/>
              </w:rPr>
              <w:t>21</w:t>
            </w:r>
          </w:p>
        </w:tc>
      </w:tr>
      <w:tr w:rsidR="006B33F1" w:rsidRPr="0035686A" w14:paraId="047AE5C6" w14:textId="77777777" w:rsidTr="00EF1645">
        <w:trPr>
          <w:cantSplit/>
        </w:trPr>
        <w:tc>
          <w:tcPr>
            <w:tcW w:w="3209" w:type="dxa"/>
          </w:tcPr>
          <w:p w14:paraId="7B888857" w14:textId="77777777" w:rsidR="006B33F1" w:rsidRPr="0035686A" w:rsidRDefault="006B33F1" w:rsidP="006B33F1">
            <w:pPr>
              <w:pStyle w:val="TableCopy"/>
              <w:rPr>
                <w:lang w:val="en-AU" w:eastAsia="en-AU"/>
              </w:rPr>
            </w:pPr>
            <w:r w:rsidRPr="0035686A">
              <w:rPr>
                <w:lang w:val="en-AU" w:eastAsia="en-AU"/>
              </w:rPr>
              <w:t>2022-23 FY</w:t>
            </w:r>
          </w:p>
        </w:tc>
        <w:tc>
          <w:tcPr>
            <w:tcW w:w="3209" w:type="dxa"/>
          </w:tcPr>
          <w:p w14:paraId="3FE36A9D" w14:textId="149456E2" w:rsidR="006B33F1" w:rsidRPr="0035686A" w:rsidRDefault="000E5FD9" w:rsidP="006B33F1">
            <w:pPr>
              <w:pStyle w:val="TableCopy"/>
              <w:jc w:val="right"/>
              <w:rPr>
                <w:lang w:val="en-AU"/>
              </w:rPr>
            </w:pPr>
            <w:r w:rsidRPr="0035686A">
              <w:rPr>
                <w:lang w:val="en-AU"/>
              </w:rPr>
              <w:t>48</w:t>
            </w:r>
          </w:p>
        </w:tc>
        <w:tc>
          <w:tcPr>
            <w:tcW w:w="3210" w:type="dxa"/>
          </w:tcPr>
          <w:p w14:paraId="127DF05D" w14:textId="450A0997" w:rsidR="006B33F1" w:rsidRPr="0035686A" w:rsidRDefault="000E5FD9" w:rsidP="006B33F1">
            <w:pPr>
              <w:pStyle w:val="TableCopy"/>
              <w:jc w:val="right"/>
              <w:rPr>
                <w:lang w:val="en-AU"/>
              </w:rPr>
            </w:pPr>
            <w:r w:rsidRPr="0035686A">
              <w:rPr>
                <w:lang w:val="en-AU"/>
              </w:rPr>
              <w:t>26</w:t>
            </w:r>
          </w:p>
        </w:tc>
      </w:tr>
      <w:tr w:rsidR="006B33F1" w:rsidRPr="0035686A" w14:paraId="6AAA8989" w14:textId="77777777" w:rsidTr="00EF1645">
        <w:trPr>
          <w:cantSplit/>
        </w:trPr>
        <w:tc>
          <w:tcPr>
            <w:tcW w:w="3209" w:type="dxa"/>
          </w:tcPr>
          <w:p w14:paraId="79CD8311" w14:textId="26D0AEFE" w:rsidR="006B33F1" w:rsidRPr="0035686A" w:rsidRDefault="005A3BA1" w:rsidP="006B33F1">
            <w:pPr>
              <w:pStyle w:val="TableCopy"/>
              <w:rPr>
                <w:lang w:val="en-AU" w:eastAsia="en-AU"/>
              </w:rPr>
            </w:pPr>
            <w:r w:rsidRPr="0035686A">
              <w:rPr>
                <w:lang w:val="en-AU" w:eastAsia="en-AU"/>
              </w:rPr>
              <w:t>202</w:t>
            </w:r>
            <w:r w:rsidR="00142F93" w:rsidRPr="0035686A">
              <w:rPr>
                <w:lang w:val="en-AU" w:eastAsia="en-AU"/>
              </w:rPr>
              <w:t>3</w:t>
            </w:r>
            <w:r w:rsidRPr="0035686A">
              <w:rPr>
                <w:lang w:val="en-AU" w:eastAsia="en-AU"/>
              </w:rPr>
              <w:t>-2</w:t>
            </w:r>
            <w:r w:rsidR="00142F93" w:rsidRPr="0035686A">
              <w:rPr>
                <w:lang w:val="en-AU" w:eastAsia="en-AU"/>
              </w:rPr>
              <w:t>4</w:t>
            </w:r>
            <w:r w:rsidR="006B33F1" w:rsidRPr="0035686A">
              <w:rPr>
                <w:lang w:val="en-AU" w:eastAsia="en-AU"/>
              </w:rPr>
              <w:t xml:space="preserve"> FY</w:t>
            </w:r>
          </w:p>
        </w:tc>
        <w:tc>
          <w:tcPr>
            <w:tcW w:w="3209" w:type="dxa"/>
          </w:tcPr>
          <w:p w14:paraId="5C2A0E79" w14:textId="3CB1199C" w:rsidR="006B33F1" w:rsidRPr="0035686A" w:rsidRDefault="000E5FD9" w:rsidP="006B33F1">
            <w:pPr>
              <w:pStyle w:val="TableCopy"/>
              <w:jc w:val="right"/>
              <w:rPr>
                <w:lang w:val="en-AU"/>
              </w:rPr>
            </w:pPr>
            <w:r w:rsidRPr="0035686A">
              <w:rPr>
                <w:lang w:val="en-AU"/>
              </w:rPr>
              <w:t>49</w:t>
            </w:r>
          </w:p>
        </w:tc>
        <w:tc>
          <w:tcPr>
            <w:tcW w:w="3210" w:type="dxa"/>
          </w:tcPr>
          <w:p w14:paraId="547A15FE" w14:textId="44ACDCBB" w:rsidR="006B33F1" w:rsidRPr="0035686A" w:rsidRDefault="000E5FD9" w:rsidP="006B33F1">
            <w:pPr>
              <w:pStyle w:val="TableCopy"/>
              <w:jc w:val="right"/>
              <w:rPr>
                <w:lang w:val="en-AU"/>
              </w:rPr>
            </w:pPr>
            <w:r w:rsidRPr="0035686A">
              <w:rPr>
                <w:lang w:val="en-AU"/>
              </w:rPr>
              <w:t>30.5</w:t>
            </w:r>
          </w:p>
        </w:tc>
      </w:tr>
      <w:tr w:rsidR="00142F93" w:rsidRPr="0035686A" w14:paraId="69BD94A7" w14:textId="77777777" w:rsidTr="00EF1645">
        <w:trPr>
          <w:cantSplit/>
        </w:trPr>
        <w:tc>
          <w:tcPr>
            <w:tcW w:w="3209" w:type="dxa"/>
          </w:tcPr>
          <w:p w14:paraId="4DC67D33" w14:textId="5FA116E5" w:rsidR="00142F93" w:rsidRPr="0035686A" w:rsidRDefault="00142F93" w:rsidP="00142F93">
            <w:pPr>
              <w:pStyle w:val="TableCopy"/>
              <w:rPr>
                <w:lang w:val="en-AU" w:eastAsia="en-AU"/>
              </w:rPr>
            </w:pPr>
            <w:r w:rsidRPr="0035686A">
              <w:rPr>
                <w:lang w:val="en-AU" w:eastAsia="en-AU"/>
              </w:rPr>
              <w:t>2024-25 FY</w:t>
            </w:r>
          </w:p>
        </w:tc>
        <w:tc>
          <w:tcPr>
            <w:tcW w:w="3209" w:type="dxa"/>
          </w:tcPr>
          <w:p w14:paraId="52BDF467" w14:textId="6228A8EE" w:rsidR="00142F93" w:rsidRPr="0035686A" w:rsidRDefault="00142F93" w:rsidP="00142F93">
            <w:pPr>
              <w:pStyle w:val="TableCopy"/>
              <w:jc w:val="right"/>
              <w:rPr>
                <w:lang w:val="en-AU"/>
              </w:rPr>
            </w:pPr>
            <w:r w:rsidRPr="0035686A">
              <w:rPr>
                <w:lang w:val="en-AU"/>
              </w:rPr>
              <w:t>44</w:t>
            </w:r>
          </w:p>
        </w:tc>
        <w:tc>
          <w:tcPr>
            <w:tcW w:w="3210" w:type="dxa"/>
          </w:tcPr>
          <w:p w14:paraId="5C55FC51" w14:textId="1DC591D4" w:rsidR="00142F93" w:rsidRPr="0035686A" w:rsidRDefault="00142F93" w:rsidP="00142F93">
            <w:pPr>
              <w:pStyle w:val="TableCopy"/>
              <w:jc w:val="right"/>
              <w:rPr>
                <w:lang w:val="en-AU"/>
              </w:rPr>
            </w:pPr>
            <w:r w:rsidRPr="0035686A">
              <w:rPr>
                <w:lang w:val="en-AU"/>
              </w:rPr>
              <w:t>15</w:t>
            </w:r>
          </w:p>
        </w:tc>
      </w:tr>
    </w:tbl>
    <w:p w14:paraId="0C2A218A" w14:textId="77777777" w:rsidR="00610226" w:rsidRPr="0035686A" w:rsidRDefault="00610226" w:rsidP="00610226"/>
    <w:p w14:paraId="14C64967" w14:textId="74313517" w:rsidR="00DE035F" w:rsidRPr="0035686A" w:rsidRDefault="00DE035F" w:rsidP="00B041B6">
      <w:pPr>
        <w:rPr>
          <w:b/>
          <w:bCs/>
        </w:rPr>
      </w:pPr>
      <w:r w:rsidRPr="0035686A">
        <w:rPr>
          <w:b/>
          <w:bCs/>
        </w:rPr>
        <w:t>Breakdown of Metro, Regional and Statewide Projects over 202</w:t>
      </w:r>
      <w:r w:rsidR="00142F93" w:rsidRPr="0035686A">
        <w:rPr>
          <w:b/>
          <w:bCs/>
        </w:rPr>
        <w:t>4</w:t>
      </w:r>
      <w:r w:rsidR="00B041B6" w:rsidRPr="0035686A">
        <w:rPr>
          <w:b/>
          <w:bCs/>
        </w:rPr>
        <w:t>-</w:t>
      </w:r>
      <w:r w:rsidRPr="0035686A">
        <w:rPr>
          <w:b/>
          <w:bCs/>
        </w:rPr>
        <w:t>2</w:t>
      </w:r>
      <w:r w:rsidR="00142F93" w:rsidRPr="0035686A">
        <w:rPr>
          <w:b/>
          <w:bCs/>
        </w:rPr>
        <w:t>5:</w:t>
      </w:r>
    </w:p>
    <w:p w14:paraId="63C34491" w14:textId="542C1CB8" w:rsidR="00DE035F" w:rsidRPr="0035686A" w:rsidRDefault="00DE035F" w:rsidP="00565EF7">
      <w:pPr>
        <w:rPr>
          <w:lang w:eastAsia="en-AU"/>
        </w:rPr>
      </w:pPr>
      <w:r w:rsidRPr="0035686A">
        <w:rPr>
          <w:lang w:eastAsia="en-AU"/>
        </w:rPr>
        <w:t>Metro Melbourne</w:t>
      </w:r>
    </w:p>
    <w:p w14:paraId="3B5691CA" w14:textId="326FA699" w:rsidR="00DE035F" w:rsidRPr="0035686A" w:rsidRDefault="00DE035F" w:rsidP="00165EB2">
      <w:pPr>
        <w:pStyle w:val="Bullet"/>
        <w:rPr>
          <w:lang w:eastAsia="en-AU"/>
        </w:rPr>
      </w:pPr>
      <w:r w:rsidRPr="0035686A">
        <w:rPr>
          <w:lang w:eastAsia="en-AU"/>
        </w:rPr>
        <w:t>1</w:t>
      </w:r>
      <w:r w:rsidR="00142F93" w:rsidRPr="0035686A">
        <w:rPr>
          <w:lang w:eastAsia="en-AU"/>
        </w:rPr>
        <w:t>20</w:t>
      </w:r>
      <w:r w:rsidRPr="0035686A">
        <w:rPr>
          <w:lang w:eastAsia="en-AU"/>
        </w:rPr>
        <w:t xml:space="preserve"> Commenced projects</w:t>
      </w:r>
    </w:p>
    <w:p w14:paraId="73C7B9E6" w14:textId="2DB9DAA9" w:rsidR="00DE035F" w:rsidRPr="0035686A" w:rsidRDefault="00DE035F" w:rsidP="00165EB2">
      <w:pPr>
        <w:pStyle w:val="Bullet2"/>
        <w:rPr>
          <w:lang w:eastAsia="en-AU"/>
        </w:rPr>
      </w:pPr>
      <w:r w:rsidRPr="0035686A">
        <w:rPr>
          <w:lang w:eastAsia="en-AU"/>
        </w:rPr>
        <w:t>1</w:t>
      </w:r>
      <w:r w:rsidR="00142F93" w:rsidRPr="0035686A">
        <w:rPr>
          <w:lang w:eastAsia="en-AU"/>
        </w:rPr>
        <w:t>14</w:t>
      </w:r>
      <w:r w:rsidRPr="0035686A">
        <w:rPr>
          <w:lang w:eastAsia="en-AU"/>
        </w:rPr>
        <w:t xml:space="preserve"> Standard projects</w:t>
      </w:r>
    </w:p>
    <w:p w14:paraId="4BC2CF32" w14:textId="63416C55" w:rsidR="00DE035F" w:rsidRPr="0035686A" w:rsidRDefault="000E5FD9" w:rsidP="00165EB2">
      <w:pPr>
        <w:pStyle w:val="Bullet2"/>
        <w:rPr>
          <w:lang w:eastAsia="en-AU"/>
        </w:rPr>
      </w:pPr>
      <w:r w:rsidRPr="0035686A">
        <w:rPr>
          <w:lang w:eastAsia="en-AU"/>
        </w:rPr>
        <w:t>1</w:t>
      </w:r>
      <w:r w:rsidR="00142F93" w:rsidRPr="0035686A">
        <w:rPr>
          <w:lang w:eastAsia="en-AU"/>
        </w:rPr>
        <w:t>6</w:t>
      </w:r>
      <w:r w:rsidR="00DE035F" w:rsidRPr="0035686A">
        <w:rPr>
          <w:lang w:eastAsia="en-AU"/>
        </w:rPr>
        <w:t xml:space="preserve"> Strategic projects</w:t>
      </w:r>
    </w:p>
    <w:p w14:paraId="23B81A83" w14:textId="629B512C" w:rsidR="00DE035F" w:rsidRPr="0035686A" w:rsidRDefault="00DE035F" w:rsidP="00DE035F">
      <w:pPr>
        <w:pStyle w:val="Bullet"/>
        <w:rPr>
          <w:lang w:eastAsia="en-AU"/>
        </w:rPr>
      </w:pPr>
      <w:r w:rsidRPr="0035686A">
        <w:rPr>
          <w:lang w:eastAsia="en-AU"/>
        </w:rPr>
        <w:t>Worth $</w:t>
      </w:r>
      <w:r w:rsidR="00142F93" w:rsidRPr="0035686A">
        <w:rPr>
          <w:lang w:eastAsia="en-AU"/>
        </w:rPr>
        <w:t>4.4</w:t>
      </w:r>
      <w:r w:rsidRPr="0035686A">
        <w:rPr>
          <w:lang w:eastAsia="en-AU"/>
        </w:rPr>
        <w:t xml:space="preserve"> </w:t>
      </w:r>
      <w:r w:rsidR="00142F93" w:rsidRPr="0035686A">
        <w:rPr>
          <w:lang w:eastAsia="en-AU"/>
        </w:rPr>
        <w:t>billion in total</w:t>
      </w:r>
    </w:p>
    <w:p w14:paraId="3BA55100" w14:textId="62AF702B" w:rsidR="00DE035F" w:rsidRPr="0035686A" w:rsidRDefault="00142F93" w:rsidP="00DE035F">
      <w:pPr>
        <w:pStyle w:val="Bullet"/>
        <w:rPr>
          <w:lang w:eastAsia="en-AU"/>
        </w:rPr>
      </w:pPr>
      <w:r w:rsidRPr="0035686A">
        <w:rPr>
          <w:lang w:eastAsia="en-AU"/>
        </w:rPr>
        <w:t>2,826 Jobs committed in LIDPs across all commenced Metro projects</w:t>
      </w:r>
    </w:p>
    <w:p w14:paraId="6531DC57" w14:textId="45019F6D" w:rsidR="00751D94" w:rsidRPr="0035686A" w:rsidRDefault="00751D94" w:rsidP="00751D94">
      <w:pPr>
        <w:pStyle w:val="Bullet"/>
        <w:rPr>
          <w:lang w:eastAsia="en-AU"/>
        </w:rPr>
      </w:pPr>
      <w:r w:rsidRPr="0035686A">
        <w:rPr>
          <w:lang w:eastAsia="en-AU"/>
        </w:rPr>
        <w:t>6,586 opportunities for SMEs identified in LIDPs across all commenced Metro projects</w:t>
      </w:r>
    </w:p>
    <w:p w14:paraId="54D9D92C" w14:textId="77777777" w:rsidR="00751D94" w:rsidRPr="0035686A" w:rsidRDefault="00751D94" w:rsidP="00751D94">
      <w:pPr>
        <w:pStyle w:val="Bullet"/>
        <w:rPr>
          <w:lang w:eastAsia="en-AU"/>
        </w:rPr>
      </w:pPr>
      <w:r w:rsidRPr="0035686A">
        <w:rPr>
          <w:lang w:eastAsia="en-AU"/>
        </w:rPr>
        <w:lastRenderedPageBreak/>
        <w:t>84% average local content committed in LIDPs across all commenced Metro projects*</w:t>
      </w:r>
    </w:p>
    <w:p w14:paraId="44AD491E" w14:textId="6BCD5F56" w:rsidR="00DE035F" w:rsidRPr="0035686A" w:rsidRDefault="00751D94" w:rsidP="00DE035F">
      <w:pPr>
        <w:pStyle w:val="Bullet"/>
        <w:rPr>
          <w:lang w:eastAsia="en-AU"/>
        </w:rPr>
      </w:pPr>
      <w:r w:rsidRPr="0035686A">
        <w:rPr>
          <w:lang w:eastAsia="en-AU"/>
        </w:rPr>
        <w:t>69</w:t>
      </w:r>
      <w:r w:rsidR="00165EB2" w:rsidRPr="0035686A">
        <w:rPr>
          <w:lang w:eastAsia="en-AU"/>
        </w:rPr>
        <w:t xml:space="preserve"> Completed projects</w:t>
      </w:r>
    </w:p>
    <w:p w14:paraId="6F6F8BE2" w14:textId="287CA638" w:rsidR="00165EB2" w:rsidRPr="0035686A" w:rsidRDefault="00751D94" w:rsidP="00165EB2">
      <w:pPr>
        <w:pStyle w:val="Bullet2"/>
        <w:rPr>
          <w:lang w:eastAsia="en-AU"/>
        </w:rPr>
      </w:pPr>
      <w:r w:rsidRPr="0035686A">
        <w:rPr>
          <w:lang w:eastAsia="en-AU"/>
        </w:rPr>
        <w:t>51</w:t>
      </w:r>
      <w:r w:rsidR="00165EB2" w:rsidRPr="0035686A">
        <w:rPr>
          <w:lang w:eastAsia="en-AU"/>
        </w:rPr>
        <w:t xml:space="preserve"> Standard projects</w:t>
      </w:r>
    </w:p>
    <w:p w14:paraId="2140A1D5" w14:textId="48196815" w:rsidR="00165EB2" w:rsidRPr="0035686A" w:rsidRDefault="00751D94" w:rsidP="00165EB2">
      <w:pPr>
        <w:pStyle w:val="Bullet2"/>
        <w:rPr>
          <w:lang w:eastAsia="en-AU"/>
        </w:rPr>
      </w:pPr>
      <w:r w:rsidRPr="0035686A">
        <w:rPr>
          <w:lang w:eastAsia="en-AU"/>
        </w:rPr>
        <w:t>18</w:t>
      </w:r>
      <w:r w:rsidR="00165EB2" w:rsidRPr="0035686A">
        <w:rPr>
          <w:lang w:eastAsia="en-AU"/>
        </w:rPr>
        <w:t xml:space="preserve"> Strategic projects</w:t>
      </w:r>
    </w:p>
    <w:p w14:paraId="3183FF74" w14:textId="4A747EED" w:rsidR="00165EB2" w:rsidRPr="0035686A" w:rsidRDefault="00751D94" w:rsidP="00165EB2">
      <w:pPr>
        <w:pStyle w:val="Bullet"/>
        <w:rPr>
          <w:lang w:eastAsia="en-AU"/>
        </w:rPr>
      </w:pPr>
      <w:r w:rsidRPr="0035686A">
        <w:rPr>
          <w:lang w:eastAsia="en-AU"/>
        </w:rPr>
        <w:t>Worth $6.4 billion in total</w:t>
      </w:r>
    </w:p>
    <w:p w14:paraId="23F629E0" w14:textId="0D7928C3" w:rsidR="00751D94" w:rsidRPr="0035686A" w:rsidRDefault="00751D94" w:rsidP="00751D94">
      <w:pPr>
        <w:pStyle w:val="Bullet"/>
        <w:rPr>
          <w:lang w:eastAsia="en-AU"/>
        </w:rPr>
      </w:pPr>
      <w:r w:rsidRPr="0035686A">
        <w:rPr>
          <w:lang w:eastAsia="en-AU"/>
        </w:rPr>
        <w:t>1,965 Jobs committed in LIDPs across all completed Metro projects</w:t>
      </w:r>
    </w:p>
    <w:p w14:paraId="446D4506" w14:textId="77777777" w:rsidR="00751D94" w:rsidRPr="0035686A" w:rsidRDefault="00751D94" w:rsidP="00751D94">
      <w:pPr>
        <w:pStyle w:val="Bullet"/>
        <w:rPr>
          <w:lang w:eastAsia="en-AU"/>
        </w:rPr>
      </w:pPr>
      <w:r w:rsidRPr="0035686A">
        <w:rPr>
          <w:lang w:eastAsia="en-AU"/>
        </w:rPr>
        <w:t>5,008 opportunities for SMEs identified in LIDPs across all completed Metro projects</w:t>
      </w:r>
    </w:p>
    <w:p w14:paraId="2EFDE16E" w14:textId="77777777" w:rsidR="00751D94" w:rsidRPr="0035686A" w:rsidRDefault="00751D94" w:rsidP="00751D94">
      <w:pPr>
        <w:pStyle w:val="Bullet"/>
        <w:rPr>
          <w:lang w:eastAsia="en-AU"/>
        </w:rPr>
      </w:pPr>
      <w:r w:rsidRPr="0035686A">
        <w:rPr>
          <w:lang w:eastAsia="en-AU"/>
        </w:rPr>
        <w:t>77% average local content committed in LIDPs across all completed Metro projects</w:t>
      </w:r>
    </w:p>
    <w:p w14:paraId="43DC633F" w14:textId="4FC52A6D" w:rsidR="00165EB2" w:rsidRPr="0035686A" w:rsidRDefault="00165EB2" w:rsidP="00565EF7">
      <w:pPr>
        <w:rPr>
          <w:lang w:eastAsia="en-AU"/>
        </w:rPr>
      </w:pPr>
      <w:r w:rsidRPr="0035686A">
        <w:rPr>
          <w:lang w:eastAsia="en-AU"/>
        </w:rPr>
        <w:t>Regional Victoria</w:t>
      </w:r>
    </w:p>
    <w:p w14:paraId="59F98956" w14:textId="1EB138D9" w:rsidR="00165EB2" w:rsidRPr="0035686A" w:rsidRDefault="00165EB2" w:rsidP="00165EB2">
      <w:pPr>
        <w:pStyle w:val="Bullet"/>
        <w:rPr>
          <w:lang w:eastAsia="en-AU"/>
        </w:rPr>
      </w:pPr>
      <w:r w:rsidRPr="0035686A">
        <w:rPr>
          <w:lang w:eastAsia="en-AU"/>
        </w:rPr>
        <w:t>1</w:t>
      </w:r>
      <w:r w:rsidR="00751D94" w:rsidRPr="0035686A">
        <w:rPr>
          <w:lang w:eastAsia="en-AU"/>
        </w:rPr>
        <w:t>54</w:t>
      </w:r>
      <w:r w:rsidRPr="0035686A">
        <w:rPr>
          <w:lang w:eastAsia="en-AU"/>
        </w:rPr>
        <w:t xml:space="preserve"> Commenced projects</w:t>
      </w:r>
    </w:p>
    <w:p w14:paraId="0182BE00" w14:textId="1634D687" w:rsidR="00165EB2" w:rsidRPr="0035686A" w:rsidRDefault="00165EB2" w:rsidP="00165EB2">
      <w:pPr>
        <w:pStyle w:val="Bullet2"/>
        <w:rPr>
          <w:lang w:eastAsia="en-AU"/>
        </w:rPr>
      </w:pPr>
      <w:r w:rsidRPr="0035686A">
        <w:rPr>
          <w:lang w:eastAsia="en-AU"/>
        </w:rPr>
        <w:t>1</w:t>
      </w:r>
      <w:r w:rsidR="00751D94" w:rsidRPr="0035686A">
        <w:rPr>
          <w:lang w:eastAsia="en-AU"/>
        </w:rPr>
        <w:t>50</w:t>
      </w:r>
      <w:r w:rsidRPr="0035686A">
        <w:rPr>
          <w:lang w:eastAsia="en-AU"/>
        </w:rPr>
        <w:t xml:space="preserve"> Standard projects</w:t>
      </w:r>
    </w:p>
    <w:p w14:paraId="75393D76" w14:textId="5405EA0E" w:rsidR="00165EB2" w:rsidRPr="0035686A" w:rsidRDefault="00276789" w:rsidP="00165EB2">
      <w:pPr>
        <w:pStyle w:val="Bullet2"/>
        <w:rPr>
          <w:lang w:eastAsia="en-AU"/>
        </w:rPr>
      </w:pPr>
      <w:r w:rsidRPr="0035686A">
        <w:rPr>
          <w:lang w:eastAsia="en-AU"/>
        </w:rPr>
        <w:t>4</w:t>
      </w:r>
      <w:r w:rsidR="00165EB2" w:rsidRPr="0035686A">
        <w:rPr>
          <w:lang w:eastAsia="en-AU"/>
        </w:rPr>
        <w:t xml:space="preserve"> Strategic projects</w:t>
      </w:r>
    </w:p>
    <w:p w14:paraId="381DBB52" w14:textId="71D0A92C" w:rsidR="00165EB2" w:rsidRPr="0035686A" w:rsidRDefault="00751D94" w:rsidP="00165EB2">
      <w:pPr>
        <w:pStyle w:val="Bullet"/>
        <w:rPr>
          <w:lang w:eastAsia="en-AU"/>
        </w:rPr>
      </w:pPr>
      <w:r w:rsidRPr="0035686A">
        <w:rPr>
          <w:lang w:eastAsia="en-AU"/>
        </w:rPr>
        <w:t xml:space="preserve">Worth $1.4 billion in total </w:t>
      </w:r>
    </w:p>
    <w:p w14:paraId="318C9440" w14:textId="7AF4BF07" w:rsidR="00751D94" w:rsidRPr="0035686A" w:rsidRDefault="00751D94" w:rsidP="00751D94">
      <w:pPr>
        <w:pStyle w:val="Bullet"/>
        <w:rPr>
          <w:lang w:eastAsia="en-AU"/>
        </w:rPr>
      </w:pPr>
      <w:r w:rsidRPr="0035686A">
        <w:rPr>
          <w:lang w:eastAsia="en-AU"/>
        </w:rPr>
        <w:t>1,623 Jobs committed in LIDPs across all commenced regional projects</w:t>
      </w:r>
    </w:p>
    <w:p w14:paraId="5CBE022A" w14:textId="77777777" w:rsidR="00751D94" w:rsidRPr="0035686A" w:rsidRDefault="00751D94" w:rsidP="00751D94">
      <w:pPr>
        <w:pStyle w:val="Bullet"/>
        <w:rPr>
          <w:lang w:eastAsia="en-AU"/>
        </w:rPr>
      </w:pPr>
      <w:r w:rsidRPr="0035686A">
        <w:rPr>
          <w:lang w:eastAsia="en-AU"/>
        </w:rPr>
        <w:t>7,012 opportunities for SMEs identified in LIDPs across all commenced regional projects</w:t>
      </w:r>
    </w:p>
    <w:p w14:paraId="0065F0DC" w14:textId="77777777" w:rsidR="00165EB2" w:rsidRPr="0035686A" w:rsidRDefault="00751D94" w:rsidP="00751D94">
      <w:pPr>
        <w:pStyle w:val="Bullet"/>
        <w:rPr>
          <w:lang w:eastAsia="en-AU"/>
        </w:rPr>
      </w:pPr>
      <w:r w:rsidRPr="0035686A">
        <w:rPr>
          <w:lang w:eastAsia="en-AU"/>
        </w:rPr>
        <w:t>84% average local content committed in LIDPs across all commenced regional projects*</w:t>
      </w:r>
    </w:p>
    <w:p w14:paraId="19363759" w14:textId="2004E6F4" w:rsidR="00165EB2" w:rsidRPr="0035686A" w:rsidRDefault="00751D94" w:rsidP="00165EB2">
      <w:pPr>
        <w:pStyle w:val="Bullet"/>
        <w:rPr>
          <w:lang w:eastAsia="en-AU"/>
        </w:rPr>
      </w:pPr>
      <w:r w:rsidRPr="0035686A">
        <w:rPr>
          <w:lang w:eastAsia="en-AU"/>
        </w:rPr>
        <w:t>105</w:t>
      </w:r>
      <w:r w:rsidR="00165EB2" w:rsidRPr="0035686A">
        <w:rPr>
          <w:lang w:eastAsia="en-AU"/>
        </w:rPr>
        <w:t xml:space="preserve"> Completed projects</w:t>
      </w:r>
    </w:p>
    <w:p w14:paraId="1295B11C" w14:textId="761A5918" w:rsidR="00165EB2" w:rsidRPr="0035686A" w:rsidRDefault="00751D94" w:rsidP="00165EB2">
      <w:pPr>
        <w:pStyle w:val="Bullet2"/>
        <w:rPr>
          <w:lang w:eastAsia="en-AU"/>
        </w:rPr>
      </w:pPr>
      <w:r w:rsidRPr="0035686A">
        <w:rPr>
          <w:lang w:eastAsia="en-AU"/>
        </w:rPr>
        <w:t>101</w:t>
      </w:r>
      <w:r w:rsidR="00165EB2" w:rsidRPr="0035686A">
        <w:rPr>
          <w:lang w:eastAsia="en-AU"/>
        </w:rPr>
        <w:t xml:space="preserve"> Standard projects</w:t>
      </w:r>
    </w:p>
    <w:p w14:paraId="13B83D5E" w14:textId="7D06BEA6" w:rsidR="00165EB2" w:rsidRPr="0035686A" w:rsidRDefault="00751D94" w:rsidP="00165EB2">
      <w:pPr>
        <w:pStyle w:val="Bullet2"/>
        <w:rPr>
          <w:lang w:eastAsia="en-AU"/>
        </w:rPr>
      </w:pPr>
      <w:r w:rsidRPr="0035686A">
        <w:rPr>
          <w:lang w:eastAsia="en-AU"/>
        </w:rPr>
        <w:t>4</w:t>
      </w:r>
      <w:r w:rsidR="00165EB2" w:rsidRPr="0035686A">
        <w:rPr>
          <w:lang w:eastAsia="en-AU"/>
        </w:rPr>
        <w:t xml:space="preserve"> Strategic projects</w:t>
      </w:r>
    </w:p>
    <w:p w14:paraId="1E16E97C" w14:textId="1BE66C81" w:rsidR="00165EB2" w:rsidRPr="0035686A" w:rsidRDefault="00751D94" w:rsidP="00165EB2">
      <w:pPr>
        <w:pStyle w:val="Bullet"/>
        <w:rPr>
          <w:lang w:eastAsia="en-AU"/>
        </w:rPr>
      </w:pPr>
      <w:r w:rsidRPr="0035686A">
        <w:rPr>
          <w:lang w:eastAsia="en-AU"/>
        </w:rPr>
        <w:t>Worth $1.8 billion in total</w:t>
      </w:r>
    </w:p>
    <w:p w14:paraId="53F4C859" w14:textId="23C74155" w:rsidR="00751D94" w:rsidRPr="0035686A" w:rsidRDefault="00751D94" w:rsidP="00751D94">
      <w:pPr>
        <w:pStyle w:val="Bullet"/>
        <w:rPr>
          <w:lang w:eastAsia="en-AU"/>
        </w:rPr>
      </w:pPr>
      <w:r w:rsidRPr="0035686A">
        <w:rPr>
          <w:lang w:eastAsia="en-AU"/>
        </w:rPr>
        <w:t>1,855 Jobs committed in LIDPs across all completed regional projects</w:t>
      </w:r>
    </w:p>
    <w:p w14:paraId="61D5D51A" w14:textId="77777777" w:rsidR="00751D94" w:rsidRPr="0035686A" w:rsidRDefault="00751D94" w:rsidP="00751D94">
      <w:pPr>
        <w:pStyle w:val="Bullet"/>
        <w:rPr>
          <w:lang w:eastAsia="en-AU"/>
        </w:rPr>
      </w:pPr>
      <w:r w:rsidRPr="0035686A">
        <w:rPr>
          <w:lang w:eastAsia="en-AU"/>
        </w:rPr>
        <w:t>5,071 opportunities for SMEs identified in LIDPs across all completed regional projects</w:t>
      </w:r>
    </w:p>
    <w:p w14:paraId="635D3497" w14:textId="77777777" w:rsidR="00751D94" w:rsidRPr="0035686A" w:rsidRDefault="00751D94" w:rsidP="00751D94">
      <w:pPr>
        <w:pStyle w:val="Bullet"/>
        <w:rPr>
          <w:lang w:eastAsia="en-AU"/>
        </w:rPr>
      </w:pPr>
      <w:r w:rsidRPr="0035686A">
        <w:rPr>
          <w:lang w:eastAsia="en-AU"/>
        </w:rPr>
        <w:t>84% average local content committed in LIDPs across all completed regional projects</w:t>
      </w:r>
    </w:p>
    <w:p w14:paraId="51EB6D19" w14:textId="52B4CB95" w:rsidR="00165EB2" w:rsidRPr="0035686A" w:rsidRDefault="00165EB2" w:rsidP="00565EF7">
      <w:pPr>
        <w:rPr>
          <w:lang w:eastAsia="en-AU"/>
        </w:rPr>
      </w:pPr>
      <w:r w:rsidRPr="0035686A">
        <w:rPr>
          <w:lang w:eastAsia="en-AU"/>
        </w:rPr>
        <w:t>Statewide</w:t>
      </w:r>
    </w:p>
    <w:p w14:paraId="7654ABC5" w14:textId="65FD32D2" w:rsidR="00165EB2" w:rsidRPr="0035686A" w:rsidRDefault="00276789" w:rsidP="00165EB2">
      <w:pPr>
        <w:pStyle w:val="Bullet"/>
        <w:rPr>
          <w:lang w:eastAsia="en-AU"/>
        </w:rPr>
      </w:pPr>
      <w:r w:rsidRPr="0035686A">
        <w:rPr>
          <w:lang w:eastAsia="en-AU"/>
        </w:rPr>
        <w:t>6</w:t>
      </w:r>
      <w:r w:rsidR="004A6CE0" w:rsidRPr="0035686A">
        <w:rPr>
          <w:lang w:eastAsia="en-AU"/>
        </w:rPr>
        <w:t>4</w:t>
      </w:r>
      <w:r w:rsidR="00165EB2" w:rsidRPr="0035686A">
        <w:rPr>
          <w:lang w:eastAsia="en-AU"/>
        </w:rPr>
        <w:t xml:space="preserve"> Commenced projects</w:t>
      </w:r>
    </w:p>
    <w:p w14:paraId="6A0DF272" w14:textId="603E5671" w:rsidR="009107BD" w:rsidRPr="0035686A" w:rsidRDefault="00276789" w:rsidP="009107BD">
      <w:pPr>
        <w:pStyle w:val="Bullet2"/>
        <w:rPr>
          <w:lang w:eastAsia="en-AU"/>
        </w:rPr>
      </w:pPr>
      <w:r w:rsidRPr="0035686A">
        <w:rPr>
          <w:lang w:eastAsia="en-AU"/>
        </w:rPr>
        <w:t>5</w:t>
      </w:r>
      <w:r w:rsidR="004A6CE0" w:rsidRPr="0035686A">
        <w:rPr>
          <w:lang w:eastAsia="en-AU"/>
        </w:rPr>
        <w:t>3</w:t>
      </w:r>
      <w:r w:rsidR="009107BD" w:rsidRPr="0035686A">
        <w:rPr>
          <w:lang w:eastAsia="en-AU"/>
        </w:rPr>
        <w:t xml:space="preserve"> Standard projects</w:t>
      </w:r>
    </w:p>
    <w:p w14:paraId="2F5276DB" w14:textId="215C87C9" w:rsidR="00165EB2" w:rsidRPr="0035686A" w:rsidRDefault="009107BD" w:rsidP="009107BD">
      <w:pPr>
        <w:pStyle w:val="Bullet2"/>
        <w:rPr>
          <w:lang w:eastAsia="en-AU"/>
        </w:rPr>
      </w:pPr>
      <w:r w:rsidRPr="0035686A">
        <w:rPr>
          <w:lang w:eastAsia="en-AU"/>
        </w:rPr>
        <w:t>1</w:t>
      </w:r>
      <w:r w:rsidR="004A6CE0" w:rsidRPr="0035686A">
        <w:rPr>
          <w:lang w:eastAsia="en-AU"/>
        </w:rPr>
        <w:t>1</w:t>
      </w:r>
      <w:r w:rsidRPr="0035686A">
        <w:rPr>
          <w:lang w:eastAsia="en-AU"/>
        </w:rPr>
        <w:t xml:space="preserve"> Strategic projects</w:t>
      </w:r>
    </w:p>
    <w:p w14:paraId="4E998011" w14:textId="129D658B" w:rsidR="009107BD" w:rsidRPr="0035686A" w:rsidRDefault="004A6CE0" w:rsidP="009107BD">
      <w:pPr>
        <w:pStyle w:val="Bullet"/>
        <w:rPr>
          <w:lang w:eastAsia="en-AU"/>
        </w:rPr>
      </w:pPr>
      <w:r w:rsidRPr="0035686A">
        <w:rPr>
          <w:lang w:eastAsia="en-AU"/>
        </w:rPr>
        <w:t>Worth $11.3 billion in total</w:t>
      </w:r>
    </w:p>
    <w:p w14:paraId="1C617C33" w14:textId="06553F33" w:rsidR="004A6CE0" w:rsidRPr="0035686A" w:rsidRDefault="004A6CE0" w:rsidP="004A6CE0">
      <w:pPr>
        <w:pStyle w:val="Bullet"/>
        <w:rPr>
          <w:lang w:eastAsia="en-AU"/>
        </w:rPr>
      </w:pPr>
      <w:r w:rsidRPr="0035686A">
        <w:rPr>
          <w:lang w:eastAsia="en-AU"/>
        </w:rPr>
        <w:t>5,235 Jobs committed in LIDPs across all commenced statewide projects</w:t>
      </w:r>
    </w:p>
    <w:p w14:paraId="09B76D89" w14:textId="77777777" w:rsidR="004A6CE0" w:rsidRPr="0035686A" w:rsidRDefault="004A6CE0" w:rsidP="004A6CE0">
      <w:pPr>
        <w:pStyle w:val="Bullet"/>
        <w:rPr>
          <w:lang w:eastAsia="en-AU"/>
        </w:rPr>
      </w:pPr>
      <w:r w:rsidRPr="0035686A">
        <w:rPr>
          <w:lang w:eastAsia="en-AU"/>
        </w:rPr>
        <w:lastRenderedPageBreak/>
        <w:t>1,807 opportunities for SMEs identified in LIDPs across all commenced statewide projects</w:t>
      </w:r>
    </w:p>
    <w:p w14:paraId="5CF1CABA" w14:textId="77777777" w:rsidR="004A6CE0" w:rsidRPr="0035686A" w:rsidRDefault="004A6CE0" w:rsidP="004A6CE0">
      <w:pPr>
        <w:pStyle w:val="Bullet"/>
        <w:rPr>
          <w:lang w:eastAsia="en-AU"/>
        </w:rPr>
      </w:pPr>
      <w:r w:rsidRPr="0035686A">
        <w:rPr>
          <w:lang w:eastAsia="en-AU"/>
        </w:rPr>
        <w:t>79% average local content committed in LIDPs across all commenced statewide projects^</w:t>
      </w:r>
    </w:p>
    <w:p w14:paraId="602C8D4E" w14:textId="20EF425A" w:rsidR="009107BD" w:rsidRPr="0035686A" w:rsidRDefault="004A6CE0" w:rsidP="009107BD">
      <w:pPr>
        <w:pStyle w:val="Bullet"/>
        <w:rPr>
          <w:lang w:eastAsia="en-AU"/>
        </w:rPr>
      </w:pPr>
      <w:r w:rsidRPr="0035686A">
        <w:rPr>
          <w:lang w:eastAsia="en-AU"/>
        </w:rPr>
        <w:t>18</w:t>
      </w:r>
      <w:r w:rsidR="009107BD" w:rsidRPr="0035686A">
        <w:rPr>
          <w:lang w:eastAsia="en-AU"/>
        </w:rPr>
        <w:t xml:space="preserve"> Completed projects</w:t>
      </w:r>
    </w:p>
    <w:p w14:paraId="52EB6239" w14:textId="418D9AE9" w:rsidR="009107BD" w:rsidRPr="0035686A" w:rsidRDefault="004A6CE0" w:rsidP="009107BD">
      <w:pPr>
        <w:pStyle w:val="Bullet2"/>
        <w:rPr>
          <w:lang w:eastAsia="en-AU"/>
        </w:rPr>
      </w:pPr>
      <w:r w:rsidRPr="0035686A">
        <w:rPr>
          <w:lang w:eastAsia="en-AU"/>
        </w:rPr>
        <w:t>15</w:t>
      </w:r>
      <w:r w:rsidR="009107BD" w:rsidRPr="0035686A">
        <w:rPr>
          <w:lang w:eastAsia="en-AU"/>
        </w:rPr>
        <w:t xml:space="preserve"> Standard projects</w:t>
      </w:r>
    </w:p>
    <w:p w14:paraId="16CB71F0" w14:textId="7C6E7956" w:rsidR="009107BD" w:rsidRPr="0035686A" w:rsidRDefault="004A6CE0" w:rsidP="009107BD">
      <w:pPr>
        <w:pStyle w:val="Bullet2"/>
        <w:rPr>
          <w:lang w:eastAsia="en-AU"/>
        </w:rPr>
      </w:pPr>
      <w:r w:rsidRPr="0035686A">
        <w:rPr>
          <w:lang w:eastAsia="en-AU"/>
        </w:rPr>
        <w:t>3</w:t>
      </w:r>
      <w:r w:rsidR="009107BD" w:rsidRPr="0035686A">
        <w:rPr>
          <w:lang w:eastAsia="en-AU"/>
        </w:rPr>
        <w:t xml:space="preserve"> Strategic projects</w:t>
      </w:r>
    </w:p>
    <w:p w14:paraId="6D959F96" w14:textId="37637556" w:rsidR="009107BD" w:rsidRPr="0035686A" w:rsidRDefault="004A6CE0" w:rsidP="009107BD">
      <w:pPr>
        <w:pStyle w:val="Bullet"/>
        <w:rPr>
          <w:lang w:eastAsia="en-AU"/>
        </w:rPr>
      </w:pPr>
      <w:r w:rsidRPr="0035686A">
        <w:rPr>
          <w:lang w:eastAsia="en-AU"/>
        </w:rPr>
        <w:t>Worth $100.1 million in total</w:t>
      </w:r>
    </w:p>
    <w:p w14:paraId="782F3CFC" w14:textId="119BCB10" w:rsidR="004A6CE0" w:rsidRPr="0035686A" w:rsidRDefault="004A6CE0" w:rsidP="004A6CE0">
      <w:pPr>
        <w:pStyle w:val="Bullet"/>
        <w:rPr>
          <w:lang w:eastAsia="en-AU"/>
        </w:rPr>
      </w:pPr>
      <w:r w:rsidRPr="0035686A">
        <w:rPr>
          <w:lang w:eastAsia="en-AU"/>
        </w:rPr>
        <w:t>1,335 Jobs committed in LIDPs across all completed statewide projects</w:t>
      </w:r>
    </w:p>
    <w:p w14:paraId="42FB36FC" w14:textId="77777777" w:rsidR="004A6CE0" w:rsidRPr="0035686A" w:rsidRDefault="004A6CE0" w:rsidP="004A6CE0">
      <w:pPr>
        <w:pStyle w:val="Bullet"/>
        <w:rPr>
          <w:lang w:eastAsia="en-AU"/>
        </w:rPr>
      </w:pPr>
      <w:r w:rsidRPr="0035686A">
        <w:rPr>
          <w:lang w:eastAsia="en-AU"/>
        </w:rPr>
        <w:t>855</w:t>
      </w:r>
      <w:r w:rsidRPr="0035686A">
        <w:rPr>
          <w:lang w:eastAsia="en-AU"/>
        </w:rPr>
        <w:tab/>
        <w:t>opportunities for SMEs identified in LIDPs across all completed statewide projects</w:t>
      </w:r>
    </w:p>
    <w:p w14:paraId="3A792D3A" w14:textId="77777777" w:rsidR="004A6CE0" w:rsidRPr="0035686A" w:rsidRDefault="004A6CE0" w:rsidP="004A6CE0">
      <w:pPr>
        <w:pStyle w:val="Bullet"/>
        <w:rPr>
          <w:lang w:eastAsia="en-AU"/>
        </w:rPr>
      </w:pPr>
      <w:r w:rsidRPr="0035686A">
        <w:rPr>
          <w:lang w:eastAsia="en-AU"/>
        </w:rPr>
        <w:t>62% average local content committed in LIDPs across all completed statewide projects^</w:t>
      </w:r>
    </w:p>
    <w:p w14:paraId="66DCE6F1" w14:textId="655939A4" w:rsidR="004A6CE0" w:rsidRPr="0035686A" w:rsidRDefault="004A6CE0" w:rsidP="009E0094">
      <w:pPr>
        <w:pStyle w:val="FootnoteText"/>
        <w:rPr>
          <w:lang w:eastAsia="en-AU"/>
        </w:rPr>
      </w:pPr>
      <w:r w:rsidRPr="0035686A">
        <w:rPr>
          <w:lang w:eastAsia="en-AU"/>
        </w:rPr>
        <w:t>* Projects commencing in the 2024</w:t>
      </w:r>
      <w:r w:rsidR="00B041B6" w:rsidRPr="0035686A">
        <w:rPr>
          <w:rFonts w:ascii="Cambria Math" w:hAnsi="Cambria Math" w:cs="Cambria Math"/>
          <w:lang w:eastAsia="en-AU"/>
        </w:rPr>
        <w:t>-</w:t>
      </w:r>
      <w:r w:rsidRPr="0035686A">
        <w:rPr>
          <w:lang w:eastAsia="en-AU"/>
        </w:rPr>
        <w:t>25 financial year recorded a lower average local content because of the higher</w:t>
      </w:r>
      <w:r w:rsidR="00B041B6" w:rsidRPr="0035686A">
        <w:rPr>
          <w:rFonts w:ascii="Cambria Math" w:hAnsi="Cambria Math" w:cs="Cambria Math"/>
          <w:lang w:eastAsia="en-AU"/>
        </w:rPr>
        <w:t>-</w:t>
      </w:r>
      <w:r w:rsidRPr="0035686A">
        <w:rPr>
          <w:lang w:eastAsia="en-AU"/>
        </w:rPr>
        <w:t>than</w:t>
      </w:r>
      <w:r w:rsidR="00B041B6" w:rsidRPr="0035686A">
        <w:rPr>
          <w:rFonts w:ascii="Cambria Math" w:hAnsi="Cambria Math" w:cs="Cambria Math"/>
          <w:lang w:eastAsia="en-AU"/>
        </w:rPr>
        <w:t>-</w:t>
      </w:r>
      <w:r w:rsidRPr="0035686A">
        <w:rPr>
          <w:lang w:eastAsia="en-AU"/>
        </w:rPr>
        <w:t xml:space="preserve">average service projects commencing, with these projects usually recording lower local content than construction projects. </w:t>
      </w:r>
    </w:p>
    <w:p w14:paraId="1996FBA3" w14:textId="4EE4C379" w:rsidR="004A6CE0" w:rsidRPr="0035686A" w:rsidRDefault="004A6CE0" w:rsidP="009E0094">
      <w:pPr>
        <w:pStyle w:val="FootnoteText"/>
        <w:rPr>
          <w:lang w:eastAsia="en-AU"/>
        </w:rPr>
      </w:pPr>
      <w:r w:rsidRPr="0035686A">
        <w:rPr>
          <w:lang w:eastAsia="en-AU"/>
        </w:rPr>
        <w:t>^ Statewide Projects have a higher proportion of services projects, which have lower local content to other types of projects.</w:t>
      </w:r>
    </w:p>
    <w:p w14:paraId="410EE73D" w14:textId="77777777" w:rsidR="004A6CE0" w:rsidRPr="0035686A" w:rsidRDefault="004A6CE0" w:rsidP="004A6CE0">
      <w:pPr>
        <w:pStyle w:val="Heading2-numbered"/>
      </w:pPr>
      <w:bookmarkStart w:id="14" w:name="_Toc213233919"/>
      <w:r w:rsidRPr="0035686A">
        <w:t>Commenced Projects</w:t>
      </w:r>
      <w:bookmarkEnd w:id="14"/>
    </w:p>
    <w:p w14:paraId="73C9EB65" w14:textId="01537A09" w:rsidR="004A6CE0" w:rsidRPr="0035686A" w:rsidRDefault="004A6CE0" w:rsidP="004A6CE0">
      <w:r w:rsidRPr="0035686A">
        <w:t>A total of 338 Local Jobs First projects worth $17.2 billion commenced during 2024</w:t>
      </w:r>
      <w:r w:rsidR="00B041B6" w:rsidRPr="0035686A">
        <w:rPr>
          <w:rFonts w:ascii="Cambria Math" w:hAnsi="Cambria Math" w:cs="Cambria Math"/>
        </w:rPr>
        <w:t>-</w:t>
      </w:r>
      <w:r w:rsidRPr="0035686A">
        <w:t>25. This includes 120 Melbourne metro projects, 154 regional projects and 64 statewide projects. Together, these projects have committed to delivering 9,684 jobs and providing opportunities for 15,405 local SMEs.</w:t>
      </w:r>
    </w:p>
    <w:p w14:paraId="24587289" w14:textId="3677B942" w:rsidR="004A6CE0" w:rsidRPr="0035686A" w:rsidRDefault="004A6CE0" w:rsidP="004A6CE0">
      <w:r w:rsidRPr="0035686A">
        <w:t>In 2024</w:t>
      </w:r>
      <w:r w:rsidR="00B041B6" w:rsidRPr="0035686A">
        <w:rPr>
          <w:rFonts w:ascii="Cambria Math" w:hAnsi="Cambria Math" w:cs="Cambria Math"/>
        </w:rPr>
        <w:t>-</w:t>
      </w:r>
      <w:r w:rsidRPr="0035686A">
        <w:t xml:space="preserve">25, 31 Strategic Projects worth a total of $14.4 billion commenced. These projects have committed to delivering 5,931 jobs and providing opportunities for 2,612 local SMEs. </w:t>
      </w:r>
    </w:p>
    <w:p w14:paraId="702EBA86" w14:textId="01BE85D8" w:rsidR="004A6CE0" w:rsidRPr="0035686A" w:rsidRDefault="004A6CE0" w:rsidP="004A6CE0">
      <w:r w:rsidRPr="0035686A">
        <w:t>In 2024</w:t>
      </w:r>
      <w:r w:rsidR="00B041B6" w:rsidRPr="0035686A">
        <w:rPr>
          <w:rFonts w:ascii="Cambria Math" w:hAnsi="Cambria Math" w:cs="Cambria Math"/>
        </w:rPr>
        <w:t>-</w:t>
      </w:r>
      <w:r w:rsidRPr="0035686A">
        <w:t>25, 307 Standard Projects worth a total of $2.8 billion commenced. These projects have committed to delivering 3,753 jobs and providing opportunities for 12,793 local SMEs.</w:t>
      </w:r>
    </w:p>
    <w:p w14:paraId="4BB68ED4" w14:textId="77777777" w:rsidR="004A6CE0" w:rsidRPr="0035686A" w:rsidRDefault="004A6CE0" w:rsidP="004A6CE0">
      <w:pPr>
        <w:pStyle w:val="Heading2-numbered"/>
      </w:pPr>
      <w:bookmarkStart w:id="15" w:name="_Toc213233920"/>
      <w:r w:rsidRPr="0035686A">
        <w:t>Completed Projects</w:t>
      </w:r>
      <w:bookmarkEnd w:id="15"/>
    </w:p>
    <w:p w14:paraId="35924770" w14:textId="6A3D0DD9" w:rsidR="004A6CE0" w:rsidRPr="0035686A" w:rsidRDefault="004A6CE0" w:rsidP="004A6CE0">
      <w:r w:rsidRPr="0035686A">
        <w:t>A total of 192 Local Jobs First projects worth $9.0 billion were completed during 2024</w:t>
      </w:r>
      <w:r w:rsidR="00B041B6" w:rsidRPr="0035686A">
        <w:rPr>
          <w:rFonts w:ascii="Cambria Math" w:hAnsi="Cambria Math" w:cs="Cambria Math"/>
        </w:rPr>
        <w:t>-</w:t>
      </w:r>
      <w:r w:rsidRPr="0035686A">
        <w:t>25. This includes 69 Melbourne metro projects, 105 regional projects and 18 statewide projects. Together, these projects have committed to delivering 5,155 jobs and providing opportunities for 10,934 local SMEs.</w:t>
      </w:r>
    </w:p>
    <w:p w14:paraId="47CB6728" w14:textId="6A48072A" w:rsidR="004A6CE0" w:rsidRPr="0035686A" w:rsidRDefault="004A6CE0" w:rsidP="004A6CE0">
      <w:r w:rsidRPr="0035686A">
        <w:lastRenderedPageBreak/>
        <w:t>In 2024</w:t>
      </w:r>
      <w:r w:rsidR="00B041B6" w:rsidRPr="0035686A">
        <w:rPr>
          <w:rFonts w:ascii="Cambria Math" w:hAnsi="Cambria Math" w:cs="Cambria Math"/>
        </w:rPr>
        <w:t>-</w:t>
      </w:r>
      <w:r w:rsidRPr="0035686A">
        <w:t>25, 167 Standard Projects worth a total of $1 billion were completed. These projects have committed to delivering 1,981 jobs and providing opportunities for 8,449 local SMEs.</w:t>
      </w:r>
    </w:p>
    <w:p w14:paraId="614150B5" w14:textId="21B15B74" w:rsidR="004A6CE0" w:rsidRPr="0035686A" w:rsidRDefault="004A6CE0" w:rsidP="004A6CE0">
      <w:r w:rsidRPr="0035686A">
        <w:t>In 2024</w:t>
      </w:r>
      <w:r w:rsidR="00B041B6" w:rsidRPr="0035686A">
        <w:rPr>
          <w:rFonts w:ascii="Cambria Math" w:hAnsi="Cambria Math" w:cs="Cambria Math"/>
        </w:rPr>
        <w:t>-</w:t>
      </w:r>
      <w:r w:rsidRPr="0035686A">
        <w:t>25, 25 Strategic Projects worth a total of $7.9 billion were completed. These projects have committed to delivering 3,174 jobs and providing opportunities for 2,485 local SMEs.</w:t>
      </w:r>
    </w:p>
    <w:p w14:paraId="21C20E2A" w14:textId="38FB0C67" w:rsidR="004A6CE0" w:rsidRPr="0035686A" w:rsidRDefault="004A6CE0" w:rsidP="004A6CE0">
      <w:r w:rsidRPr="0035686A">
        <w:t xml:space="preserve">Please see </w:t>
      </w:r>
      <w:hyperlink w:anchor="_Appendix_A:_Completed" w:history="1">
        <w:r w:rsidRPr="0035686A">
          <w:rPr>
            <w:rStyle w:val="Hyperlink"/>
          </w:rPr>
          <w:t>Appendix A</w:t>
        </w:r>
      </w:hyperlink>
      <w:r w:rsidRPr="0035686A">
        <w:t xml:space="preserve"> for a list of the completed Strategic Projects throughout 2024</w:t>
      </w:r>
      <w:r w:rsidR="00B041B6" w:rsidRPr="0035686A">
        <w:rPr>
          <w:rFonts w:ascii="Cambria Math" w:hAnsi="Cambria Math" w:cs="Cambria Math"/>
        </w:rPr>
        <w:t>-</w:t>
      </w:r>
      <w:r w:rsidRPr="0035686A">
        <w:t>25.</w:t>
      </w:r>
    </w:p>
    <w:p w14:paraId="2CA63601" w14:textId="77777777" w:rsidR="004A6CE0" w:rsidRPr="0035686A" w:rsidRDefault="004A6CE0" w:rsidP="004A6CE0">
      <w:pPr>
        <w:pStyle w:val="Heading2-numbered"/>
      </w:pPr>
      <w:bookmarkStart w:id="16" w:name="_Toc213233921"/>
      <w:r w:rsidRPr="0035686A">
        <w:t>Major Projects Skills Guarantee</w:t>
      </w:r>
      <w:bookmarkEnd w:id="16"/>
    </w:p>
    <w:p w14:paraId="7F72888B" w14:textId="77777777" w:rsidR="004A6CE0" w:rsidRPr="0035686A" w:rsidRDefault="004A6CE0" w:rsidP="004A6CE0">
      <w:r w:rsidRPr="0035686A">
        <w:t xml:space="preserve">Since its introduction in 2016, the MPSG has been applied to 480 projects collectively worth $182.9 billion, which have committed to 27.7 million contracted hours for 15,565 ATCs. </w:t>
      </w:r>
    </w:p>
    <w:p w14:paraId="67ED47EF" w14:textId="77777777" w:rsidR="004A6CE0" w:rsidRPr="0035686A" w:rsidRDefault="004A6CE0" w:rsidP="004A6CE0">
      <w:r w:rsidRPr="0035686A">
        <w:t>The actual number of work hours has reached 24.3 million, with 19,197 ATC jobs supported. This includes 129 regional projects that have committed to over 3 million hours for 1,559 ATCs. This equates to 3,139 ATC jobs supported for the regions, with over 2.5 million hours recorded.</w:t>
      </w:r>
    </w:p>
    <w:p w14:paraId="14ED9D61" w14:textId="77777777" w:rsidR="004A6CE0" w:rsidRPr="0035686A" w:rsidRDefault="004A6CE0" w:rsidP="004A6CE0">
      <w:pPr>
        <w:pStyle w:val="Heading2-numbered"/>
      </w:pPr>
      <w:bookmarkStart w:id="17" w:name="_Toc213233922"/>
      <w:r w:rsidRPr="0035686A">
        <w:t>Local Industry Development Plans</w:t>
      </w:r>
      <w:bookmarkEnd w:id="17"/>
    </w:p>
    <w:p w14:paraId="7ABB47E2" w14:textId="77777777" w:rsidR="004A6CE0" w:rsidRPr="0035686A" w:rsidRDefault="004A6CE0" w:rsidP="004A6CE0">
      <w:r w:rsidRPr="0035686A">
        <w:t>All Local Jobs First projects require an LIDP outlining the items that are contestable (can be manufactured or provided competitively both locally and internationally) and the businesses that will be engaged to deliver different elements of the project, providing opportunities for local industry and workers. Local content includes goods produced, services supplied, and construction activities carried out, by local industry. The local assembly of imported materials, transport of goods, and local labour are all examples of local content or local added value.</w:t>
      </w:r>
    </w:p>
    <w:p w14:paraId="7DC1AB66" w14:textId="77777777" w:rsidR="004A6CE0" w:rsidRPr="0035686A" w:rsidRDefault="004A6CE0" w:rsidP="004A6CE0">
      <w:r w:rsidRPr="0035686A">
        <w:t>‘Local’ is defined as businesses in Australia and New Zealand producing goods, providing services or construction activity, and when local content has been added to imported items through activities such as assembly or installation.</w:t>
      </w:r>
    </w:p>
    <w:p w14:paraId="09D96377" w14:textId="2F6B0F51" w:rsidR="004A6CE0" w:rsidRPr="0035686A" w:rsidRDefault="004A6CE0" w:rsidP="004A6CE0">
      <w:r w:rsidRPr="0035686A">
        <w:t>In 2024</w:t>
      </w:r>
      <w:r w:rsidR="00B041B6" w:rsidRPr="0035686A">
        <w:rPr>
          <w:rFonts w:ascii="Cambria Math" w:hAnsi="Cambria Math" w:cs="Cambria Math"/>
        </w:rPr>
        <w:t>-</w:t>
      </w:r>
      <w:r w:rsidRPr="0035686A">
        <w:t xml:space="preserve">25, 1,134 tenders were registered with the ICN Victoria. A total of 3,604 LIDPs were prepared by businesses in bidding for Local Jobs First projects. </w:t>
      </w:r>
    </w:p>
    <w:p w14:paraId="73C985FF" w14:textId="77777777" w:rsidR="004A6CE0" w:rsidRPr="0035686A" w:rsidRDefault="004A6CE0" w:rsidP="004A6CE0">
      <w:pPr>
        <w:pStyle w:val="Heading2-numbered"/>
      </w:pPr>
      <w:bookmarkStart w:id="18" w:name="_Toc213233923"/>
      <w:r w:rsidRPr="0035686A">
        <w:t>Grants</w:t>
      </w:r>
      <w:bookmarkEnd w:id="18"/>
    </w:p>
    <w:p w14:paraId="15268991" w14:textId="77777777" w:rsidR="004A6CE0" w:rsidRPr="0035686A" w:rsidRDefault="004A6CE0" w:rsidP="004A6CE0">
      <w:r w:rsidRPr="0035686A">
        <w:t xml:space="preserve">Grant and loan recipients are required to apply Local Jobs First where the value of the grant meets the Local Jobs First financial thresholds, and the recipient is not a State or </w:t>
      </w:r>
      <w:r w:rsidRPr="0035686A">
        <w:lastRenderedPageBreak/>
        <w:t>Commonwealth Government agency. Recipients of the relevant grants must engage with the ICN Victoria to discuss opportunities for local SME involvement.</w:t>
      </w:r>
    </w:p>
    <w:p w14:paraId="027831F5" w14:textId="1A2C084E" w:rsidR="004A6CE0" w:rsidRPr="0035686A" w:rsidRDefault="004A6CE0" w:rsidP="004A6CE0">
      <w:r w:rsidRPr="0035686A">
        <w:t>During 2024</w:t>
      </w:r>
      <w:r w:rsidR="00B041B6" w:rsidRPr="0035686A">
        <w:t>-</w:t>
      </w:r>
      <w:r w:rsidRPr="0035686A">
        <w:t>25, a total of 191 grants were registered with the ICN Victoria.</w:t>
      </w:r>
    </w:p>
    <w:p w14:paraId="582132E8" w14:textId="77777777" w:rsidR="004A6CE0" w:rsidRPr="0035686A" w:rsidRDefault="004A6CE0" w:rsidP="004A6CE0">
      <w:pPr>
        <w:pStyle w:val="Heading2-numbered"/>
      </w:pPr>
      <w:bookmarkStart w:id="19" w:name="_Toc213233924"/>
      <w:r w:rsidRPr="0035686A">
        <w:t>Exemptions</w:t>
      </w:r>
      <w:bookmarkEnd w:id="19"/>
    </w:p>
    <w:p w14:paraId="0CAAE340" w14:textId="77777777" w:rsidR="004A6CE0" w:rsidRPr="0035686A" w:rsidRDefault="004A6CE0" w:rsidP="004A6CE0">
      <w:r w:rsidRPr="0035686A">
        <w:t>Under section 4A (3) of the Act, the Minister responsible for Local Jobs First may exempt a government agency from the requirements of Local Jobs First if exceptional circumstances apply.</w:t>
      </w:r>
    </w:p>
    <w:p w14:paraId="12DCC720" w14:textId="1CB4E861" w:rsidR="004A6CE0" w:rsidRPr="0035686A" w:rsidRDefault="004A6CE0" w:rsidP="00B041B6">
      <w:r w:rsidRPr="0035686A">
        <w:t>The Minister responsible for Local Jobs First approved 2 exemption requests in 2024</w:t>
      </w:r>
      <w:r w:rsidR="00B041B6" w:rsidRPr="0035686A">
        <w:t>-</w:t>
      </w:r>
      <w:r w:rsidRPr="0035686A">
        <w:t xml:space="preserve">25. </w:t>
      </w:r>
    </w:p>
    <w:p w14:paraId="3ACFC4EE" w14:textId="2FC5D7F9" w:rsidR="004A6CE0" w:rsidRPr="0035686A" w:rsidRDefault="004A6CE0" w:rsidP="00B041B6">
      <w:r w:rsidRPr="0035686A">
        <w:t>The first, on the 13 August 2024, exempted the State Electricity Commission (SEC) for the Distribution Network Service Providers Project from the requirements of Local Jobs First due to the essential nature of the agreements with the 5 distributors to facilitate the SEC’s service of Victorian Government energy requirements from 2025, and the non</w:t>
      </w:r>
      <w:r w:rsidR="00B041B6" w:rsidRPr="0035686A">
        <w:t>-</w:t>
      </w:r>
      <w:r w:rsidRPr="0035686A">
        <w:t>contestable nature of the agreements and consideration that they do not result in any works that create opportunities for local suppliers.</w:t>
      </w:r>
    </w:p>
    <w:p w14:paraId="4FC2C20A" w14:textId="77777777" w:rsidR="004A6CE0" w:rsidRPr="0035686A" w:rsidRDefault="004A6CE0" w:rsidP="00B041B6">
      <w:r w:rsidRPr="0035686A">
        <w:t>The second, on 27 February 2025, exempted Melbourne Water from the requirements of Local Jobs First in relation to the procurement of Insurance Broking and Related Services due to the specialised nature of the service and limited number of identified providers. Melbourne Water led the procurement on behalf of 17 of Victoria’s water corporations, each accessing it independently with individual expenditures expected to remain below Local Jobs First thresholds.</w:t>
      </w:r>
    </w:p>
    <w:p w14:paraId="39FCE01E" w14:textId="77777777" w:rsidR="004A6CE0" w:rsidRPr="0035686A" w:rsidRDefault="004A6CE0" w:rsidP="004A6CE0">
      <w:pPr>
        <w:pStyle w:val="Heading3"/>
      </w:pPr>
      <w:r w:rsidRPr="0035686A">
        <w:t>Case study 3:</w:t>
      </w:r>
    </w:p>
    <w:p w14:paraId="352EB78A" w14:textId="77777777" w:rsidR="004A6CE0" w:rsidRPr="0035686A" w:rsidRDefault="004A6CE0" w:rsidP="004A6CE0">
      <w:r w:rsidRPr="0035686A">
        <w:t>Broadmeadows Health and Community Centre of Excellence</w:t>
      </w:r>
    </w:p>
    <w:p w14:paraId="5C43FE66" w14:textId="49BC73A2" w:rsidR="004A6CE0" w:rsidRPr="0035686A" w:rsidRDefault="004A6CE0" w:rsidP="00B041B6">
      <w:r w:rsidRPr="0035686A">
        <w:t>The Broadmeadows Health and Community Centre of Excellence (the Centre) is a flagship 6,224m2 redevelopment aimed at transforming Bendigo Kangan Institute’s Broadmeadows campus into a future</w:t>
      </w:r>
      <w:r w:rsidR="00B041B6" w:rsidRPr="0035686A">
        <w:t>-</w:t>
      </w:r>
      <w:r w:rsidRPr="0035686A">
        <w:t>ready, inclusive and industry</w:t>
      </w:r>
      <w:r w:rsidR="00B041B6" w:rsidRPr="0035686A">
        <w:t>-</w:t>
      </w:r>
      <w:r w:rsidRPr="0035686A">
        <w:t xml:space="preserve">connected educational hub. </w:t>
      </w:r>
    </w:p>
    <w:p w14:paraId="37838405" w14:textId="4D2D23E1" w:rsidR="004A6CE0" w:rsidRPr="0035686A" w:rsidRDefault="004A6CE0" w:rsidP="00B041B6">
      <w:r w:rsidRPr="0035686A">
        <w:t>Since opening in late 2024, the Centre has enrolled over 1,000 students in high</w:t>
      </w:r>
      <w:r w:rsidR="00B041B6" w:rsidRPr="0035686A">
        <w:t>-</w:t>
      </w:r>
      <w:r w:rsidRPr="0035686A">
        <w:t>demand areas including nursing, aged care, pathology, and community services. It is connecting local and surrounding communities to vital skills and career pathways.</w:t>
      </w:r>
    </w:p>
    <w:p w14:paraId="4B6C7C0C" w14:textId="6B5CD8A3" w:rsidR="004A6CE0" w:rsidRPr="0035686A" w:rsidRDefault="004A6CE0" w:rsidP="00B041B6">
      <w:r w:rsidRPr="0035686A">
        <w:t>The Centre’s rapid growth, alongside new partnerships with industry, tertiary institutions, and community organisations, demonstrates how purpose</w:t>
      </w:r>
      <w:r w:rsidR="00B041B6" w:rsidRPr="0035686A">
        <w:t>-</w:t>
      </w:r>
      <w:r w:rsidRPr="0035686A">
        <w:t xml:space="preserve">built facilities aligned with workforce needs can unlock meaningful opportunities and drive regional impact. </w:t>
      </w:r>
    </w:p>
    <w:p w14:paraId="1BDFB619" w14:textId="01169B87" w:rsidR="004A6CE0" w:rsidRPr="0035686A" w:rsidRDefault="004A6CE0" w:rsidP="00D9566B">
      <w:r w:rsidRPr="0035686A">
        <w:lastRenderedPageBreak/>
        <w:t>This project, led by Hutchinson Builders, is part of a broader revitalisation strategy to improve campus infrastructure and expand educational offerings in virtual healthcare, e</w:t>
      </w:r>
      <w:r w:rsidR="00B041B6" w:rsidRPr="0035686A">
        <w:t>-</w:t>
      </w:r>
      <w:r w:rsidRPr="0035686A">
        <w:t>health and assistive technologies.</w:t>
      </w:r>
    </w:p>
    <w:p w14:paraId="70599979" w14:textId="77777777" w:rsidR="004A6CE0" w:rsidRPr="0035686A" w:rsidRDefault="004A6CE0" w:rsidP="00D9566B">
      <w:r w:rsidRPr="0035686A">
        <w:t>As a Local Jobs First Strategic Project, its local content requirements were 91% for construction, 87% for furniture, fixtures and equipment (FF&amp;E), and 90% for steel. Through the application of Local Jobs First requirements, the project generated significant economic and social benefits to the local community. Hutchinson Builders engaged 33 SMEs in its supply chain.</w:t>
      </w:r>
    </w:p>
    <w:p w14:paraId="3861A03B" w14:textId="77777777" w:rsidR="004A6CE0" w:rsidRPr="0035686A" w:rsidRDefault="004A6CE0" w:rsidP="00D9566B">
      <w:r w:rsidRPr="0035686A">
        <w:t>The project also involved impressive labour hour achievements for ATCs in response to its MPSG requirement. This includes 17,815 hours for apprentices, 1,440 hours for trainees, and 2,301 hours for cadets. This contribution by ATCs exceeded the minimum 10% of total labour hours required by the MPSG. Furthermore, 30 Aboriginal Victorian workers and 64 priority jobseekers were employed on the project.</w:t>
      </w:r>
    </w:p>
    <w:p w14:paraId="144CD938" w14:textId="3E2CC2FD" w:rsidR="004A6CE0" w:rsidRPr="0035686A" w:rsidRDefault="004A6CE0" w:rsidP="00D9566B">
      <w:r w:rsidRPr="0035686A">
        <w:t>One of the key contributors to the project was SKS Indigenous Technologies, a majority Aboriginal</w:t>
      </w:r>
      <w:r w:rsidR="00B041B6" w:rsidRPr="0035686A">
        <w:t>-</w:t>
      </w:r>
      <w:r w:rsidRPr="0035686A">
        <w:t>owned business based in West Melbourne. SKS Indigenous Technologies delivered comprehensive audio</w:t>
      </w:r>
      <w:r w:rsidR="00B041B6" w:rsidRPr="0035686A">
        <w:t>-</w:t>
      </w:r>
      <w:r w:rsidRPr="0035686A">
        <w:t xml:space="preserve">visual services, including design, supply, installation, commissioning, and training across learning and collaboration spaces. Their involvement generated employment, apprenticeships, and injected over $2 million into Aboriginal households. </w:t>
      </w:r>
    </w:p>
    <w:p w14:paraId="6335EE64" w14:textId="77777777" w:rsidR="004A6CE0" w:rsidRPr="0035686A" w:rsidRDefault="004A6CE0" w:rsidP="00D9566B">
      <w:r w:rsidRPr="0035686A">
        <w:t xml:space="preserve">In addition, Stuart Dent </w:t>
      </w:r>
      <w:proofErr w:type="spellStart"/>
      <w:r w:rsidRPr="0035686A">
        <w:t>Blocklaying</w:t>
      </w:r>
      <w:proofErr w:type="spellEnd"/>
      <w:r w:rsidRPr="0035686A">
        <w:t xml:space="preserve"> proudly employed 2 female apprentices for the project. These apprentices have collectively contributed an impressive 1,099 hours to the project and are valued members of the team to this day.</w:t>
      </w:r>
    </w:p>
    <w:p w14:paraId="2707633F" w14:textId="1DCE58BD" w:rsidR="004A6CE0" w:rsidRPr="0035686A" w:rsidRDefault="004A6CE0" w:rsidP="00D9566B">
      <w:r w:rsidRPr="0035686A">
        <w:t xml:space="preserve">The project also saw a proactive partnership with </w:t>
      </w:r>
      <w:proofErr w:type="spellStart"/>
      <w:r w:rsidRPr="0035686A">
        <w:t>Sheforce</w:t>
      </w:r>
      <w:proofErr w:type="spellEnd"/>
      <w:r w:rsidRPr="0035686A">
        <w:t>, the first female</w:t>
      </w:r>
      <w:r w:rsidR="00B041B6" w:rsidRPr="0035686A">
        <w:t>-</w:t>
      </w:r>
      <w:r w:rsidRPr="0035686A">
        <w:t xml:space="preserve">led recruitment, labour hire and Group Training Organisation, focused on promoting sustainable career and training pathways for women and minorities in the construction industry. </w:t>
      </w:r>
      <w:proofErr w:type="spellStart"/>
      <w:r w:rsidRPr="0035686A">
        <w:t>Sheforce</w:t>
      </w:r>
      <w:proofErr w:type="spellEnd"/>
      <w:r w:rsidRPr="0035686A">
        <w:t xml:space="preserve"> provided apprentices and trainees in various areas, including carpentry, civil construction, boiler making, welding, OHS, finance, and administration. This deliberate and strategic effort resulted in 2,307 female trade hours directly contributing to the project. </w:t>
      </w:r>
    </w:p>
    <w:p w14:paraId="61773775" w14:textId="77777777" w:rsidR="004A6CE0" w:rsidRPr="0035686A" w:rsidRDefault="004A6CE0" w:rsidP="004A6CE0">
      <w:r w:rsidRPr="0035686A">
        <w:t xml:space="preserve">The project was delivered on time and within </w:t>
      </w:r>
      <w:proofErr w:type="gramStart"/>
      <w:r w:rsidRPr="0035686A">
        <w:t>budget, and</w:t>
      </w:r>
      <w:proofErr w:type="gramEnd"/>
      <w:r w:rsidRPr="0035686A">
        <w:t xml:space="preserve"> highlights not only expanded access to TAFE as part of a response to critical workforce needs, but also a strong commitment to fostering diverse talent and building a more inclusive workforce.</w:t>
      </w:r>
    </w:p>
    <w:p w14:paraId="35977FF6" w14:textId="77777777" w:rsidR="004A6CE0" w:rsidRPr="0035686A" w:rsidRDefault="004A6CE0" w:rsidP="004A6CE0">
      <w:pPr>
        <w:pStyle w:val="Heading3"/>
      </w:pPr>
      <w:r w:rsidRPr="0035686A">
        <w:t>Case study 4:</w:t>
      </w:r>
    </w:p>
    <w:p w14:paraId="1014CEE5" w14:textId="77777777" w:rsidR="004A6CE0" w:rsidRPr="0035686A" w:rsidRDefault="004A6CE0" w:rsidP="004A6CE0">
      <w:r w:rsidRPr="0035686A">
        <w:t>Aboriginal Business Support Initiative</w:t>
      </w:r>
    </w:p>
    <w:p w14:paraId="0951E875" w14:textId="77777777" w:rsidR="004A6CE0" w:rsidRPr="0035686A" w:rsidRDefault="004A6CE0" w:rsidP="004A6CE0">
      <w:r w:rsidRPr="0035686A">
        <w:t xml:space="preserve">The Aboriginal Business Support initiative, funded and supported by the DJSIR and delivered by the ICN Victoria, has helped to advance opportunities for Aboriginal businesses to participate in Local Jobs First projects through a range of activities including the delivery of an Aboriginal Business Showcase. </w:t>
      </w:r>
    </w:p>
    <w:p w14:paraId="264F8C00" w14:textId="76E68A3A" w:rsidR="004A6CE0" w:rsidRPr="0035686A" w:rsidRDefault="004A6CE0" w:rsidP="00D9566B">
      <w:r w:rsidRPr="0035686A">
        <w:lastRenderedPageBreak/>
        <w:t>The Aboriginal Business Showcase, held on 4 June 2025 at Federation Square, brought together 246 attendees, including over 100 Aboriginal businesses, 64 bidders, and 57 exhibitors. The program featured government and industry leaders, cultural elements, and sector</w:t>
      </w:r>
      <w:r w:rsidR="00B041B6" w:rsidRPr="0035686A">
        <w:t>-</w:t>
      </w:r>
      <w:r w:rsidRPr="0035686A">
        <w:t xml:space="preserve">specific networking opportunities. The Showcase generated measurable results: 76% of attendees rated the event as “Excellent” and 92% reported having made valuable new connections. </w:t>
      </w:r>
    </w:p>
    <w:p w14:paraId="54BA9804" w14:textId="77777777" w:rsidR="004A6CE0" w:rsidRPr="0035686A" w:rsidRDefault="004A6CE0" w:rsidP="00D9566B">
      <w:r w:rsidRPr="0035686A">
        <w:t>The impact that Local Jobs First can have on Aboriginal business participation in Victorian Government projects is illustrated by the following 2 examples.</w:t>
      </w:r>
    </w:p>
    <w:p w14:paraId="1566BE40" w14:textId="711A296A" w:rsidR="004A6CE0" w:rsidRPr="0035686A" w:rsidRDefault="004A6CE0" w:rsidP="00D9566B">
      <w:proofErr w:type="spellStart"/>
      <w:r w:rsidRPr="0035686A">
        <w:t>Djookian</w:t>
      </w:r>
      <w:proofErr w:type="spellEnd"/>
      <w:r w:rsidRPr="0035686A">
        <w:t xml:space="preserve"> is an Aboriginal, women</w:t>
      </w:r>
      <w:r w:rsidR="00B041B6" w:rsidRPr="0035686A">
        <w:t>-</w:t>
      </w:r>
      <w:r w:rsidRPr="0035686A">
        <w:t xml:space="preserve">led business delivering renewable energy power generation and lighting solutions to Victoria’s largest infrastructure projects, including the Suburban Rail Loop, M80 Ring Road upgrades, and Level Crossing Removal Projects. </w:t>
      </w:r>
      <w:proofErr w:type="spellStart"/>
      <w:r w:rsidRPr="0035686A">
        <w:t>Djookian</w:t>
      </w:r>
      <w:proofErr w:type="spellEnd"/>
      <w:r w:rsidRPr="0035686A">
        <w:t xml:space="preserve"> gained valuable exposure through the ICN Victoria’s Aboriginal Business Showcase, which helped amplify its capabilities and connected it with key industry decision</w:t>
      </w:r>
      <w:r w:rsidR="00B041B6" w:rsidRPr="0035686A">
        <w:t>-</w:t>
      </w:r>
      <w:r w:rsidRPr="0035686A">
        <w:t>makers. As co</w:t>
      </w:r>
      <w:r w:rsidR="00B041B6" w:rsidRPr="0035686A">
        <w:t>-</w:t>
      </w:r>
      <w:r w:rsidRPr="0035686A">
        <w:t>founder Kirby Bentley noted:</w:t>
      </w:r>
    </w:p>
    <w:p w14:paraId="219D6D33" w14:textId="77777777" w:rsidR="004A6CE0" w:rsidRPr="0035686A" w:rsidRDefault="004A6CE0" w:rsidP="004A6CE0">
      <w:pPr>
        <w:rPr>
          <w:i/>
          <w:iCs/>
        </w:rPr>
      </w:pPr>
      <w:r w:rsidRPr="0035686A">
        <w:rPr>
          <w:i/>
          <w:iCs/>
        </w:rPr>
        <w:t>“Once we’re able to show our renewable energy products and how well they work, the savings become clear. But the hardest part is getting in front of the right people. Events like this, backed by the Local Jobs First policy, open doors and allow our products to speak for themselves.”</w:t>
      </w:r>
    </w:p>
    <w:p w14:paraId="2F73101A" w14:textId="728008C1" w:rsidR="004A6CE0" w:rsidRPr="0035686A" w:rsidRDefault="004A6CE0" w:rsidP="00D9566B">
      <w:r w:rsidRPr="0035686A">
        <w:t xml:space="preserve">Today, </w:t>
      </w:r>
      <w:proofErr w:type="spellStart"/>
      <w:r w:rsidRPr="0035686A">
        <w:t>Djookian</w:t>
      </w:r>
      <w:proofErr w:type="spellEnd"/>
      <w:r w:rsidRPr="0035686A">
        <w:t xml:space="preserve"> continues to expand its role, delivering measurable carbon reductions and cost savings while building long</w:t>
      </w:r>
      <w:r w:rsidR="00B041B6" w:rsidRPr="0035686A">
        <w:t>-</w:t>
      </w:r>
      <w:r w:rsidRPr="0035686A">
        <w:t>term relationships across the sector.</w:t>
      </w:r>
    </w:p>
    <w:p w14:paraId="6C3D6F5D" w14:textId="17DB0CF7" w:rsidR="004A6CE0" w:rsidRPr="0035686A" w:rsidRDefault="004A6CE0" w:rsidP="00D9566B">
      <w:proofErr w:type="spellStart"/>
      <w:r w:rsidRPr="0035686A">
        <w:t>Yurringa</w:t>
      </w:r>
      <w:proofErr w:type="spellEnd"/>
      <w:r w:rsidRPr="0035686A">
        <w:t xml:space="preserve"> Group was established to expand Aboriginal participation in energy, labour hire, and acoustic panelling. </w:t>
      </w:r>
      <w:proofErr w:type="spellStart"/>
      <w:r w:rsidRPr="0035686A">
        <w:t>Yurringa</w:t>
      </w:r>
      <w:proofErr w:type="spellEnd"/>
      <w:r w:rsidRPr="0035686A">
        <w:t xml:space="preserve"> Group embeds Aboriginal staff in core operational roles across its businesses. Through Local Jobs First that promotes local capability and Aboriginal leadership, </w:t>
      </w:r>
      <w:proofErr w:type="spellStart"/>
      <w:r w:rsidRPr="0035686A">
        <w:t>Yurringa</w:t>
      </w:r>
      <w:proofErr w:type="spellEnd"/>
      <w:r w:rsidRPr="0035686A">
        <w:t xml:space="preserve"> Group has successfully competed for work in capital</w:t>
      </w:r>
      <w:r w:rsidR="00B041B6" w:rsidRPr="0035686A">
        <w:t>-</w:t>
      </w:r>
      <w:r w:rsidRPr="0035686A">
        <w:t>intensive industries and positioned itself for growth. As founder Daniel Briggs reflected:</w:t>
      </w:r>
    </w:p>
    <w:p w14:paraId="0BE62C4A" w14:textId="44FE403A" w:rsidR="004A6CE0" w:rsidRPr="0035686A" w:rsidRDefault="004A6CE0" w:rsidP="00D9566B">
      <w:pPr>
        <w:rPr>
          <w:i/>
          <w:iCs/>
        </w:rPr>
      </w:pPr>
      <w:r w:rsidRPr="0035686A">
        <w:rPr>
          <w:i/>
          <w:iCs/>
        </w:rPr>
        <w:t>“Our vision has always been to embed Aboriginal people in meaningful, core roles. With stronger recognition of initiatives like Local Jobs First and social procurement, we can compete in industries where Aboriginal businesses have historically had little presence and create long</w:t>
      </w:r>
      <w:r w:rsidR="00B041B6" w:rsidRPr="0035686A">
        <w:rPr>
          <w:i/>
          <w:iCs/>
        </w:rPr>
        <w:t>-</w:t>
      </w:r>
      <w:r w:rsidRPr="0035686A">
        <w:rPr>
          <w:i/>
          <w:iCs/>
        </w:rPr>
        <w:t>term pathways for Aboriginal leadership.”</w:t>
      </w:r>
    </w:p>
    <w:p w14:paraId="183DBCC5" w14:textId="44FA82D8" w:rsidR="004A6CE0" w:rsidRPr="0035686A" w:rsidRDefault="004A6CE0" w:rsidP="004A6CE0">
      <w:r w:rsidRPr="0035686A">
        <w:t>The company demonstrates how Aboriginal</w:t>
      </w:r>
      <w:r w:rsidR="00B041B6" w:rsidRPr="0035686A">
        <w:t>-</w:t>
      </w:r>
      <w:r w:rsidRPr="0035686A">
        <w:t>owned enterprises can leverage policy support and sector partnerships to scale, while maintaining Aboriginal ownership and leadership at the core of operations.</w:t>
      </w:r>
    </w:p>
    <w:p w14:paraId="137F99A7" w14:textId="77777777" w:rsidR="004A6CE0" w:rsidRPr="0035686A" w:rsidRDefault="004A6CE0" w:rsidP="004A6CE0">
      <w:pPr>
        <w:pStyle w:val="Heading1-numbered"/>
      </w:pPr>
      <w:bookmarkStart w:id="20" w:name="_Toc213233925"/>
      <w:r w:rsidRPr="0035686A">
        <w:lastRenderedPageBreak/>
        <w:t>Local Jobs First Approach and Insights</w:t>
      </w:r>
      <w:bookmarkEnd w:id="20"/>
    </w:p>
    <w:p w14:paraId="2136451B" w14:textId="77777777" w:rsidR="004A6CE0" w:rsidRPr="0035686A" w:rsidRDefault="004A6CE0" w:rsidP="004A6CE0">
      <w:pPr>
        <w:pStyle w:val="Heading2-numbered"/>
      </w:pPr>
      <w:bookmarkStart w:id="21" w:name="_Toc213233926"/>
      <w:r w:rsidRPr="0035686A">
        <w:t>Local Jobs First Requirements set for Strategic Projects</w:t>
      </w:r>
      <w:bookmarkEnd w:id="21"/>
      <w:r w:rsidRPr="0035686A">
        <w:t xml:space="preserve"> </w:t>
      </w:r>
    </w:p>
    <w:p w14:paraId="3A05E172" w14:textId="480D430E" w:rsidR="004A6CE0" w:rsidRPr="0035686A" w:rsidRDefault="004A6CE0" w:rsidP="004A6CE0">
      <w:r w:rsidRPr="0035686A">
        <w:t>2024</w:t>
      </w:r>
      <w:r w:rsidR="00B041B6" w:rsidRPr="0035686A">
        <w:t>-</w:t>
      </w:r>
      <w:r w:rsidRPr="0035686A">
        <w:t xml:space="preserve">25 was another big year for Local Jobs First, with requirements set by the Minister responsible for Local Jobs First for 44 Local Jobs First Strategic Projects collectively valued at $14.8 billion. The requirements set on these projects will provide significant opportunity for local businesses and workers, including local ATCs to be involved and benefit from this significant investment. </w:t>
      </w:r>
    </w:p>
    <w:p w14:paraId="0EA69494" w14:textId="77777777" w:rsidR="004A6CE0" w:rsidRPr="0035686A" w:rsidRDefault="004A6CE0" w:rsidP="004A6CE0">
      <w:pPr>
        <w:pStyle w:val="Heading2-numbered"/>
      </w:pPr>
      <w:bookmarkStart w:id="22" w:name="_Toc213233927"/>
      <w:r w:rsidRPr="0035686A">
        <w:t>Additional Requirements set for Strategic Projects</w:t>
      </w:r>
      <w:bookmarkEnd w:id="22"/>
    </w:p>
    <w:p w14:paraId="279EB427" w14:textId="0087C4FE" w:rsidR="004A6CE0" w:rsidRPr="0035686A" w:rsidRDefault="004A6CE0" w:rsidP="00D9566B">
      <w:r w:rsidRPr="0035686A">
        <w:t>Additional local content requirements have continued to be set and strengthened on Local Jobs First Strategic Projects in 2024</w:t>
      </w:r>
      <w:r w:rsidR="00B041B6" w:rsidRPr="0035686A">
        <w:t>-</w:t>
      </w:r>
      <w:r w:rsidRPr="0035686A">
        <w:t xml:space="preserve">25 by the Minister responsible for Local Jobs First. This has included working with other areas of government and leveraging other industry participation and development policies and programs. Setting additional requirements has ensured future projects continue to develop local industries by encouraging the participation of local SMEs in government projects to create jobs and boost economic activity across Victoria. </w:t>
      </w:r>
    </w:p>
    <w:p w14:paraId="0E721376" w14:textId="64D41536" w:rsidR="004A6CE0" w:rsidRPr="0035686A" w:rsidRDefault="004A6CE0" w:rsidP="00D9566B">
      <w:r w:rsidRPr="0035686A">
        <w:t>In 2024</w:t>
      </w:r>
      <w:r w:rsidR="00B041B6" w:rsidRPr="0035686A">
        <w:t>-</w:t>
      </w:r>
      <w:r w:rsidRPr="0035686A">
        <w:t>25, additional requirements were set on 29 projects with a total of 63 additional requirements. These additional requirements are ensuring local production, businesses, research, and other valuable economic activities are incentivised and considered throughout the life of Local Jobs First projects.</w:t>
      </w:r>
    </w:p>
    <w:p w14:paraId="496160CC" w14:textId="4908131A" w:rsidR="004A6CE0" w:rsidRPr="0035686A" w:rsidRDefault="004A6CE0" w:rsidP="004A6CE0">
      <w:r w:rsidRPr="0035686A">
        <w:t>These additional requirements have included a continued focus on steel and FF&amp;E to support the participation of local businesses in these industries on Local Jobs First Strategic Projects in the construction sector. Targeted requirements for steel and FF&amp;E were also set on Strategic Projects across schools, kindergartens, housing, aged care facilities, hospital, road and rail developments.</w:t>
      </w:r>
    </w:p>
    <w:p w14:paraId="37CB3E2A" w14:textId="77777777" w:rsidR="004A6CE0" w:rsidRPr="0035686A" w:rsidRDefault="004A6CE0" w:rsidP="00D9566B">
      <w:r w:rsidRPr="0035686A">
        <w:t>In addition, an ongoing collaborative relationship with the Department of Transport and Planning has resulted in stronger requirements for bidders to prepare detailed industry and workforce development plans that expand on their LIDP commitments, increase engagement with local suppliers, and expand opportunities for both local businesses and workers on selected large operations, maintenance and fleet projects.</w:t>
      </w:r>
    </w:p>
    <w:p w14:paraId="0B1C92C0" w14:textId="779957C2" w:rsidR="004A6CE0" w:rsidRPr="0035686A" w:rsidRDefault="004A6CE0" w:rsidP="00D9566B">
      <w:r w:rsidRPr="0035686A">
        <w:t>Targeted requirements designed to encourage the adoption of modern methods of construction such as prefabricated, modular or offsite manufactured components where possible have been another area of focus in 2024</w:t>
      </w:r>
      <w:r w:rsidR="00B041B6" w:rsidRPr="0035686A">
        <w:t>-</w:t>
      </w:r>
      <w:r w:rsidRPr="0035686A">
        <w:t>25.</w:t>
      </w:r>
    </w:p>
    <w:p w14:paraId="623679C8" w14:textId="3BDE936D" w:rsidR="004A6CE0" w:rsidRPr="0035686A" w:rsidRDefault="004A6CE0" w:rsidP="00D9566B">
      <w:pPr>
        <w:pStyle w:val="Heading3"/>
      </w:pPr>
      <w:r w:rsidRPr="0035686A">
        <w:lastRenderedPageBreak/>
        <w:t>Additional requirements since 2015</w:t>
      </w:r>
      <w:r w:rsidR="00B041B6" w:rsidRPr="0035686A">
        <w:t>-</w:t>
      </w:r>
      <w:r w:rsidRPr="0035686A">
        <w:t>16</w:t>
      </w:r>
    </w:p>
    <w:p w14:paraId="5EEAEA09" w14:textId="4AFCF83B" w:rsidR="004A6CE0" w:rsidRPr="0035686A" w:rsidRDefault="004A6CE0" w:rsidP="004A6CE0">
      <w:r w:rsidRPr="0035686A">
        <w:t>Since 2015</w:t>
      </w:r>
      <w:r w:rsidR="00B041B6" w:rsidRPr="0035686A">
        <w:t>-</w:t>
      </w:r>
      <w:r w:rsidRPr="0035686A">
        <w:t xml:space="preserve">16, 535 additional requirements were set on 209 Strategic Projects worth $124.2 billion. Steel requirements have been set on 138 Strategic Projects valued at $88.8 billion and FF&amp;E requirements have been set on 90 Strategic Projects valued at $35.2 billion. </w:t>
      </w:r>
    </w:p>
    <w:p w14:paraId="75214930" w14:textId="5545FBFD" w:rsidR="004A6CE0" w:rsidRPr="0035686A" w:rsidRDefault="004A6CE0" w:rsidP="00D9566B">
      <w:pPr>
        <w:pStyle w:val="Heading3"/>
      </w:pPr>
      <w:r w:rsidRPr="0035686A">
        <w:t>Additional requirements set during 2024</w:t>
      </w:r>
      <w:r w:rsidR="00B041B6" w:rsidRPr="0035686A">
        <w:t>-</w:t>
      </w:r>
      <w:r w:rsidRPr="0035686A">
        <w:t>25</w:t>
      </w:r>
    </w:p>
    <w:p w14:paraId="1901A230" w14:textId="6BE9BD99" w:rsidR="004A6CE0" w:rsidRPr="0035686A" w:rsidRDefault="004A6CE0" w:rsidP="004A6CE0">
      <w:r w:rsidRPr="0035686A">
        <w:t>In 2024</w:t>
      </w:r>
      <w:r w:rsidR="00B041B6" w:rsidRPr="0035686A">
        <w:t>-</w:t>
      </w:r>
      <w:r w:rsidRPr="0035686A">
        <w:t xml:space="preserve">25, 63 additional requirements were set on 29 Strategic Projects worth $8.4 billion. Steel requirements have been set on 21 Strategic Projects valued at $9.1 billion and FF&amp;E requirements have been set on 10 Strategic Projects valued at $7.3 billion. </w:t>
      </w:r>
    </w:p>
    <w:p w14:paraId="1B4EDB3B" w14:textId="77777777" w:rsidR="004A6CE0" w:rsidRPr="0035686A" w:rsidRDefault="004A6CE0" w:rsidP="004A6CE0">
      <w:pPr>
        <w:pStyle w:val="Heading3"/>
      </w:pPr>
      <w:r w:rsidRPr="0035686A">
        <w:t>Case study 5:</w:t>
      </w:r>
    </w:p>
    <w:p w14:paraId="3B3D3961" w14:textId="77777777" w:rsidR="004A6CE0" w:rsidRPr="0035686A" w:rsidRDefault="004A6CE0" w:rsidP="004A6CE0">
      <w:proofErr w:type="gramStart"/>
      <w:r w:rsidRPr="0035686A">
        <w:t>North East</w:t>
      </w:r>
      <w:proofErr w:type="gramEnd"/>
      <w:r w:rsidRPr="0035686A">
        <w:t xml:space="preserve"> Link</w:t>
      </w:r>
    </w:p>
    <w:p w14:paraId="36CF1B00" w14:textId="77777777" w:rsidR="004A6CE0" w:rsidRPr="0035686A" w:rsidRDefault="004A6CE0" w:rsidP="004A6CE0">
      <w:proofErr w:type="gramStart"/>
      <w:r w:rsidRPr="0035686A">
        <w:t>North East</w:t>
      </w:r>
      <w:proofErr w:type="gramEnd"/>
      <w:r w:rsidRPr="0035686A">
        <w:t xml:space="preserve"> Link is the biggest road project in Victoria’s history, spanning from Watsonia to Bulleen. </w:t>
      </w:r>
    </w:p>
    <w:p w14:paraId="424BA3E5" w14:textId="160DA177" w:rsidR="004A6CE0" w:rsidRPr="0035686A" w:rsidRDefault="004A6CE0" w:rsidP="00D9566B">
      <w:r w:rsidRPr="0035686A">
        <w:t>In October 2021, the Spark Consortium was awarded the $11.1 billion contract for the project’s major works. This includes designing and constructing twin three</w:t>
      </w:r>
      <w:r w:rsidR="00B041B6" w:rsidRPr="0035686A">
        <w:t>-</w:t>
      </w:r>
      <w:r w:rsidRPr="0035686A">
        <w:t>lane tunnels, each approximately 6.5 kilometres long, connecting the M80 Ring Road in Greensborough to the Eastern Freeway in Bulleen. Once completed, these will be the longest tunnels in Victoria and are expected to be completed by 2028.</w:t>
      </w:r>
    </w:p>
    <w:p w14:paraId="6ADB5A4F" w14:textId="7E9ADB6E" w:rsidR="004A6CE0" w:rsidRPr="0035686A" w:rsidRDefault="004A6CE0" w:rsidP="00D9566B">
      <w:r w:rsidRPr="0035686A">
        <w:t xml:space="preserve">As a Local Jobs First Strategic Project, </w:t>
      </w:r>
      <w:proofErr w:type="gramStart"/>
      <w:r w:rsidRPr="0035686A">
        <w:t>North East</w:t>
      </w:r>
      <w:proofErr w:type="gramEnd"/>
      <w:r w:rsidRPr="0035686A">
        <w:t xml:space="preserve"> Link is required to achieve a minimum 90% local content for both project development and maintenance activities. In addition, it is subject to the MPSG for growing the next generation of skilled workers in Victoria by providing opportunities for ATCs to work on high</w:t>
      </w:r>
      <w:r w:rsidR="00B041B6" w:rsidRPr="0035686A">
        <w:t>-</w:t>
      </w:r>
      <w:r w:rsidRPr="0035686A">
        <w:t>value government construction projects.</w:t>
      </w:r>
    </w:p>
    <w:p w14:paraId="7C248BE5" w14:textId="77777777" w:rsidR="004A6CE0" w:rsidRPr="0035686A" w:rsidRDefault="004A6CE0" w:rsidP="00D9566B">
      <w:r w:rsidRPr="0035686A">
        <w:t>To help achieve its MPSG commitments, the Spark Consortium has a comprehensive program to create jobs and work for thousands of local people and businesses.</w:t>
      </w:r>
    </w:p>
    <w:p w14:paraId="2117D27E" w14:textId="77777777" w:rsidR="004A6CE0" w:rsidRPr="0035686A" w:rsidRDefault="004A6CE0" w:rsidP="00D9566B">
      <w:r w:rsidRPr="0035686A">
        <w:t>One way the Spark Consortium has delivered on this commitment is through the Tunnel Traineeship program. The tunnelling sector has traditionally relied on tickets and licences rather than formal qualifications. The program was developed in partnership with Holmesglen to change that by providing tunnellers with a nationally recognised Certificate III in Civil Construction – Tunnelling. It creates a structured pathway for new entrants while also giving experienced workers the chance to formalise their skills and knowledge while supporting their mobility across the industry.</w:t>
      </w:r>
    </w:p>
    <w:p w14:paraId="29F300D2" w14:textId="75830B62" w:rsidR="004A6CE0" w:rsidRPr="0035686A" w:rsidRDefault="004A6CE0" w:rsidP="00D9566B">
      <w:r w:rsidRPr="0035686A">
        <w:t>The delivery model was designed around the realities of the project. Training is conducted directly on site with Holmesglen trainers running sessions that combine classroom learning and real</w:t>
      </w:r>
      <w:r w:rsidR="00B041B6" w:rsidRPr="0035686A">
        <w:t>-</w:t>
      </w:r>
      <w:r w:rsidRPr="0035686A">
        <w:t xml:space="preserve">time assessment on the job. Classes are structured in short blocks and offered in </w:t>
      </w:r>
      <w:r w:rsidRPr="0035686A">
        <w:lastRenderedPageBreak/>
        <w:t>both AM and PM sessions to cater for shift patterns to minimise disruption and ensure all crews can participate. This approach embeds training into daily operations and strengthens consistency across tunnelling teams.</w:t>
      </w:r>
    </w:p>
    <w:p w14:paraId="6A7331FB" w14:textId="77777777" w:rsidR="004A6CE0" w:rsidRPr="0035686A" w:rsidRDefault="004A6CE0" w:rsidP="004A6CE0">
      <w:r w:rsidRPr="0035686A">
        <w:t>Since the program’s launch, more than 500 people have taken part in traineeships across the project, with tunnellers making up a major portion (344) of this effort. The Tunnel Traineeship has already proven its value by creating a sustainable pipeline of skilled workers, building confidence on site, and reinforcing a culture of learning. It is a clear example of how a collaborative approach between the project, training providers, and workforce can deliver outcomes that benefit individuals, the project, and the wider industry.</w:t>
      </w:r>
    </w:p>
    <w:p w14:paraId="60516524" w14:textId="77777777" w:rsidR="004A6CE0" w:rsidRPr="0035686A" w:rsidRDefault="004A6CE0" w:rsidP="004A6CE0">
      <w:r w:rsidRPr="0035686A">
        <w:t>Mirabella Greif is a tunneller on the project, specialising in the excavation of underground road tunnels. She said studying the Certificate III in Civil Construction (Tunnelling) has given her a deeper understanding of the industry:</w:t>
      </w:r>
    </w:p>
    <w:p w14:paraId="2DA1F2B1" w14:textId="45E3E147" w:rsidR="004A6CE0" w:rsidRPr="0035686A" w:rsidRDefault="004A6CE0" w:rsidP="00D9566B">
      <w:pPr>
        <w:rPr>
          <w:i/>
          <w:iCs/>
        </w:rPr>
      </w:pPr>
      <w:r w:rsidRPr="0035686A">
        <w:rPr>
          <w:i/>
          <w:iCs/>
        </w:rPr>
        <w:t>“The tunnel</w:t>
      </w:r>
      <w:r w:rsidR="00B041B6" w:rsidRPr="0035686A">
        <w:rPr>
          <w:i/>
          <w:iCs/>
        </w:rPr>
        <w:t>-</w:t>
      </w:r>
      <w:r w:rsidRPr="0035686A">
        <w:rPr>
          <w:i/>
          <w:iCs/>
        </w:rPr>
        <w:t>specific units provided the detail I needed and helped fill gaps in my knowledge. Having the training delivered on site makes a real difference because I can apply what I learn straight away while it is still fresh in my mind.</w:t>
      </w:r>
    </w:p>
    <w:p w14:paraId="38E83742" w14:textId="77777777" w:rsidR="004A6CE0" w:rsidRPr="0035686A" w:rsidRDefault="004A6CE0" w:rsidP="00D9566B">
      <w:pPr>
        <w:rPr>
          <w:i/>
          <w:iCs/>
        </w:rPr>
      </w:pPr>
      <w:r w:rsidRPr="0035686A">
        <w:rPr>
          <w:i/>
          <w:iCs/>
        </w:rPr>
        <w:t>My focus right now is to keep building my skillset as I progress in my career. Eventually, I would like to move into a mentoring role, welcoming new people, especially women, who are starting out in the industry. I like to believe that my presence is helping to rewrite the old narrative that women do not belong in construction. For anyone just starting out and considering a career in this field, the traineeship gives you an edge. It goes into depth across a broad range of important skills that you will continue to use throughout your career”.</w:t>
      </w:r>
    </w:p>
    <w:p w14:paraId="3F9CB957" w14:textId="77777777" w:rsidR="004A6CE0" w:rsidRPr="0035686A" w:rsidRDefault="004A6CE0" w:rsidP="004A6CE0">
      <w:r w:rsidRPr="0035686A">
        <w:t xml:space="preserve">Sam Cunningham is a leading hand on the </w:t>
      </w:r>
      <w:proofErr w:type="spellStart"/>
      <w:r w:rsidRPr="0035686A">
        <w:t>bullgang</w:t>
      </w:r>
      <w:proofErr w:type="spellEnd"/>
      <w:r w:rsidRPr="0035686A">
        <w:t>, managing services for tunnelling operations as well as ground and surface works. He is completing the Certificate III in Civil Construction (General). This has allowed him to strengthen his knowledge and capabilities to succeed in the role:</w:t>
      </w:r>
    </w:p>
    <w:p w14:paraId="7A7F1AB0" w14:textId="77777777" w:rsidR="004A6CE0" w:rsidRPr="0035686A" w:rsidRDefault="004A6CE0" w:rsidP="004A6CE0">
      <w:pPr>
        <w:rPr>
          <w:i/>
          <w:iCs/>
        </w:rPr>
      </w:pPr>
      <w:r w:rsidRPr="0035686A">
        <w:rPr>
          <w:i/>
          <w:iCs/>
        </w:rPr>
        <w:t xml:space="preserve">“Once I complete the qualification, the knowledge I have gained will support me when our crew moves into the next stage, which is the lining phase. During this phase, I will use the skills from the course to help me run a crew of 6 on the </w:t>
      </w:r>
      <w:proofErr w:type="spellStart"/>
      <w:r w:rsidRPr="0035686A">
        <w:rPr>
          <w:i/>
          <w:iCs/>
        </w:rPr>
        <w:t>bullgang</w:t>
      </w:r>
      <w:proofErr w:type="spellEnd"/>
      <w:r w:rsidRPr="0035686A">
        <w:rPr>
          <w:i/>
          <w:iCs/>
        </w:rPr>
        <w:t xml:space="preserve"> providing tunnel support. Looking ahead, I hope to step into a supervisory role within the next year and make full use of the experience and knowledge I have gained through the course”.</w:t>
      </w:r>
    </w:p>
    <w:p w14:paraId="792FDB34" w14:textId="77777777" w:rsidR="004A6CE0" w:rsidRPr="0035686A" w:rsidRDefault="004A6CE0" w:rsidP="004A6CE0">
      <w:pPr>
        <w:pStyle w:val="Heading3"/>
      </w:pPr>
      <w:r w:rsidRPr="0035686A">
        <w:t>Case study 6:</w:t>
      </w:r>
    </w:p>
    <w:p w14:paraId="3BF9511A" w14:textId="77777777" w:rsidR="004A6CE0" w:rsidRPr="0035686A" w:rsidRDefault="004A6CE0" w:rsidP="004A6CE0">
      <w:r w:rsidRPr="0035686A">
        <w:t>Glenrowan Solar Farm</w:t>
      </w:r>
    </w:p>
    <w:p w14:paraId="66A92BFC" w14:textId="77777777" w:rsidR="004A6CE0" w:rsidRPr="0035686A" w:rsidRDefault="004A6CE0" w:rsidP="004A6CE0">
      <w:r w:rsidRPr="0035686A">
        <w:t xml:space="preserve">Local Jobs First applicable energy transition projects such as the Glenrowan Solar Farm provide significant opportunities for local manufacturers through minimum local content requirements set under the VIPP and for workers, including Victorian ATCs as part of the MPSG. </w:t>
      </w:r>
    </w:p>
    <w:p w14:paraId="03093EB6" w14:textId="77777777" w:rsidR="004A6CE0" w:rsidRPr="0035686A" w:rsidRDefault="004A6CE0" w:rsidP="004A6CE0">
      <w:r w:rsidRPr="0035686A">
        <w:lastRenderedPageBreak/>
        <w:t>The Glenrowan Solar Farm is a significant 130MWdc solar project located 2km south-west of Glenrowan, Victoria. This large-scale development is within the Victorian Government’s Central North Renewable Energy Zone (REZ) and contributes to the Victorian Renewable Energy Target (VRET).</w:t>
      </w:r>
    </w:p>
    <w:p w14:paraId="14B78FA1" w14:textId="77777777" w:rsidR="004A6CE0" w:rsidRPr="0035686A" w:rsidRDefault="004A6CE0" w:rsidP="004A6CE0">
      <w:r w:rsidRPr="0035686A">
        <w:t>Owned and managed by Pacific Partnerships, the project’s construction was completed in May 2024.</w:t>
      </w:r>
    </w:p>
    <w:p w14:paraId="610DE037" w14:textId="77777777" w:rsidR="004A6CE0" w:rsidRPr="0035686A" w:rsidRDefault="004A6CE0" w:rsidP="004A6CE0">
      <w:r w:rsidRPr="0035686A">
        <w:t xml:space="preserve">The project is fully operational and generates renewable electricity to power the equivalent of approximately 55,000 homes. It is one of the successful projects selected by the Victorian </w:t>
      </w:r>
      <w:r w:rsidRPr="0035686A">
        <w:rPr>
          <w:spacing w:val="-2"/>
        </w:rPr>
        <w:t>Government for a 10-year support agreement through its second VRET Auction (VRET2), delivered b</w:t>
      </w:r>
      <w:r w:rsidRPr="0035686A">
        <w:t>y the Department of Energy, Environment and Climate Action. The VRET Auction Scheme was designed to support investment in new renewable energy projects and support the achievement of Victoria’s renewable energy ambitions. In addition, from 1 July 2025, the State Electricity Commission has been leveraging the operational VRET1 and VRET2 contracts, including the Glenrowan Solar Farm, to retail 100% renewable electricity for schools, hospitals and other Victorian Government operations.</w:t>
      </w:r>
    </w:p>
    <w:p w14:paraId="6C5F8ED2" w14:textId="77777777" w:rsidR="004A6CE0" w:rsidRPr="0035686A" w:rsidRDefault="004A6CE0" w:rsidP="004A6CE0">
      <w:r w:rsidRPr="0035686A">
        <w:t>As a Local Jobs First Strategic Project, the solar farm is required to achieve minimum local content outcomes, including 67% overall local content, 95% local steel procurement, and 90% local content for operations and maintenance.</w:t>
      </w:r>
    </w:p>
    <w:p w14:paraId="28F6FD42" w14:textId="77777777" w:rsidR="004A6CE0" w:rsidRPr="0035686A" w:rsidRDefault="004A6CE0" w:rsidP="004A6CE0">
      <w:r w:rsidRPr="0035686A">
        <w:t>The project has generated significant economic and social benefits for the local community. It employed 98 direct full-time equivalent (FTE) jobs, including 14 FTE Victorian jobs and 8 new Victorian apprenticeships in electrical trades. The project also delivered 28,375 hours of work for ATCs, equivalent to 13.5% of the total labour hours and far exceeding the 10% requirement under the MPSG.</w:t>
      </w:r>
    </w:p>
    <w:p w14:paraId="265EA744" w14:textId="77777777" w:rsidR="004A6CE0" w:rsidRPr="0035686A" w:rsidRDefault="004A6CE0" w:rsidP="004A6CE0">
      <w:r w:rsidRPr="0035686A">
        <w:t xml:space="preserve">During development, the farm engaged 184 SMEs. Local suppliers were engaged for various aspects of the project, including </w:t>
      </w:r>
      <w:proofErr w:type="spellStart"/>
      <w:r w:rsidRPr="0035686A">
        <w:t>Wamarra</w:t>
      </w:r>
      <w:proofErr w:type="spellEnd"/>
      <w:r w:rsidRPr="0035686A">
        <w:t xml:space="preserve"> for DC cable trenching, Alpine Surveying and Mapping for site surveying, and </w:t>
      </w:r>
      <w:proofErr w:type="gramStart"/>
      <w:r w:rsidRPr="0035686A">
        <w:t>North East</w:t>
      </w:r>
      <w:proofErr w:type="gramEnd"/>
      <w:r w:rsidRPr="0035686A">
        <w:t xml:space="preserve"> Civil Construction for concrete foundation works. Additionally, approximately $2.6 million worth of goods and services were contracted with Victorian social enterprises and Aboriginal businesses. </w:t>
      </w:r>
    </w:p>
    <w:p w14:paraId="1843B0D3" w14:textId="77777777" w:rsidR="004A6CE0" w:rsidRPr="0035686A" w:rsidRDefault="004A6CE0" w:rsidP="004A6CE0">
      <w:r w:rsidRPr="0035686A">
        <w:t>As the first project to commence construction under VRET2, the solar farm worked with suppliers to develop a locally-procured steel supply chain, achieving 99% local steel procurement – exceeding the 95% requirement set under the Local Jobs First policy. This has created new capabilities within the local supply chain that can be replicated across future renewable energy projects.</w:t>
      </w:r>
    </w:p>
    <w:p w14:paraId="77E34F50" w14:textId="77777777" w:rsidR="004A6CE0" w:rsidRPr="0035686A" w:rsidRDefault="004A6CE0" w:rsidP="004A6CE0">
      <w:r w:rsidRPr="0035686A">
        <w:t>In a unique initiative, the solar farm’s operations and maintenance team has been managing a flock of 1,000 local merino sheep on site since late 2024. The grazing sheep complement the project’s sustainability, helping to maintain the open landscape and enhance soil health.</w:t>
      </w:r>
    </w:p>
    <w:p w14:paraId="6666A6E6" w14:textId="77777777" w:rsidR="004A6CE0" w:rsidRPr="0035686A" w:rsidRDefault="004A6CE0" w:rsidP="004A6CE0">
      <w:r w:rsidRPr="0035686A">
        <w:lastRenderedPageBreak/>
        <w:t>The Glenrowan Solar Farm stands as a testament to the successful integration of renewable energy projects within local communities, driving Victorian economic growth, creating local job opportunities, and supporting the transition to a sustainable energy future.</w:t>
      </w:r>
    </w:p>
    <w:p w14:paraId="0B1DA2B2" w14:textId="77777777" w:rsidR="004A6CE0" w:rsidRPr="0035686A" w:rsidRDefault="004A6CE0" w:rsidP="004A6CE0">
      <w:pPr>
        <w:pStyle w:val="Heading2-numbered"/>
      </w:pPr>
      <w:bookmarkStart w:id="23" w:name="_Toc213233928"/>
      <w:r w:rsidRPr="0035686A">
        <w:t>Approach to Standard Projects</w:t>
      </w:r>
      <w:bookmarkEnd w:id="23"/>
    </w:p>
    <w:p w14:paraId="0AF731AD" w14:textId="6C8EBBA6" w:rsidR="004A6CE0" w:rsidRPr="0035686A" w:rsidRDefault="004A6CE0" w:rsidP="004A6CE0">
      <w:r w:rsidRPr="0035686A">
        <w:t>2024</w:t>
      </w:r>
      <w:r w:rsidR="00B041B6" w:rsidRPr="0035686A">
        <w:rPr>
          <w:rFonts w:ascii="Cambria Math" w:hAnsi="Cambria Math" w:cs="Cambria Math"/>
        </w:rPr>
        <w:t>-</w:t>
      </w:r>
      <w:r w:rsidRPr="0035686A">
        <w:t xml:space="preserve">25 was another a strong year for Local Jobs First Standard Projects with 307 projects valued at $2.8 billion being registered. As with Strategic Projects, Standard Projects provide significant opportunities for local businesses and workers. </w:t>
      </w:r>
    </w:p>
    <w:p w14:paraId="4839775D" w14:textId="77777777" w:rsidR="004A6CE0" w:rsidRPr="0035686A" w:rsidRDefault="004A6CE0" w:rsidP="004A6CE0">
      <w:r w:rsidRPr="0035686A">
        <w:t xml:space="preserve">In contrast to Strategic Projects, for which the Minister responsible for Local Jobs First sets requirements that successful contractors must meet, Standard Projects involve a more market led approach where bidders must outline in their tender response: </w:t>
      </w:r>
    </w:p>
    <w:p w14:paraId="5FA5097E" w14:textId="77777777" w:rsidR="004A6CE0" w:rsidRPr="0035686A" w:rsidRDefault="004A6CE0" w:rsidP="004A6CE0">
      <w:pPr>
        <w:pStyle w:val="TableBullet"/>
        <w:suppressAutoHyphens w:val="0"/>
        <w:spacing w:before="0" w:after="120" w:line="240" w:lineRule="auto"/>
        <w:ind w:left="346" w:hanging="346"/>
      </w:pPr>
      <w:r w:rsidRPr="0035686A">
        <w:t>industry development commitments (local content, technology transfer, supply chain engagement)</w:t>
      </w:r>
    </w:p>
    <w:p w14:paraId="596A1764" w14:textId="77777777" w:rsidR="004A6CE0" w:rsidRPr="0035686A" w:rsidRDefault="004A6CE0" w:rsidP="004A6CE0">
      <w:pPr>
        <w:pStyle w:val="TableBullet"/>
        <w:suppressAutoHyphens w:val="0"/>
        <w:spacing w:before="0" w:after="120" w:line="240" w:lineRule="auto"/>
        <w:ind w:left="346" w:hanging="346"/>
      </w:pPr>
      <w:r w:rsidRPr="0035686A">
        <w:t>job outcome commitments (new and retained jobs, and training) including MPSG commitments where applicable</w:t>
      </w:r>
    </w:p>
    <w:p w14:paraId="56103164" w14:textId="77777777" w:rsidR="004A6CE0" w:rsidRPr="0035686A" w:rsidRDefault="004A6CE0" w:rsidP="004A6CE0">
      <w:pPr>
        <w:pStyle w:val="TableBullet"/>
        <w:suppressAutoHyphens w:val="0"/>
        <w:spacing w:before="0" w:after="120" w:line="240" w:lineRule="auto"/>
        <w:ind w:left="346" w:hanging="346"/>
      </w:pPr>
      <w:r w:rsidRPr="0035686A">
        <w:t>detailed information about how the LIDP will be implemented including the management of risks, industry engagement strategies, and the selection and benchmarking of local content</w:t>
      </w:r>
    </w:p>
    <w:p w14:paraId="4643AFE8" w14:textId="77777777" w:rsidR="004A6CE0" w:rsidRPr="0035686A" w:rsidRDefault="004A6CE0" w:rsidP="004A6CE0">
      <w:pPr>
        <w:pStyle w:val="TableBullet"/>
        <w:suppressAutoHyphens w:val="0"/>
        <w:spacing w:before="0" w:after="120" w:line="240" w:lineRule="auto"/>
        <w:ind w:left="346" w:hanging="346"/>
      </w:pPr>
      <w:r w:rsidRPr="0035686A">
        <w:t>monitoring and reporting requirements, including those to be delivered as part of project management procedures</w:t>
      </w:r>
    </w:p>
    <w:p w14:paraId="2DC0244F" w14:textId="77777777" w:rsidR="004A6CE0" w:rsidRPr="0035686A" w:rsidRDefault="004A6CE0" w:rsidP="004A6CE0">
      <w:pPr>
        <w:pStyle w:val="TableBullet"/>
        <w:suppressAutoHyphens w:val="0"/>
        <w:spacing w:before="0" w:after="120" w:line="240" w:lineRule="auto"/>
        <w:ind w:left="346" w:hanging="346"/>
      </w:pPr>
      <w:r w:rsidRPr="0035686A">
        <w:t>the number of SMEs that will be engaged as part of the contract.</w:t>
      </w:r>
    </w:p>
    <w:p w14:paraId="3F3DBA0C" w14:textId="6757B41D" w:rsidR="004A6CE0" w:rsidRPr="0035686A" w:rsidRDefault="004A6CE0" w:rsidP="004A6CE0">
      <w:r w:rsidRPr="0035686A">
        <w:t xml:space="preserve">Further information about Standard Projects and Local Jobs First can be found at </w:t>
      </w:r>
      <w:hyperlink r:id="rId19" w:history="1">
        <w:r w:rsidRPr="0035686A">
          <w:rPr>
            <w:rStyle w:val="Hyperlink"/>
          </w:rPr>
          <w:t>localjobsfirst.vic.gov.au</w:t>
        </w:r>
      </w:hyperlink>
      <w:r w:rsidRPr="0035686A">
        <w:t xml:space="preserve">. </w:t>
      </w:r>
    </w:p>
    <w:p w14:paraId="3E1745E9" w14:textId="3628F815" w:rsidR="004A6CE0" w:rsidRPr="0035686A" w:rsidRDefault="004A6CE0" w:rsidP="004A6CE0">
      <w:pPr>
        <w:pStyle w:val="Heading1"/>
      </w:pPr>
      <w:bookmarkStart w:id="24" w:name="_Appendix_A:_Completed"/>
      <w:bookmarkStart w:id="25" w:name="_Toc213233929"/>
      <w:bookmarkEnd w:id="24"/>
      <w:r w:rsidRPr="0035686A">
        <w:lastRenderedPageBreak/>
        <w:t>Appendix A: Completed Strategic Projects for 2024</w:t>
      </w:r>
      <w:r w:rsidR="00B041B6" w:rsidRPr="0035686A">
        <w:rPr>
          <w:rFonts w:ascii="Cambria Math" w:hAnsi="Cambria Math" w:cs="Cambria Math"/>
        </w:rPr>
        <w:t>-</w:t>
      </w:r>
      <w:r w:rsidRPr="0035686A">
        <w:t>25</w:t>
      </w:r>
      <w:bookmarkEnd w:id="25"/>
    </w:p>
    <w:tbl>
      <w:tblPr>
        <w:tblStyle w:val="TableGrid"/>
        <w:tblW w:w="0" w:type="auto"/>
        <w:tblLook w:val="04A0" w:firstRow="1" w:lastRow="0" w:firstColumn="1" w:lastColumn="0" w:noHBand="0" w:noVBand="1"/>
      </w:tblPr>
      <w:tblGrid>
        <w:gridCol w:w="3167"/>
        <w:gridCol w:w="5293"/>
        <w:gridCol w:w="1168"/>
      </w:tblGrid>
      <w:tr w:rsidR="004A6CE0" w:rsidRPr="0035686A" w14:paraId="4DBFA9EF" w14:textId="77777777" w:rsidTr="00646E39">
        <w:trPr>
          <w:cantSplit/>
          <w:trHeight w:val="300"/>
          <w:tblHeader/>
        </w:trPr>
        <w:tc>
          <w:tcPr>
            <w:tcW w:w="0" w:type="auto"/>
          </w:tcPr>
          <w:p w14:paraId="1DE1D689" w14:textId="77777777" w:rsidR="004A6CE0" w:rsidRPr="0035686A" w:rsidRDefault="004A6CE0" w:rsidP="00F53FFC">
            <w:pPr>
              <w:pStyle w:val="TableColumnHeading"/>
              <w:rPr>
                <w:lang w:val="en-AU"/>
              </w:rPr>
            </w:pPr>
            <w:r w:rsidRPr="0035686A">
              <w:rPr>
                <w:lang w:val="en-AU"/>
              </w:rPr>
              <w:t>Project</w:t>
            </w:r>
          </w:p>
        </w:tc>
        <w:tc>
          <w:tcPr>
            <w:tcW w:w="0" w:type="auto"/>
          </w:tcPr>
          <w:p w14:paraId="7BF005E8" w14:textId="77777777" w:rsidR="004A6CE0" w:rsidRPr="0035686A" w:rsidRDefault="004A6CE0" w:rsidP="00F53FFC">
            <w:pPr>
              <w:pStyle w:val="TableColumnHeading"/>
              <w:rPr>
                <w:lang w:val="en-AU"/>
              </w:rPr>
            </w:pPr>
            <w:r w:rsidRPr="0035686A">
              <w:rPr>
                <w:lang w:val="en-AU"/>
              </w:rPr>
              <w:t>Local Jobs First requirements</w:t>
            </w:r>
          </w:p>
        </w:tc>
        <w:tc>
          <w:tcPr>
            <w:tcW w:w="0" w:type="auto"/>
          </w:tcPr>
          <w:p w14:paraId="421F81B4" w14:textId="77777777" w:rsidR="004A6CE0" w:rsidRPr="0035686A" w:rsidRDefault="004A6CE0" w:rsidP="00F53FFC">
            <w:pPr>
              <w:pStyle w:val="TableColumnHeading"/>
              <w:rPr>
                <w:lang w:val="en-AU"/>
              </w:rPr>
            </w:pPr>
            <w:r w:rsidRPr="0035686A">
              <w:rPr>
                <w:lang w:val="en-AU"/>
              </w:rPr>
              <w:t>Region</w:t>
            </w:r>
          </w:p>
        </w:tc>
      </w:tr>
      <w:tr w:rsidR="004A6CE0" w:rsidRPr="0035686A" w14:paraId="1EC97B7D" w14:textId="77777777" w:rsidTr="00646E39">
        <w:trPr>
          <w:cantSplit/>
          <w:trHeight w:val="300"/>
        </w:trPr>
        <w:tc>
          <w:tcPr>
            <w:tcW w:w="0" w:type="auto"/>
          </w:tcPr>
          <w:p w14:paraId="4CE723F8" w14:textId="77777777" w:rsidR="004A6CE0" w:rsidRPr="0035686A" w:rsidRDefault="004A6CE0" w:rsidP="00F53FFC">
            <w:pPr>
              <w:pStyle w:val="TableCopy"/>
              <w:rPr>
                <w:lang w:val="en-AU"/>
              </w:rPr>
            </w:pPr>
            <w:r w:rsidRPr="0035686A">
              <w:rPr>
                <w:lang w:val="en-AU"/>
              </w:rPr>
              <w:t>Level Crossing Removal Project – AWP4 Glen Huntly, Neerim Road</w:t>
            </w:r>
          </w:p>
        </w:tc>
        <w:tc>
          <w:tcPr>
            <w:tcW w:w="0" w:type="auto"/>
          </w:tcPr>
          <w:p w14:paraId="5A5BBB62" w14:textId="77777777" w:rsidR="004A6CE0" w:rsidRPr="0035686A" w:rsidRDefault="004A6CE0" w:rsidP="00F53FFC">
            <w:pPr>
              <w:pStyle w:val="TableCopy"/>
              <w:rPr>
                <w:lang w:val="en-AU"/>
              </w:rPr>
            </w:pPr>
            <w:r w:rsidRPr="0035686A">
              <w:rPr>
                <w:lang w:val="en-AU"/>
              </w:rPr>
              <w:t>90% minimum local content for the project</w:t>
            </w:r>
          </w:p>
          <w:p w14:paraId="0C3073B9" w14:textId="77777777" w:rsidR="004A6CE0" w:rsidRPr="0035686A" w:rsidRDefault="004A6CE0" w:rsidP="00F53FFC">
            <w:pPr>
              <w:pStyle w:val="TableCopy"/>
              <w:rPr>
                <w:lang w:val="en-AU"/>
              </w:rPr>
            </w:pPr>
            <w:r w:rsidRPr="0035686A">
              <w:rPr>
                <w:lang w:val="en-AU"/>
              </w:rPr>
              <w:t>100% local steel</w:t>
            </w:r>
          </w:p>
        </w:tc>
        <w:tc>
          <w:tcPr>
            <w:tcW w:w="0" w:type="auto"/>
          </w:tcPr>
          <w:p w14:paraId="39D440DF" w14:textId="77777777" w:rsidR="004A6CE0" w:rsidRPr="0035686A" w:rsidRDefault="004A6CE0" w:rsidP="00F53FFC">
            <w:pPr>
              <w:pStyle w:val="TableCopy"/>
              <w:rPr>
                <w:lang w:val="en-AU"/>
              </w:rPr>
            </w:pPr>
            <w:r w:rsidRPr="0035686A">
              <w:rPr>
                <w:lang w:val="en-AU"/>
              </w:rPr>
              <w:t>Metro</w:t>
            </w:r>
          </w:p>
        </w:tc>
      </w:tr>
      <w:tr w:rsidR="004A6CE0" w:rsidRPr="0035686A" w14:paraId="27B95FAC" w14:textId="77777777" w:rsidTr="00646E39">
        <w:trPr>
          <w:cantSplit/>
          <w:trHeight w:val="300"/>
        </w:trPr>
        <w:tc>
          <w:tcPr>
            <w:tcW w:w="0" w:type="auto"/>
          </w:tcPr>
          <w:p w14:paraId="32932109" w14:textId="77777777" w:rsidR="004A6CE0" w:rsidRPr="0035686A" w:rsidRDefault="004A6CE0" w:rsidP="00F53FFC">
            <w:pPr>
              <w:pStyle w:val="TableCopy"/>
              <w:rPr>
                <w:lang w:val="en-AU"/>
              </w:rPr>
            </w:pPr>
            <w:r w:rsidRPr="0035686A">
              <w:rPr>
                <w:lang w:val="en-AU"/>
              </w:rPr>
              <w:t xml:space="preserve">Level Crossing Removal Project – AWP9 – </w:t>
            </w:r>
            <w:proofErr w:type="spellStart"/>
            <w:r w:rsidRPr="0035686A">
              <w:rPr>
                <w:lang w:val="en-AU"/>
              </w:rPr>
              <w:t>Camms</w:t>
            </w:r>
            <w:proofErr w:type="spellEnd"/>
            <w:r w:rsidRPr="0035686A">
              <w:rPr>
                <w:lang w:val="en-AU"/>
              </w:rPr>
              <w:t xml:space="preserve"> Road</w:t>
            </w:r>
          </w:p>
        </w:tc>
        <w:tc>
          <w:tcPr>
            <w:tcW w:w="0" w:type="auto"/>
          </w:tcPr>
          <w:p w14:paraId="516719B4" w14:textId="77777777" w:rsidR="004A6CE0" w:rsidRPr="0035686A" w:rsidRDefault="004A6CE0" w:rsidP="00F53FFC">
            <w:pPr>
              <w:pStyle w:val="TableCopy"/>
              <w:rPr>
                <w:lang w:val="en-AU"/>
              </w:rPr>
            </w:pPr>
            <w:r w:rsidRPr="0035686A">
              <w:rPr>
                <w:lang w:val="en-AU"/>
              </w:rPr>
              <w:t>89% minimum local content for the project</w:t>
            </w:r>
          </w:p>
          <w:p w14:paraId="7B51FA82" w14:textId="77777777" w:rsidR="004A6CE0" w:rsidRPr="0035686A" w:rsidRDefault="004A6CE0" w:rsidP="00F53FFC">
            <w:pPr>
              <w:pStyle w:val="TableCopy"/>
              <w:rPr>
                <w:lang w:val="en-AU"/>
              </w:rPr>
            </w:pPr>
            <w:r w:rsidRPr="0035686A">
              <w:rPr>
                <w:lang w:val="en-AU"/>
              </w:rPr>
              <w:t>100% local steel</w:t>
            </w:r>
          </w:p>
        </w:tc>
        <w:tc>
          <w:tcPr>
            <w:tcW w:w="0" w:type="auto"/>
          </w:tcPr>
          <w:p w14:paraId="1304518E" w14:textId="77777777" w:rsidR="004A6CE0" w:rsidRPr="0035686A" w:rsidRDefault="004A6CE0" w:rsidP="00F53FFC">
            <w:pPr>
              <w:pStyle w:val="TableCopy"/>
              <w:rPr>
                <w:lang w:val="en-AU"/>
              </w:rPr>
            </w:pPr>
            <w:r w:rsidRPr="0035686A">
              <w:rPr>
                <w:lang w:val="en-AU"/>
              </w:rPr>
              <w:t>Metro</w:t>
            </w:r>
          </w:p>
        </w:tc>
      </w:tr>
      <w:tr w:rsidR="004A6CE0" w:rsidRPr="0035686A" w14:paraId="4E5E2D21" w14:textId="77777777" w:rsidTr="00646E39">
        <w:trPr>
          <w:cantSplit/>
          <w:trHeight w:val="300"/>
        </w:trPr>
        <w:tc>
          <w:tcPr>
            <w:tcW w:w="0" w:type="auto"/>
          </w:tcPr>
          <w:p w14:paraId="0D980DF9" w14:textId="77777777" w:rsidR="004A6CE0" w:rsidRPr="0035686A" w:rsidRDefault="004A6CE0" w:rsidP="00F53FFC">
            <w:pPr>
              <w:pStyle w:val="TableCopy"/>
              <w:rPr>
                <w:lang w:val="en-AU"/>
              </w:rPr>
            </w:pPr>
            <w:r w:rsidRPr="0035686A">
              <w:rPr>
                <w:lang w:val="en-AU"/>
              </w:rPr>
              <w:t>Chisholm Frankston Redevelopment Project Stage 2</w:t>
            </w:r>
          </w:p>
        </w:tc>
        <w:tc>
          <w:tcPr>
            <w:tcW w:w="0" w:type="auto"/>
          </w:tcPr>
          <w:p w14:paraId="1D5CBDAF" w14:textId="77777777" w:rsidR="004A6CE0" w:rsidRPr="0035686A" w:rsidRDefault="004A6CE0" w:rsidP="00F53FFC">
            <w:pPr>
              <w:pStyle w:val="TableCopy"/>
              <w:rPr>
                <w:lang w:val="en-AU"/>
              </w:rPr>
            </w:pPr>
            <w:r w:rsidRPr="0035686A">
              <w:rPr>
                <w:lang w:val="en-AU"/>
              </w:rPr>
              <w:t>97% for consulting services</w:t>
            </w:r>
          </w:p>
          <w:p w14:paraId="09E5AD35" w14:textId="77777777" w:rsidR="004A6CE0" w:rsidRPr="0035686A" w:rsidRDefault="004A6CE0" w:rsidP="00F53FFC">
            <w:pPr>
              <w:pStyle w:val="TableCopy"/>
              <w:rPr>
                <w:lang w:val="en-AU"/>
              </w:rPr>
            </w:pPr>
            <w:r w:rsidRPr="0035686A">
              <w:rPr>
                <w:lang w:val="en-AU"/>
              </w:rPr>
              <w:t>98% for early works</w:t>
            </w:r>
          </w:p>
          <w:p w14:paraId="4B327A6F" w14:textId="77777777" w:rsidR="004A6CE0" w:rsidRPr="0035686A" w:rsidRDefault="004A6CE0" w:rsidP="00F53FFC">
            <w:pPr>
              <w:pStyle w:val="TableCopy"/>
              <w:rPr>
                <w:lang w:val="en-AU"/>
              </w:rPr>
            </w:pPr>
            <w:r w:rsidRPr="0035686A">
              <w:rPr>
                <w:lang w:val="en-AU"/>
              </w:rPr>
              <w:t>92% for construction</w:t>
            </w:r>
          </w:p>
          <w:p w14:paraId="6A8FC64B" w14:textId="77777777" w:rsidR="004A6CE0" w:rsidRPr="0035686A" w:rsidRDefault="004A6CE0" w:rsidP="00F53FFC">
            <w:pPr>
              <w:pStyle w:val="TableCopy"/>
              <w:rPr>
                <w:lang w:val="en-AU"/>
              </w:rPr>
            </w:pPr>
            <w:r w:rsidRPr="0035686A">
              <w:rPr>
                <w:lang w:val="en-AU"/>
              </w:rPr>
              <w:t>86% for fittings, fixtures and equipment</w:t>
            </w:r>
          </w:p>
          <w:p w14:paraId="28B72083" w14:textId="77777777" w:rsidR="004A6CE0" w:rsidRPr="0035686A" w:rsidRDefault="004A6CE0" w:rsidP="00F53FFC">
            <w:pPr>
              <w:pStyle w:val="TableCopy"/>
              <w:rPr>
                <w:lang w:val="en-AU"/>
              </w:rPr>
            </w:pPr>
            <w:r w:rsidRPr="0035686A">
              <w:rPr>
                <w:lang w:val="en-AU"/>
              </w:rPr>
              <w:t>All consultants including but not limited to architects, designers, engineers and other advisers must preference solutions that maximise the use of local materials, finishes, products, goods and services in construction including fittings, fixtures and equipment wherever possible</w:t>
            </w:r>
          </w:p>
        </w:tc>
        <w:tc>
          <w:tcPr>
            <w:tcW w:w="0" w:type="auto"/>
          </w:tcPr>
          <w:p w14:paraId="1466FF55" w14:textId="77777777" w:rsidR="004A6CE0" w:rsidRPr="0035686A" w:rsidRDefault="004A6CE0" w:rsidP="00F53FFC">
            <w:pPr>
              <w:pStyle w:val="TableCopy"/>
              <w:rPr>
                <w:lang w:val="en-AU"/>
              </w:rPr>
            </w:pPr>
            <w:r w:rsidRPr="0035686A">
              <w:rPr>
                <w:lang w:val="en-AU"/>
              </w:rPr>
              <w:t>Metro</w:t>
            </w:r>
          </w:p>
        </w:tc>
      </w:tr>
      <w:tr w:rsidR="004A6CE0" w:rsidRPr="0035686A" w14:paraId="7DED1FEC" w14:textId="77777777" w:rsidTr="00646E39">
        <w:trPr>
          <w:cantSplit/>
          <w:trHeight w:val="300"/>
        </w:trPr>
        <w:tc>
          <w:tcPr>
            <w:tcW w:w="0" w:type="auto"/>
          </w:tcPr>
          <w:p w14:paraId="0DF62F3F" w14:textId="77777777" w:rsidR="004A6CE0" w:rsidRPr="0035686A" w:rsidRDefault="004A6CE0" w:rsidP="00F53FFC">
            <w:pPr>
              <w:pStyle w:val="TableCopy"/>
              <w:rPr>
                <w:lang w:val="en-AU"/>
              </w:rPr>
            </w:pPr>
            <w:r w:rsidRPr="0035686A">
              <w:rPr>
                <w:lang w:val="en-AU"/>
              </w:rPr>
              <w:t>Clinical Waste Supplementary</w:t>
            </w:r>
          </w:p>
        </w:tc>
        <w:tc>
          <w:tcPr>
            <w:tcW w:w="0" w:type="auto"/>
          </w:tcPr>
          <w:p w14:paraId="387F38B6" w14:textId="77777777" w:rsidR="004A6CE0" w:rsidRPr="0035686A" w:rsidRDefault="004A6CE0" w:rsidP="00F53FFC">
            <w:pPr>
              <w:pStyle w:val="TableCopy"/>
              <w:rPr>
                <w:lang w:val="en-AU"/>
              </w:rPr>
            </w:pPr>
            <w:r w:rsidRPr="0035686A">
              <w:rPr>
                <w:lang w:val="en-AU"/>
              </w:rPr>
              <w:t>96% minimum local content for the project</w:t>
            </w:r>
          </w:p>
        </w:tc>
        <w:tc>
          <w:tcPr>
            <w:tcW w:w="0" w:type="auto"/>
          </w:tcPr>
          <w:p w14:paraId="03AF7A22" w14:textId="77777777" w:rsidR="004A6CE0" w:rsidRPr="0035686A" w:rsidRDefault="004A6CE0" w:rsidP="00F53FFC">
            <w:pPr>
              <w:pStyle w:val="TableCopy"/>
              <w:rPr>
                <w:lang w:val="en-AU"/>
              </w:rPr>
            </w:pPr>
            <w:r w:rsidRPr="0035686A">
              <w:rPr>
                <w:lang w:val="en-AU"/>
              </w:rPr>
              <w:t>Statewide</w:t>
            </w:r>
          </w:p>
        </w:tc>
      </w:tr>
      <w:tr w:rsidR="004A6CE0" w:rsidRPr="0035686A" w14:paraId="6D64C537" w14:textId="77777777" w:rsidTr="00646E39">
        <w:trPr>
          <w:cantSplit/>
          <w:trHeight w:val="300"/>
        </w:trPr>
        <w:tc>
          <w:tcPr>
            <w:tcW w:w="0" w:type="auto"/>
          </w:tcPr>
          <w:p w14:paraId="0CEE9C12" w14:textId="77777777" w:rsidR="004A6CE0" w:rsidRPr="0035686A" w:rsidRDefault="004A6CE0" w:rsidP="00F53FFC">
            <w:pPr>
              <w:pStyle w:val="TableCopy"/>
              <w:rPr>
                <w:lang w:val="en-AU"/>
              </w:rPr>
            </w:pPr>
            <w:r w:rsidRPr="0035686A">
              <w:rPr>
                <w:lang w:val="en-AU"/>
              </w:rPr>
              <w:t>Design and Construction of new schools to open in 2024 (Bundle A and B)</w:t>
            </w:r>
          </w:p>
        </w:tc>
        <w:tc>
          <w:tcPr>
            <w:tcW w:w="0" w:type="auto"/>
          </w:tcPr>
          <w:p w14:paraId="38E6116B" w14:textId="77777777" w:rsidR="004A6CE0" w:rsidRPr="0035686A" w:rsidRDefault="004A6CE0" w:rsidP="00F53FFC">
            <w:pPr>
              <w:pStyle w:val="TableCopy"/>
              <w:rPr>
                <w:lang w:val="en-AU"/>
              </w:rPr>
            </w:pPr>
            <w:r w:rsidRPr="0035686A">
              <w:rPr>
                <w:lang w:val="en-AU"/>
              </w:rPr>
              <w:t>91% for construction</w:t>
            </w:r>
          </w:p>
          <w:p w14:paraId="6D36F628" w14:textId="77777777" w:rsidR="004A6CE0" w:rsidRPr="0035686A" w:rsidRDefault="004A6CE0" w:rsidP="00F53FFC">
            <w:pPr>
              <w:pStyle w:val="TableCopy"/>
              <w:rPr>
                <w:lang w:val="en-AU"/>
              </w:rPr>
            </w:pPr>
            <w:r w:rsidRPr="0035686A">
              <w:rPr>
                <w:lang w:val="en-AU"/>
              </w:rPr>
              <w:t>82% for furniture, fixtures and equipment</w:t>
            </w:r>
          </w:p>
          <w:p w14:paraId="708E56E3" w14:textId="77777777" w:rsidR="004A6CE0" w:rsidRPr="0035686A" w:rsidRDefault="004A6CE0" w:rsidP="00F53FFC">
            <w:pPr>
              <w:pStyle w:val="TableCopy"/>
              <w:rPr>
                <w:lang w:val="en-AU"/>
              </w:rPr>
            </w:pPr>
            <w:r w:rsidRPr="0035686A">
              <w:rPr>
                <w:lang w:val="en-AU"/>
              </w:rPr>
              <w:t xml:space="preserve">Maximise local steel </w:t>
            </w:r>
          </w:p>
          <w:p w14:paraId="1FA83422" w14:textId="77777777" w:rsidR="004A6CE0" w:rsidRPr="0035686A" w:rsidRDefault="004A6CE0" w:rsidP="00F53FFC">
            <w:pPr>
              <w:pStyle w:val="TableCopy"/>
              <w:rPr>
                <w:lang w:val="en-AU"/>
              </w:rPr>
            </w:pPr>
            <w:r w:rsidRPr="0035686A">
              <w:rPr>
                <w:lang w:val="en-AU"/>
              </w:rPr>
              <w:t>The Victorian School Building Authority must advise the DJSIR and the ICN Victoria of any proposed significant diversion from the local content of any items listed in the successful supplier’s approved LIDP</w:t>
            </w:r>
          </w:p>
        </w:tc>
        <w:tc>
          <w:tcPr>
            <w:tcW w:w="0" w:type="auto"/>
          </w:tcPr>
          <w:p w14:paraId="12E4C4F6" w14:textId="77777777" w:rsidR="004A6CE0" w:rsidRPr="0035686A" w:rsidRDefault="004A6CE0" w:rsidP="00F53FFC">
            <w:pPr>
              <w:pStyle w:val="TableCopy"/>
              <w:rPr>
                <w:lang w:val="en-AU"/>
              </w:rPr>
            </w:pPr>
            <w:r w:rsidRPr="0035686A">
              <w:rPr>
                <w:lang w:val="en-AU"/>
              </w:rPr>
              <w:t>Statewide</w:t>
            </w:r>
          </w:p>
        </w:tc>
      </w:tr>
      <w:tr w:rsidR="004A6CE0" w:rsidRPr="0035686A" w14:paraId="513689C7" w14:textId="77777777" w:rsidTr="00646E39">
        <w:trPr>
          <w:cantSplit/>
          <w:trHeight w:val="300"/>
        </w:trPr>
        <w:tc>
          <w:tcPr>
            <w:tcW w:w="0" w:type="auto"/>
          </w:tcPr>
          <w:p w14:paraId="4DEEC37E" w14:textId="77777777" w:rsidR="004A6CE0" w:rsidRPr="0035686A" w:rsidRDefault="004A6CE0" w:rsidP="00F53FFC">
            <w:pPr>
              <w:pStyle w:val="TableCopy"/>
              <w:rPr>
                <w:lang w:val="en-AU"/>
              </w:rPr>
            </w:pPr>
            <w:r w:rsidRPr="0035686A">
              <w:rPr>
                <w:lang w:val="en-AU"/>
              </w:rPr>
              <w:t>Information Technology Services for Registration and Licensing project</w:t>
            </w:r>
          </w:p>
        </w:tc>
        <w:tc>
          <w:tcPr>
            <w:tcW w:w="0" w:type="auto"/>
          </w:tcPr>
          <w:p w14:paraId="5BCEA3FF" w14:textId="77777777" w:rsidR="004A6CE0" w:rsidRPr="0035686A" w:rsidRDefault="004A6CE0" w:rsidP="00F53FFC">
            <w:pPr>
              <w:pStyle w:val="TableCopy"/>
              <w:rPr>
                <w:lang w:val="en-AU"/>
              </w:rPr>
            </w:pPr>
            <w:r w:rsidRPr="0035686A">
              <w:rPr>
                <w:lang w:val="en-AU"/>
              </w:rPr>
              <w:t>98% minimum local content for the project</w:t>
            </w:r>
          </w:p>
        </w:tc>
        <w:tc>
          <w:tcPr>
            <w:tcW w:w="0" w:type="auto"/>
          </w:tcPr>
          <w:p w14:paraId="217644B5" w14:textId="77777777" w:rsidR="004A6CE0" w:rsidRPr="0035686A" w:rsidRDefault="004A6CE0" w:rsidP="00F53FFC">
            <w:pPr>
              <w:pStyle w:val="TableCopy"/>
              <w:rPr>
                <w:lang w:val="en-AU"/>
              </w:rPr>
            </w:pPr>
            <w:r w:rsidRPr="0035686A">
              <w:rPr>
                <w:lang w:val="en-AU"/>
              </w:rPr>
              <w:t>Statewide</w:t>
            </w:r>
          </w:p>
        </w:tc>
      </w:tr>
      <w:tr w:rsidR="004A6CE0" w:rsidRPr="0035686A" w14:paraId="1AD55D73" w14:textId="77777777" w:rsidTr="00646E39">
        <w:trPr>
          <w:cantSplit/>
          <w:trHeight w:val="300"/>
        </w:trPr>
        <w:tc>
          <w:tcPr>
            <w:tcW w:w="0" w:type="auto"/>
          </w:tcPr>
          <w:p w14:paraId="34506FB6" w14:textId="77777777" w:rsidR="004A6CE0" w:rsidRPr="0035686A" w:rsidRDefault="004A6CE0" w:rsidP="00F53FFC">
            <w:pPr>
              <w:pStyle w:val="TableCopy"/>
              <w:rPr>
                <w:lang w:val="en-AU"/>
              </w:rPr>
            </w:pPr>
            <w:r w:rsidRPr="0035686A">
              <w:rPr>
                <w:lang w:val="en-AU"/>
              </w:rPr>
              <w:t xml:space="preserve">Level Crossing Removal Project – Keon Parade </w:t>
            </w:r>
          </w:p>
        </w:tc>
        <w:tc>
          <w:tcPr>
            <w:tcW w:w="0" w:type="auto"/>
          </w:tcPr>
          <w:p w14:paraId="0CDA597C" w14:textId="77777777" w:rsidR="004A6CE0" w:rsidRPr="0035686A" w:rsidRDefault="004A6CE0" w:rsidP="00F53FFC">
            <w:pPr>
              <w:pStyle w:val="TableCopy"/>
              <w:rPr>
                <w:lang w:val="en-AU"/>
              </w:rPr>
            </w:pPr>
            <w:r w:rsidRPr="0035686A">
              <w:rPr>
                <w:lang w:val="en-AU"/>
              </w:rPr>
              <w:t>89% minimum local content for the project</w:t>
            </w:r>
          </w:p>
          <w:p w14:paraId="2FA79EA6" w14:textId="77777777" w:rsidR="004A6CE0" w:rsidRPr="0035686A" w:rsidRDefault="004A6CE0" w:rsidP="00F53FFC">
            <w:pPr>
              <w:pStyle w:val="TableCopy"/>
              <w:rPr>
                <w:lang w:val="en-AU"/>
              </w:rPr>
            </w:pPr>
            <w:r w:rsidRPr="0035686A">
              <w:rPr>
                <w:lang w:val="en-AU"/>
              </w:rPr>
              <w:t>100% local steel</w:t>
            </w:r>
          </w:p>
        </w:tc>
        <w:tc>
          <w:tcPr>
            <w:tcW w:w="0" w:type="auto"/>
          </w:tcPr>
          <w:p w14:paraId="4C7E0D69" w14:textId="77777777" w:rsidR="004A6CE0" w:rsidRPr="0035686A" w:rsidRDefault="004A6CE0" w:rsidP="00F53FFC">
            <w:pPr>
              <w:pStyle w:val="TableCopy"/>
              <w:rPr>
                <w:lang w:val="en-AU"/>
              </w:rPr>
            </w:pPr>
            <w:r w:rsidRPr="0035686A">
              <w:rPr>
                <w:lang w:val="en-AU"/>
              </w:rPr>
              <w:t>Metro</w:t>
            </w:r>
          </w:p>
        </w:tc>
      </w:tr>
      <w:tr w:rsidR="004A6CE0" w:rsidRPr="0035686A" w14:paraId="1B37953F" w14:textId="77777777" w:rsidTr="00646E39">
        <w:trPr>
          <w:cantSplit/>
          <w:trHeight w:val="300"/>
        </w:trPr>
        <w:tc>
          <w:tcPr>
            <w:tcW w:w="0" w:type="auto"/>
          </w:tcPr>
          <w:p w14:paraId="066EB243" w14:textId="77777777" w:rsidR="004A6CE0" w:rsidRPr="0035686A" w:rsidRDefault="004A6CE0" w:rsidP="00F53FFC">
            <w:pPr>
              <w:pStyle w:val="TableCopy"/>
              <w:rPr>
                <w:lang w:val="en-AU"/>
              </w:rPr>
            </w:pPr>
            <w:r w:rsidRPr="0035686A">
              <w:rPr>
                <w:lang w:val="en-AU"/>
              </w:rPr>
              <w:lastRenderedPageBreak/>
              <w:t>Level Crossing Removal Project – Additional Works Package 3 – Hurstbridge Line Upgrade Stage 2</w:t>
            </w:r>
          </w:p>
        </w:tc>
        <w:tc>
          <w:tcPr>
            <w:tcW w:w="0" w:type="auto"/>
          </w:tcPr>
          <w:p w14:paraId="5FB971A1" w14:textId="77777777" w:rsidR="004A6CE0" w:rsidRPr="0035686A" w:rsidRDefault="004A6CE0" w:rsidP="00F53FFC">
            <w:pPr>
              <w:pStyle w:val="TableCopy"/>
              <w:rPr>
                <w:lang w:val="en-AU"/>
              </w:rPr>
            </w:pPr>
            <w:r w:rsidRPr="0035686A">
              <w:rPr>
                <w:lang w:val="en-AU"/>
              </w:rPr>
              <w:t>89% minimum local content for the project</w:t>
            </w:r>
          </w:p>
          <w:p w14:paraId="68491DA7" w14:textId="77777777" w:rsidR="004A6CE0" w:rsidRPr="0035686A" w:rsidRDefault="004A6CE0" w:rsidP="00F53FFC">
            <w:pPr>
              <w:pStyle w:val="TableCopy"/>
              <w:rPr>
                <w:lang w:val="en-AU"/>
              </w:rPr>
            </w:pPr>
            <w:r w:rsidRPr="0035686A">
              <w:rPr>
                <w:lang w:val="en-AU"/>
              </w:rPr>
              <w:t>100% local steel</w:t>
            </w:r>
          </w:p>
        </w:tc>
        <w:tc>
          <w:tcPr>
            <w:tcW w:w="0" w:type="auto"/>
          </w:tcPr>
          <w:p w14:paraId="58038CA6" w14:textId="77777777" w:rsidR="004A6CE0" w:rsidRPr="0035686A" w:rsidRDefault="004A6CE0" w:rsidP="00F53FFC">
            <w:pPr>
              <w:pStyle w:val="TableCopy"/>
              <w:rPr>
                <w:lang w:val="en-AU"/>
              </w:rPr>
            </w:pPr>
            <w:r w:rsidRPr="0035686A">
              <w:rPr>
                <w:lang w:val="en-AU"/>
              </w:rPr>
              <w:t>Metro</w:t>
            </w:r>
          </w:p>
        </w:tc>
      </w:tr>
      <w:tr w:rsidR="004A6CE0" w:rsidRPr="0035686A" w14:paraId="3798CE71" w14:textId="77777777" w:rsidTr="00646E39">
        <w:trPr>
          <w:cantSplit/>
          <w:trHeight w:val="300"/>
        </w:trPr>
        <w:tc>
          <w:tcPr>
            <w:tcW w:w="0" w:type="auto"/>
          </w:tcPr>
          <w:p w14:paraId="3E655CAA" w14:textId="77777777" w:rsidR="004A6CE0" w:rsidRPr="0035686A" w:rsidRDefault="004A6CE0" w:rsidP="00F53FFC">
            <w:pPr>
              <w:pStyle w:val="TableCopy"/>
              <w:rPr>
                <w:lang w:val="en-AU"/>
              </w:rPr>
            </w:pPr>
            <w:r w:rsidRPr="0035686A">
              <w:rPr>
                <w:lang w:val="en-AU"/>
              </w:rPr>
              <w:t xml:space="preserve">Level Crossing Removal Project – Additional Works Package 7 – </w:t>
            </w:r>
            <w:proofErr w:type="spellStart"/>
            <w:r w:rsidRPr="0035686A">
              <w:rPr>
                <w:lang w:val="en-AU"/>
              </w:rPr>
              <w:t>Kananook</w:t>
            </w:r>
            <w:proofErr w:type="spellEnd"/>
            <w:r w:rsidRPr="0035686A">
              <w:rPr>
                <w:lang w:val="en-AU"/>
              </w:rPr>
              <w:t xml:space="preserve"> Stage 2 Stabling and Train Maintenance Facility</w:t>
            </w:r>
          </w:p>
        </w:tc>
        <w:tc>
          <w:tcPr>
            <w:tcW w:w="0" w:type="auto"/>
          </w:tcPr>
          <w:p w14:paraId="51A0CA3C" w14:textId="77777777" w:rsidR="004A6CE0" w:rsidRPr="0035686A" w:rsidRDefault="004A6CE0" w:rsidP="00F53FFC">
            <w:pPr>
              <w:pStyle w:val="TableCopy"/>
              <w:rPr>
                <w:lang w:val="en-AU"/>
              </w:rPr>
            </w:pPr>
            <w:r w:rsidRPr="0035686A">
              <w:rPr>
                <w:lang w:val="en-AU"/>
              </w:rPr>
              <w:t>93% minimum local content for the project</w:t>
            </w:r>
          </w:p>
          <w:p w14:paraId="207B4FE4" w14:textId="77777777" w:rsidR="004A6CE0" w:rsidRPr="0035686A" w:rsidRDefault="004A6CE0" w:rsidP="00F53FFC">
            <w:pPr>
              <w:pStyle w:val="TableCopy"/>
              <w:rPr>
                <w:lang w:val="en-AU"/>
              </w:rPr>
            </w:pPr>
            <w:r w:rsidRPr="0035686A">
              <w:rPr>
                <w:lang w:val="en-AU"/>
              </w:rPr>
              <w:t>82% for signalling</w:t>
            </w:r>
          </w:p>
          <w:p w14:paraId="35B4AD7A" w14:textId="77777777" w:rsidR="004A6CE0" w:rsidRPr="0035686A" w:rsidRDefault="004A6CE0" w:rsidP="00F53FFC">
            <w:pPr>
              <w:pStyle w:val="TableCopy"/>
              <w:rPr>
                <w:lang w:val="en-AU"/>
              </w:rPr>
            </w:pPr>
            <w:r w:rsidRPr="0035686A">
              <w:rPr>
                <w:lang w:val="en-AU"/>
              </w:rPr>
              <w:t>90% local steel</w:t>
            </w:r>
          </w:p>
          <w:p w14:paraId="6F6FFE61" w14:textId="77777777" w:rsidR="004A6CE0" w:rsidRPr="0035686A" w:rsidRDefault="004A6CE0" w:rsidP="00F53FFC">
            <w:pPr>
              <w:pStyle w:val="TableCopy"/>
              <w:rPr>
                <w:lang w:val="en-AU"/>
              </w:rPr>
            </w:pPr>
            <w:r w:rsidRPr="0035686A">
              <w:rPr>
                <w:lang w:val="en-AU"/>
              </w:rPr>
              <w:t>All consultants, including but not limited to architects, designers, engineers and other advisers must preference solutions that maximise the use of local materials, finishes, products, goods and services in construction including fittings, fixtures and equipment wherever possible</w:t>
            </w:r>
          </w:p>
        </w:tc>
        <w:tc>
          <w:tcPr>
            <w:tcW w:w="0" w:type="auto"/>
          </w:tcPr>
          <w:p w14:paraId="367EC002" w14:textId="77777777" w:rsidR="004A6CE0" w:rsidRPr="0035686A" w:rsidRDefault="004A6CE0" w:rsidP="00F53FFC">
            <w:pPr>
              <w:pStyle w:val="TableCopy"/>
              <w:rPr>
                <w:lang w:val="en-AU"/>
              </w:rPr>
            </w:pPr>
            <w:r w:rsidRPr="0035686A">
              <w:rPr>
                <w:lang w:val="en-AU"/>
              </w:rPr>
              <w:t>Metro</w:t>
            </w:r>
          </w:p>
        </w:tc>
      </w:tr>
      <w:tr w:rsidR="004A6CE0" w:rsidRPr="0035686A" w14:paraId="04702743" w14:textId="77777777" w:rsidTr="00646E39">
        <w:trPr>
          <w:cantSplit/>
          <w:trHeight w:val="300"/>
        </w:trPr>
        <w:tc>
          <w:tcPr>
            <w:tcW w:w="0" w:type="auto"/>
          </w:tcPr>
          <w:p w14:paraId="7C3483FD" w14:textId="77777777" w:rsidR="004A6CE0" w:rsidRPr="0035686A" w:rsidRDefault="004A6CE0" w:rsidP="00F53FFC">
            <w:pPr>
              <w:pStyle w:val="TableCopy"/>
              <w:rPr>
                <w:lang w:val="en-AU"/>
              </w:rPr>
            </w:pPr>
            <w:r w:rsidRPr="0035686A">
              <w:rPr>
                <w:lang w:val="en-AU"/>
              </w:rPr>
              <w:t>Level Crossing Removal Project – Bedford Road, Ringwood</w:t>
            </w:r>
          </w:p>
        </w:tc>
        <w:tc>
          <w:tcPr>
            <w:tcW w:w="0" w:type="auto"/>
          </w:tcPr>
          <w:p w14:paraId="05B870EF" w14:textId="77777777" w:rsidR="004A6CE0" w:rsidRPr="0035686A" w:rsidRDefault="004A6CE0" w:rsidP="00F53FFC">
            <w:pPr>
              <w:pStyle w:val="TableCopy"/>
              <w:rPr>
                <w:lang w:val="en-AU"/>
              </w:rPr>
            </w:pPr>
            <w:r w:rsidRPr="0035686A">
              <w:rPr>
                <w:lang w:val="en-AU"/>
              </w:rPr>
              <w:t>89% minimum local content for the project</w:t>
            </w:r>
          </w:p>
          <w:p w14:paraId="0FD12338" w14:textId="77777777" w:rsidR="004A6CE0" w:rsidRPr="0035686A" w:rsidRDefault="004A6CE0" w:rsidP="00F53FFC">
            <w:pPr>
              <w:pStyle w:val="TableCopy"/>
              <w:rPr>
                <w:lang w:val="en-AU"/>
              </w:rPr>
            </w:pPr>
            <w:r w:rsidRPr="0035686A">
              <w:rPr>
                <w:lang w:val="en-AU"/>
              </w:rPr>
              <w:t>100% local steel</w:t>
            </w:r>
          </w:p>
        </w:tc>
        <w:tc>
          <w:tcPr>
            <w:tcW w:w="0" w:type="auto"/>
          </w:tcPr>
          <w:p w14:paraId="6540DD21" w14:textId="77777777" w:rsidR="004A6CE0" w:rsidRPr="0035686A" w:rsidRDefault="004A6CE0" w:rsidP="00F53FFC">
            <w:pPr>
              <w:pStyle w:val="TableCopy"/>
              <w:rPr>
                <w:lang w:val="en-AU"/>
              </w:rPr>
            </w:pPr>
            <w:r w:rsidRPr="0035686A">
              <w:rPr>
                <w:lang w:val="en-AU"/>
              </w:rPr>
              <w:t>Metro</w:t>
            </w:r>
          </w:p>
        </w:tc>
      </w:tr>
      <w:tr w:rsidR="004A6CE0" w:rsidRPr="0035686A" w14:paraId="56C73841" w14:textId="77777777" w:rsidTr="00646E39">
        <w:trPr>
          <w:cantSplit/>
          <w:trHeight w:val="300"/>
        </w:trPr>
        <w:tc>
          <w:tcPr>
            <w:tcW w:w="0" w:type="auto"/>
          </w:tcPr>
          <w:p w14:paraId="5D9EFADF" w14:textId="77777777" w:rsidR="004A6CE0" w:rsidRPr="0035686A" w:rsidRDefault="004A6CE0" w:rsidP="00F53FFC">
            <w:pPr>
              <w:pStyle w:val="TableCopy"/>
              <w:rPr>
                <w:lang w:val="en-AU"/>
              </w:rPr>
            </w:pPr>
            <w:r w:rsidRPr="0035686A">
              <w:rPr>
                <w:lang w:val="en-AU"/>
              </w:rPr>
              <w:t>Level Crossing Removal Project – Melbourne Underground Rail Loop Fire and Life Safety Upgrade Stage 2</w:t>
            </w:r>
          </w:p>
        </w:tc>
        <w:tc>
          <w:tcPr>
            <w:tcW w:w="0" w:type="auto"/>
          </w:tcPr>
          <w:p w14:paraId="370B2C6E" w14:textId="77777777" w:rsidR="004A6CE0" w:rsidRPr="0035686A" w:rsidRDefault="004A6CE0" w:rsidP="00F53FFC">
            <w:pPr>
              <w:pStyle w:val="TableCopy"/>
              <w:rPr>
                <w:lang w:val="en-AU"/>
              </w:rPr>
            </w:pPr>
            <w:r w:rsidRPr="0035686A">
              <w:rPr>
                <w:lang w:val="en-AU"/>
              </w:rPr>
              <w:t>70% minimum local content for the project</w:t>
            </w:r>
          </w:p>
          <w:p w14:paraId="42B4559F" w14:textId="77777777" w:rsidR="004A6CE0" w:rsidRPr="0035686A" w:rsidRDefault="004A6CE0" w:rsidP="00F53FFC">
            <w:pPr>
              <w:pStyle w:val="TableCopy"/>
              <w:rPr>
                <w:lang w:val="en-AU"/>
              </w:rPr>
            </w:pPr>
            <w:r w:rsidRPr="0035686A">
              <w:rPr>
                <w:lang w:val="en-AU"/>
              </w:rPr>
              <w:t>Maximise local steel</w:t>
            </w:r>
          </w:p>
        </w:tc>
        <w:tc>
          <w:tcPr>
            <w:tcW w:w="0" w:type="auto"/>
          </w:tcPr>
          <w:p w14:paraId="1B45908D" w14:textId="77777777" w:rsidR="004A6CE0" w:rsidRPr="0035686A" w:rsidRDefault="004A6CE0" w:rsidP="00F53FFC">
            <w:pPr>
              <w:pStyle w:val="TableCopy"/>
              <w:rPr>
                <w:lang w:val="en-AU"/>
              </w:rPr>
            </w:pPr>
            <w:r w:rsidRPr="0035686A">
              <w:rPr>
                <w:lang w:val="en-AU"/>
              </w:rPr>
              <w:t>Metro</w:t>
            </w:r>
          </w:p>
        </w:tc>
      </w:tr>
      <w:tr w:rsidR="004A6CE0" w:rsidRPr="0035686A" w14:paraId="2798994D" w14:textId="77777777" w:rsidTr="00646E39">
        <w:trPr>
          <w:cantSplit/>
          <w:trHeight w:val="300"/>
        </w:trPr>
        <w:tc>
          <w:tcPr>
            <w:tcW w:w="0" w:type="auto"/>
          </w:tcPr>
          <w:p w14:paraId="33C5F6F2" w14:textId="77777777" w:rsidR="004A6CE0" w:rsidRPr="0035686A" w:rsidRDefault="004A6CE0" w:rsidP="00F53FFC">
            <w:pPr>
              <w:pStyle w:val="TableCopy"/>
              <w:rPr>
                <w:lang w:val="en-AU"/>
              </w:rPr>
            </w:pPr>
            <w:r w:rsidRPr="0035686A">
              <w:rPr>
                <w:lang w:val="en-AU"/>
              </w:rPr>
              <w:t>Level Crossing Removal Project – Union Road, Surrey Hills and Mont Albert Road</w:t>
            </w:r>
          </w:p>
        </w:tc>
        <w:tc>
          <w:tcPr>
            <w:tcW w:w="0" w:type="auto"/>
          </w:tcPr>
          <w:p w14:paraId="4C9F79E1" w14:textId="77777777" w:rsidR="004A6CE0" w:rsidRPr="0035686A" w:rsidRDefault="004A6CE0" w:rsidP="00F53FFC">
            <w:pPr>
              <w:pStyle w:val="TableCopy"/>
              <w:rPr>
                <w:lang w:val="en-AU"/>
              </w:rPr>
            </w:pPr>
            <w:r w:rsidRPr="0035686A">
              <w:rPr>
                <w:lang w:val="en-AU"/>
              </w:rPr>
              <w:t>89% minimum local content for the project</w:t>
            </w:r>
          </w:p>
          <w:p w14:paraId="1D139005" w14:textId="77777777" w:rsidR="004A6CE0" w:rsidRPr="0035686A" w:rsidRDefault="004A6CE0" w:rsidP="00F53FFC">
            <w:pPr>
              <w:pStyle w:val="TableCopy"/>
              <w:rPr>
                <w:lang w:val="en-AU"/>
              </w:rPr>
            </w:pPr>
            <w:r w:rsidRPr="0035686A">
              <w:rPr>
                <w:lang w:val="en-AU"/>
              </w:rPr>
              <w:t>100% local steel</w:t>
            </w:r>
          </w:p>
        </w:tc>
        <w:tc>
          <w:tcPr>
            <w:tcW w:w="0" w:type="auto"/>
          </w:tcPr>
          <w:p w14:paraId="1288DD25" w14:textId="77777777" w:rsidR="004A6CE0" w:rsidRPr="0035686A" w:rsidRDefault="004A6CE0" w:rsidP="00F53FFC">
            <w:pPr>
              <w:pStyle w:val="TableCopy"/>
              <w:rPr>
                <w:lang w:val="en-AU"/>
              </w:rPr>
            </w:pPr>
            <w:r w:rsidRPr="0035686A">
              <w:rPr>
                <w:lang w:val="en-AU"/>
              </w:rPr>
              <w:t>Metro</w:t>
            </w:r>
          </w:p>
        </w:tc>
      </w:tr>
      <w:tr w:rsidR="004A6CE0" w:rsidRPr="0035686A" w14:paraId="640C6207" w14:textId="77777777" w:rsidTr="00646E39">
        <w:trPr>
          <w:cantSplit/>
          <w:trHeight w:val="300"/>
        </w:trPr>
        <w:tc>
          <w:tcPr>
            <w:tcW w:w="0" w:type="auto"/>
          </w:tcPr>
          <w:p w14:paraId="243DF60B" w14:textId="77777777" w:rsidR="004A6CE0" w:rsidRPr="0035686A" w:rsidRDefault="004A6CE0" w:rsidP="00F53FFC">
            <w:pPr>
              <w:pStyle w:val="TableCopy"/>
              <w:rPr>
                <w:lang w:val="en-AU"/>
              </w:rPr>
            </w:pPr>
            <w:r w:rsidRPr="0035686A">
              <w:rPr>
                <w:lang w:val="en-AU"/>
              </w:rPr>
              <w:t xml:space="preserve">Level Crossing Removal Project – Car Parks Additional Works Package 7 </w:t>
            </w:r>
          </w:p>
        </w:tc>
        <w:tc>
          <w:tcPr>
            <w:tcW w:w="0" w:type="auto"/>
          </w:tcPr>
          <w:p w14:paraId="7814BA04" w14:textId="77777777" w:rsidR="004A6CE0" w:rsidRPr="0035686A" w:rsidRDefault="004A6CE0" w:rsidP="00F53FFC">
            <w:pPr>
              <w:pStyle w:val="TableCopy"/>
              <w:rPr>
                <w:lang w:val="en-AU"/>
              </w:rPr>
            </w:pPr>
            <w:r w:rsidRPr="0035686A">
              <w:rPr>
                <w:lang w:val="en-AU"/>
              </w:rPr>
              <w:t>93% minimum local content for the project</w:t>
            </w:r>
          </w:p>
          <w:p w14:paraId="4E312A3B" w14:textId="77777777" w:rsidR="004A6CE0" w:rsidRPr="0035686A" w:rsidRDefault="004A6CE0" w:rsidP="00F53FFC">
            <w:pPr>
              <w:pStyle w:val="TableCopy"/>
              <w:rPr>
                <w:lang w:val="en-AU"/>
              </w:rPr>
            </w:pPr>
            <w:r w:rsidRPr="0035686A">
              <w:rPr>
                <w:lang w:val="en-AU"/>
              </w:rPr>
              <w:t>90% local steel</w:t>
            </w:r>
          </w:p>
          <w:p w14:paraId="4F2E0029" w14:textId="77777777" w:rsidR="004A6CE0" w:rsidRPr="0035686A" w:rsidRDefault="004A6CE0" w:rsidP="00F53FFC">
            <w:pPr>
              <w:pStyle w:val="TableCopy"/>
              <w:rPr>
                <w:lang w:val="en-AU"/>
              </w:rPr>
            </w:pPr>
            <w:r w:rsidRPr="0035686A">
              <w:rPr>
                <w:lang w:val="en-AU"/>
              </w:rPr>
              <w:t>All consultants, including but not limited to architects, designers, engineers and other advisers must preference solutions that maximise the use of local materials, finishes, products, goods and services in construction including fittings, fixtures and equipment wherever possible</w:t>
            </w:r>
          </w:p>
        </w:tc>
        <w:tc>
          <w:tcPr>
            <w:tcW w:w="0" w:type="auto"/>
          </w:tcPr>
          <w:p w14:paraId="32C8FFDC" w14:textId="77777777" w:rsidR="004A6CE0" w:rsidRPr="0035686A" w:rsidRDefault="004A6CE0" w:rsidP="00F53FFC">
            <w:pPr>
              <w:pStyle w:val="TableCopy"/>
              <w:rPr>
                <w:lang w:val="en-AU"/>
              </w:rPr>
            </w:pPr>
            <w:r w:rsidRPr="0035686A">
              <w:rPr>
                <w:lang w:val="en-AU"/>
              </w:rPr>
              <w:t>Metro</w:t>
            </w:r>
          </w:p>
        </w:tc>
      </w:tr>
      <w:tr w:rsidR="004A6CE0" w:rsidRPr="0035686A" w14:paraId="6AF438AC" w14:textId="77777777" w:rsidTr="00646E39">
        <w:trPr>
          <w:cantSplit/>
          <w:trHeight w:val="300"/>
        </w:trPr>
        <w:tc>
          <w:tcPr>
            <w:tcW w:w="0" w:type="auto"/>
          </w:tcPr>
          <w:p w14:paraId="4A198ED8" w14:textId="77777777" w:rsidR="004A6CE0" w:rsidRPr="0035686A" w:rsidRDefault="004A6CE0" w:rsidP="00F53FFC">
            <w:pPr>
              <w:pStyle w:val="TableCopy"/>
              <w:rPr>
                <w:lang w:val="en-AU"/>
              </w:rPr>
            </w:pPr>
            <w:r w:rsidRPr="0035686A">
              <w:rPr>
                <w:lang w:val="en-AU"/>
              </w:rPr>
              <w:lastRenderedPageBreak/>
              <w:t>Melbourne Airport Rail Project – Sunshine to Albion – Early Works</w:t>
            </w:r>
          </w:p>
        </w:tc>
        <w:tc>
          <w:tcPr>
            <w:tcW w:w="0" w:type="auto"/>
          </w:tcPr>
          <w:p w14:paraId="5189C850" w14:textId="37154654" w:rsidR="004A6CE0" w:rsidRPr="0035686A" w:rsidRDefault="004A6CE0" w:rsidP="00F53FFC">
            <w:pPr>
              <w:pStyle w:val="TableCopy"/>
              <w:rPr>
                <w:lang w:val="en-AU"/>
              </w:rPr>
            </w:pPr>
            <w:r w:rsidRPr="0035686A">
              <w:rPr>
                <w:lang w:val="en-AU"/>
              </w:rPr>
              <w:t>96% for pre</w:t>
            </w:r>
            <w:r w:rsidR="00B041B6" w:rsidRPr="0035686A">
              <w:rPr>
                <w:lang w:val="en-AU"/>
              </w:rPr>
              <w:t>-</w:t>
            </w:r>
            <w:r w:rsidRPr="0035686A">
              <w:rPr>
                <w:lang w:val="en-AU"/>
              </w:rPr>
              <w:t>construction and construction</w:t>
            </w:r>
          </w:p>
          <w:p w14:paraId="2DD688B8" w14:textId="77777777" w:rsidR="004A6CE0" w:rsidRPr="0035686A" w:rsidRDefault="004A6CE0" w:rsidP="00F53FFC">
            <w:pPr>
              <w:pStyle w:val="TableCopy"/>
              <w:rPr>
                <w:lang w:val="en-AU"/>
              </w:rPr>
            </w:pPr>
            <w:r w:rsidRPr="0035686A">
              <w:rPr>
                <w:lang w:val="en-AU"/>
              </w:rPr>
              <w:t>89% for signalling</w:t>
            </w:r>
          </w:p>
          <w:p w14:paraId="1A47C4A7" w14:textId="77777777" w:rsidR="004A6CE0" w:rsidRPr="0035686A" w:rsidRDefault="004A6CE0" w:rsidP="00F53FFC">
            <w:pPr>
              <w:pStyle w:val="TableCopy"/>
              <w:rPr>
                <w:lang w:val="en-AU"/>
              </w:rPr>
            </w:pPr>
            <w:r w:rsidRPr="0035686A">
              <w:rPr>
                <w:lang w:val="en-AU"/>
              </w:rPr>
              <w:t>All consultants including but not limited to architects, planners, designers, engineers and other advisers must preference solutions that maximise the use of local materials, finishes, products, goods and services in construction including fittings, fixtures and equipment wherever possible</w:t>
            </w:r>
          </w:p>
        </w:tc>
        <w:tc>
          <w:tcPr>
            <w:tcW w:w="0" w:type="auto"/>
          </w:tcPr>
          <w:p w14:paraId="4E4FEAEC" w14:textId="77777777" w:rsidR="004A6CE0" w:rsidRPr="0035686A" w:rsidRDefault="004A6CE0" w:rsidP="00F53FFC">
            <w:pPr>
              <w:pStyle w:val="TableCopy"/>
              <w:rPr>
                <w:lang w:val="en-AU"/>
              </w:rPr>
            </w:pPr>
            <w:r w:rsidRPr="0035686A">
              <w:rPr>
                <w:lang w:val="en-AU"/>
              </w:rPr>
              <w:t>Metro</w:t>
            </w:r>
          </w:p>
        </w:tc>
      </w:tr>
      <w:tr w:rsidR="004A6CE0" w:rsidRPr="0035686A" w14:paraId="5274B39F" w14:textId="77777777" w:rsidTr="00646E39">
        <w:trPr>
          <w:cantSplit/>
          <w:trHeight w:val="300"/>
        </w:trPr>
        <w:tc>
          <w:tcPr>
            <w:tcW w:w="0" w:type="auto"/>
          </w:tcPr>
          <w:p w14:paraId="362F0FA1" w14:textId="77777777" w:rsidR="004A6CE0" w:rsidRPr="0035686A" w:rsidRDefault="004A6CE0" w:rsidP="00F53FFC">
            <w:pPr>
              <w:pStyle w:val="TableCopy"/>
              <w:rPr>
                <w:lang w:val="en-AU"/>
              </w:rPr>
            </w:pPr>
            <w:r w:rsidRPr="0035686A">
              <w:rPr>
                <w:lang w:val="en-AU"/>
              </w:rPr>
              <w:t xml:space="preserve">Level Crossing Removal Project – Mt Derrimut Road </w:t>
            </w:r>
          </w:p>
        </w:tc>
        <w:tc>
          <w:tcPr>
            <w:tcW w:w="0" w:type="auto"/>
          </w:tcPr>
          <w:p w14:paraId="467751C1" w14:textId="77777777" w:rsidR="004A6CE0" w:rsidRPr="0035686A" w:rsidRDefault="004A6CE0" w:rsidP="00F53FFC">
            <w:pPr>
              <w:pStyle w:val="TableCopy"/>
              <w:rPr>
                <w:lang w:val="en-AU"/>
              </w:rPr>
            </w:pPr>
            <w:r w:rsidRPr="0035686A">
              <w:rPr>
                <w:lang w:val="en-AU"/>
              </w:rPr>
              <w:t>93% minimum local content for the project</w:t>
            </w:r>
          </w:p>
          <w:p w14:paraId="6A8830C7" w14:textId="77777777" w:rsidR="004A6CE0" w:rsidRPr="0035686A" w:rsidRDefault="004A6CE0" w:rsidP="00F53FFC">
            <w:pPr>
              <w:pStyle w:val="TableCopy"/>
              <w:rPr>
                <w:lang w:val="en-AU"/>
              </w:rPr>
            </w:pPr>
            <w:r w:rsidRPr="0035686A">
              <w:rPr>
                <w:lang w:val="en-AU"/>
              </w:rPr>
              <w:t>100% local steel</w:t>
            </w:r>
          </w:p>
        </w:tc>
        <w:tc>
          <w:tcPr>
            <w:tcW w:w="0" w:type="auto"/>
          </w:tcPr>
          <w:p w14:paraId="05C43011" w14:textId="77777777" w:rsidR="004A6CE0" w:rsidRPr="0035686A" w:rsidRDefault="004A6CE0" w:rsidP="00F53FFC">
            <w:pPr>
              <w:pStyle w:val="TableCopy"/>
              <w:rPr>
                <w:lang w:val="en-AU"/>
              </w:rPr>
            </w:pPr>
            <w:r w:rsidRPr="0035686A">
              <w:rPr>
                <w:lang w:val="en-AU"/>
              </w:rPr>
              <w:t>Metro</w:t>
            </w:r>
          </w:p>
        </w:tc>
      </w:tr>
      <w:tr w:rsidR="004A6CE0" w:rsidRPr="0035686A" w14:paraId="33F07D98" w14:textId="77777777" w:rsidTr="00646E39">
        <w:trPr>
          <w:cantSplit/>
          <w:trHeight w:val="300"/>
        </w:trPr>
        <w:tc>
          <w:tcPr>
            <w:tcW w:w="0" w:type="auto"/>
          </w:tcPr>
          <w:p w14:paraId="621BC47C" w14:textId="77777777" w:rsidR="004A6CE0" w:rsidRPr="0035686A" w:rsidRDefault="004A6CE0" w:rsidP="00F53FFC">
            <w:pPr>
              <w:pStyle w:val="TableCopy"/>
              <w:rPr>
                <w:lang w:val="en-AU"/>
              </w:rPr>
            </w:pPr>
            <w:r w:rsidRPr="0035686A">
              <w:rPr>
                <w:lang w:val="en-AU"/>
              </w:rPr>
              <w:t>Program B – Bogong High Plains Road</w:t>
            </w:r>
          </w:p>
        </w:tc>
        <w:tc>
          <w:tcPr>
            <w:tcW w:w="0" w:type="auto"/>
          </w:tcPr>
          <w:p w14:paraId="5E4DAE33" w14:textId="77777777" w:rsidR="004A6CE0" w:rsidRPr="0035686A" w:rsidRDefault="004A6CE0" w:rsidP="00F53FFC">
            <w:pPr>
              <w:pStyle w:val="TableCopy"/>
              <w:rPr>
                <w:lang w:val="en-AU"/>
              </w:rPr>
            </w:pPr>
            <w:r w:rsidRPr="0035686A">
              <w:rPr>
                <w:lang w:val="en-AU"/>
              </w:rPr>
              <w:t>97% minimum local content for the project</w:t>
            </w:r>
          </w:p>
        </w:tc>
        <w:tc>
          <w:tcPr>
            <w:tcW w:w="0" w:type="auto"/>
          </w:tcPr>
          <w:p w14:paraId="6520BC9B" w14:textId="77777777" w:rsidR="004A6CE0" w:rsidRPr="0035686A" w:rsidRDefault="004A6CE0" w:rsidP="00F53FFC">
            <w:pPr>
              <w:pStyle w:val="TableCopy"/>
              <w:rPr>
                <w:lang w:val="en-AU"/>
              </w:rPr>
            </w:pPr>
            <w:r w:rsidRPr="0035686A">
              <w:rPr>
                <w:lang w:val="en-AU"/>
              </w:rPr>
              <w:t>Regional</w:t>
            </w:r>
          </w:p>
        </w:tc>
      </w:tr>
      <w:tr w:rsidR="004A6CE0" w:rsidRPr="0035686A" w14:paraId="1E51966B" w14:textId="77777777" w:rsidTr="00646E39">
        <w:trPr>
          <w:cantSplit/>
          <w:trHeight w:val="300"/>
        </w:trPr>
        <w:tc>
          <w:tcPr>
            <w:tcW w:w="0" w:type="auto"/>
          </w:tcPr>
          <w:p w14:paraId="2C0F10A7" w14:textId="77777777" w:rsidR="004A6CE0" w:rsidRPr="0035686A" w:rsidRDefault="004A6CE0" w:rsidP="00F53FFC">
            <w:pPr>
              <w:pStyle w:val="TableCopy"/>
              <w:rPr>
                <w:lang w:val="en-AU"/>
              </w:rPr>
            </w:pPr>
            <w:r w:rsidRPr="0035686A">
              <w:rPr>
                <w:lang w:val="en-AU"/>
              </w:rPr>
              <w:t>Program D – Bridge Inn Road Upgrade</w:t>
            </w:r>
          </w:p>
        </w:tc>
        <w:tc>
          <w:tcPr>
            <w:tcW w:w="0" w:type="auto"/>
          </w:tcPr>
          <w:p w14:paraId="58FEA7BD" w14:textId="77777777" w:rsidR="004A6CE0" w:rsidRPr="0035686A" w:rsidRDefault="004A6CE0" w:rsidP="00F53FFC">
            <w:pPr>
              <w:pStyle w:val="TableCopy"/>
              <w:rPr>
                <w:lang w:val="en-AU"/>
              </w:rPr>
            </w:pPr>
            <w:r w:rsidRPr="0035686A">
              <w:rPr>
                <w:lang w:val="en-AU"/>
              </w:rPr>
              <w:t>96% minimum local content for the project</w:t>
            </w:r>
          </w:p>
          <w:p w14:paraId="3C75EC08" w14:textId="77777777" w:rsidR="004A6CE0" w:rsidRPr="0035686A" w:rsidRDefault="004A6CE0" w:rsidP="00F53FFC">
            <w:pPr>
              <w:pStyle w:val="TableCopy"/>
              <w:rPr>
                <w:lang w:val="en-AU"/>
              </w:rPr>
            </w:pPr>
            <w:r w:rsidRPr="0035686A">
              <w:rPr>
                <w:lang w:val="en-AU"/>
              </w:rPr>
              <w:t>All consultants including but not limited to designers, engineers and other advisers must preference solutions that maximise the use of local materials, finishes, products, goods and services in construction including fittings, fixtures and equipment wherever possible</w:t>
            </w:r>
          </w:p>
        </w:tc>
        <w:tc>
          <w:tcPr>
            <w:tcW w:w="0" w:type="auto"/>
          </w:tcPr>
          <w:p w14:paraId="12ECB7BD" w14:textId="77777777" w:rsidR="004A6CE0" w:rsidRPr="0035686A" w:rsidRDefault="004A6CE0" w:rsidP="00F53FFC">
            <w:pPr>
              <w:pStyle w:val="TableCopy"/>
              <w:rPr>
                <w:lang w:val="en-AU"/>
              </w:rPr>
            </w:pPr>
            <w:r w:rsidRPr="0035686A">
              <w:rPr>
                <w:lang w:val="en-AU"/>
              </w:rPr>
              <w:t>Metro</w:t>
            </w:r>
          </w:p>
        </w:tc>
      </w:tr>
      <w:tr w:rsidR="004A6CE0" w:rsidRPr="0035686A" w14:paraId="6D7C7204" w14:textId="77777777" w:rsidTr="00646E39">
        <w:trPr>
          <w:cantSplit/>
          <w:trHeight w:val="300"/>
        </w:trPr>
        <w:tc>
          <w:tcPr>
            <w:tcW w:w="0" w:type="auto"/>
          </w:tcPr>
          <w:p w14:paraId="3B0448A9" w14:textId="77777777" w:rsidR="004A6CE0" w:rsidRPr="0035686A" w:rsidRDefault="004A6CE0" w:rsidP="00F53FFC">
            <w:pPr>
              <w:pStyle w:val="TableCopy"/>
              <w:rPr>
                <w:lang w:val="en-AU"/>
              </w:rPr>
            </w:pPr>
            <w:r w:rsidRPr="0035686A">
              <w:rPr>
                <w:lang w:val="en-AU"/>
              </w:rPr>
              <w:t xml:space="preserve">Program D – Mickleham Road Upgrade Stage 1 </w:t>
            </w:r>
          </w:p>
          <w:p w14:paraId="2E64414E" w14:textId="77777777" w:rsidR="004A6CE0" w:rsidRPr="0035686A" w:rsidRDefault="004A6CE0" w:rsidP="00F53FFC">
            <w:pPr>
              <w:pStyle w:val="TableCopy"/>
              <w:rPr>
                <w:lang w:val="en-AU"/>
              </w:rPr>
            </w:pPr>
            <w:r w:rsidRPr="0035686A">
              <w:rPr>
                <w:lang w:val="en-AU"/>
              </w:rPr>
              <w:t>– Main Project</w:t>
            </w:r>
          </w:p>
        </w:tc>
        <w:tc>
          <w:tcPr>
            <w:tcW w:w="0" w:type="auto"/>
          </w:tcPr>
          <w:p w14:paraId="572A12DE" w14:textId="77777777" w:rsidR="004A6CE0" w:rsidRPr="0035686A" w:rsidRDefault="004A6CE0" w:rsidP="00F53FFC">
            <w:pPr>
              <w:pStyle w:val="TableCopy"/>
              <w:rPr>
                <w:lang w:val="en-AU"/>
              </w:rPr>
            </w:pPr>
            <w:r w:rsidRPr="0035686A">
              <w:rPr>
                <w:lang w:val="en-AU"/>
              </w:rPr>
              <w:t>97% minimum local content for the project</w:t>
            </w:r>
          </w:p>
          <w:p w14:paraId="0422BE12" w14:textId="77777777" w:rsidR="004A6CE0" w:rsidRPr="0035686A" w:rsidRDefault="004A6CE0" w:rsidP="00F53FFC">
            <w:pPr>
              <w:pStyle w:val="TableCopy"/>
              <w:rPr>
                <w:lang w:val="en-AU"/>
              </w:rPr>
            </w:pPr>
            <w:r w:rsidRPr="0035686A">
              <w:rPr>
                <w:lang w:val="en-AU"/>
              </w:rPr>
              <w:t>80% for early works (utilities protection and relocation work comprising of communications, electrical, gas, hydraulic, cabling, pipework, pits and enclosures)</w:t>
            </w:r>
          </w:p>
          <w:p w14:paraId="43E26FD6" w14:textId="77777777" w:rsidR="004A6CE0" w:rsidRPr="0035686A" w:rsidRDefault="004A6CE0" w:rsidP="00F53FFC">
            <w:pPr>
              <w:pStyle w:val="TableCopy"/>
              <w:rPr>
                <w:lang w:val="en-AU"/>
              </w:rPr>
            </w:pPr>
            <w:r w:rsidRPr="0035686A">
              <w:rPr>
                <w:lang w:val="en-AU"/>
              </w:rPr>
              <w:t>All consultants including but not limited to architects, planners, designers, engineers and other advisers must preference solutions that maximise the use of local materials, finishes, products, goods and services in construction</w:t>
            </w:r>
          </w:p>
          <w:p w14:paraId="60E94087" w14:textId="77777777" w:rsidR="004A6CE0" w:rsidRPr="0035686A" w:rsidRDefault="004A6CE0" w:rsidP="00F53FFC">
            <w:pPr>
              <w:pStyle w:val="TableCopy"/>
              <w:rPr>
                <w:lang w:val="en-AU"/>
              </w:rPr>
            </w:pPr>
            <w:r w:rsidRPr="0035686A">
              <w:rPr>
                <w:lang w:val="en-AU"/>
              </w:rPr>
              <w:t>VIDA Roads must advise the DJSIR and the ICN Victoria of any proposed diversion from the local content of a work package or any item listed in the successful supplier’s approved LIDP</w:t>
            </w:r>
          </w:p>
        </w:tc>
        <w:tc>
          <w:tcPr>
            <w:tcW w:w="0" w:type="auto"/>
          </w:tcPr>
          <w:p w14:paraId="6F5D6870" w14:textId="77777777" w:rsidR="004A6CE0" w:rsidRPr="0035686A" w:rsidRDefault="004A6CE0" w:rsidP="00F53FFC">
            <w:pPr>
              <w:pStyle w:val="TableCopy"/>
              <w:rPr>
                <w:lang w:val="en-AU"/>
              </w:rPr>
            </w:pPr>
            <w:r w:rsidRPr="0035686A">
              <w:rPr>
                <w:lang w:val="en-AU"/>
              </w:rPr>
              <w:t>Metro</w:t>
            </w:r>
          </w:p>
        </w:tc>
      </w:tr>
      <w:tr w:rsidR="004A6CE0" w:rsidRPr="0035686A" w14:paraId="568A72E8" w14:textId="77777777" w:rsidTr="00646E39">
        <w:trPr>
          <w:cantSplit/>
          <w:trHeight w:val="300"/>
        </w:trPr>
        <w:tc>
          <w:tcPr>
            <w:tcW w:w="0" w:type="auto"/>
          </w:tcPr>
          <w:p w14:paraId="5A2F01DB" w14:textId="77777777" w:rsidR="004A6CE0" w:rsidRPr="0035686A" w:rsidRDefault="004A6CE0" w:rsidP="00F53FFC">
            <w:pPr>
              <w:pStyle w:val="TableCopy"/>
              <w:rPr>
                <w:lang w:val="en-AU"/>
              </w:rPr>
            </w:pPr>
            <w:r w:rsidRPr="0035686A">
              <w:rPr>
                <w:lang w:val="en-AU"/>
              </w:rPr>
              <w:lastRenderedPageBreak/>
              <w:t>Provision of Landfill Services</w:t>
            </w:r>
          </w:p>
        </w:tc>
        <w:tc>
          <w:tcPr>
            <w:tcW w:w="0" w:type="auto"/>
          </w:tcPr>
          <w:p w14:paraId="586718E1" w14:textId="77777777" w:rsidR="004A6CE0" w:rsidRPr="0035686A" w:rsidRDefault="004A6CE0" w:rsidP="00F53FFC">
            <w:pPr>
              <w:pStyle w:val="TableCopy"/>
              <w:rPr>
                <w:lang w:val="en-AU"/>
              </w:rPr>
            </w:pPr>
            <w:r w:rsidRPr="0035686A">
              <w:rPr>
                <w:lang w:val="en-AU"/>
              </w:rPr>
              <w:t>97% minimum local content for the project</w:t>
            </w:r>
          </w:p>
        </w:tc>
        <w:tc>
          <w:tcPr>
            <w:tcW w:w="0" w:type="auto"/>
          </w:tcPr>
          <w:p w14:paraId="06326647" w14:textId="77777777" w:rsidR="004A6CE0" w:rsidRPr="0035686A" w:rsidRDefault="004A6CE0" w:rsidP="00F53FFC">
            <w:pPr>
              <w:pStyle w:val="TableCopy"/>
              <w:rPr>
                <w:lang w:val="en-AU"/>
              </w:rPr>
            </w:pPr>
            <w:r w:rsidRPr="0035686A">
              <w:rPr>
                <w:lang w:val="en-AU"/>
              </w:rPr>
              <w:t>Metro</w:t>
            </w:r>
          </w:p>
        </w:tc>
      </w:tr>
      <w:tr w:rsidR="004A6CE0" w:rsidRPr="0035686A" w14:paraId="0291EBE6" w14:textId="77777777" w:rsidTr="00646E39">
        <w:trPr>
          <w:cantSplit/>
          <w:trHeight w:val="300"/>
        </w:trPr>
        <w:tc>
          <w:tcPr>
            <w:tcW w:w="0" w:type="auto"/>
          </w:tcPr>
          <w:p w14:paraId="18670234" w14:textId="77777777" w:rsidR="004A6CE0" w:rsidRPr="0035686A" w:rsidRDefault="004A6CE0" w:rsidP="00F53FFC">
            <w:pPr>
              <w:pStyle w:val="TableCopy"/>
              <w:rPr>
                <w:lang w:val="en-AU"/>
              </w:rPr>
            </w:pPr>
            <w:r w:rsidRPr="0035686A">
              <w:rPr>
                <w:lang w:val="en-AU"/>
              </w:rPr>
              <w:t>Shepparton Corridor Upgrade Stage 3</w:t>
            </w:r>
          </w:p>
        </w:tc>
        <w:tc>
          <w:tcPr>
            <w:tcW w:w="0" w:type="auto"/>
          </w:tcPr>
          <w:p w14:paraId="42CC4927" w14:textId="77777777" w:rsidR="004A6CE0" w:rsidRPr="0035686A" w:rsidRDefault="004A6CE0" w:rsidP="00F53FFC">
            <w:pPr>
              <w:pStyle w:val="TableCopy"/>
              <w:rPr>
                <w:lang w:val="en-AU"/>
              </w:rPr>
            </w:pPr>
            <w:r w:rsidRPr="0035686A">
              <w:rPr>
                <w:lang w:val="en-AU"/>
              </w:rPr>
              <w:t>97% minimum local content for the project</w:t>
            </w:r>
          </w:p>
          <w:p w14:paraId="321F22DA" w14:textId="77777777" w:rsidR="004A6CE0" w:rsidRPr="0035686A" w:rsidRDefault="004A6CE0" w:rsidP="00F53FFC">
            <w:pPr>
              <w:pStyle w:val="TableCopy"/>
              <w:rPr>
                <w:lang w:val="en-AU"/>
              </w:rPr>
            </w:pPr>
            <w:r w:rsidRPr="0035686A">
              <w:rPr>
                <w:lang w:val="en-AU"/>
              </w:rPr>
              <w:t>69% for signalling</w:t>
            </w:r>
          </w:p>
          <w:p w14:paraId="6F88DC2F" w14:textId="77777777" w:rsidR="004A6CE0" w:rsidRPr="0035686A" w:rsidRDefault="004A6CE0" w:rsidP="00F53FFC">
            <w:pPr>
              <w:pStyle w:val="TableCopy"/>
              <w:rPr>
                <w:lang w:val="en-AU"/>
              </w:rPr>
            </w:pPr>
            <w:r w:rsidRPr="0035686A">
              <w:rPr>
                <w:lang w:val="en-AU"/>
              </w:rPr>
              <w:t>Maximise local steel</w:t>
            </w:r>
          </w:p>
          <w:p w14:paraId="7073F2DA" w14:textId="77777777" w:rsidR="004A6CE0" w:rsidRPr="0035686A" w:rsidRDefault="004A6CE0" w:rsidP="00F53FFC">
            <w:pPr>
              <w:pStyle w:val="TableCopy"/>
              <w:rPr>
                <w:lang w:val="en-AU"/>
              </w:rPr>
            </w:pPr>
            <w:r w:rsidRPr="0035686A">
              <w:rPr>
                <w:lang w:val="en-AU"/>
              </w:rPr>
              <w:t>All consultants, including but not limited to architects, designers, engineers and other advisers must preference solutions that maximise the use of local materials, finishes, products, goods and services in construction including fittings, fixtures and equipment wherever possible</w:t>
            </w:r>
          </w:p>
          <w:p w14:paraId="2B389819" w14:textId="77777777" w:rsidR="004A6CE0" w:rsidRPr="0035686A" w:rsidRDefault="004A6CE0" w:rsidP="00F53FFC">
            <w:pPr>
              <w:pStyle w:val="TableCopy"/>
              <w:rPr>
                <w:lang w:val="en-AU"/>
              </w:rPr>
            </w:pPr>
            <w:r w:rsidRPr="0035686A">
              <w:rPr>
                <w:lang w:val="en-AU"/>
              </w:rPr>
              <w:t>Rail Projects Victoria must advise the DJSIR and the ICN Victoria of any proposed significant diversion from the local content of a steel package or item listed in the successful supplier’s approved LIDP</w:t>
            </w:r>
          </w:p>
        </w:tc>
        <w:tc>
          <w:tcPr>
            <w:tcW w:w="0" w:type="auto"/>
          </w:tcPr>
          <w:p w14:paraId="352FB726" w14:textId="77777777" w:rsidR="004A6CE0" w:rsidRPr="0035686A" w:rsidRDefault="004A6CE0" w:rsidP="00F53FFC">
            <w:pPr>
              <w:pStyle w:val="TableCopy"/>
              <w:rPr>
                <w:lang w:val="en-AU"/>
              </w:rPr>
            </w:pPr>
            <w:r w:rsidRPr="0035686A">
              <w:rPr>
                <w:lang w:val="en-AU"/>
              </w:rPr>
              <w:t>Regional</w:t>
            </w:r>
          </w:p>
        </w:tc>
      </w:tr>
      <w:tr w:rsidR="004A6CE0" w:rsidRPr="0035686A" w14:paraId="3D92D4F1" w14:textId="77777777" w:rsidTr="00646E39">
        <w:trPr>
          <w:cantSplit/>
          <w:trHeight w:val="300"/>
        </w:trPr>
        <w:tc>
          <w:tcPr>
            <w:tcW w:w="0" w:type="auto"/>
          </w:tcPr>
          <w:p w14:paraId="331387C9" w14:textId="77777777" w:rsidR="004A6CE0" w:rsidRPr="0035686A" w:rsidRDefault="004A6CE0" w:rsidP="00F53FFC">
            <w:pPr>
              <w:pStyle w:val="TableCopy"/>
              <w:rPr>
                <w:lang w:val="en-AU"/>
              </w:rPr>
            </w:pPr>
            <w:r w:rsidRPr="0035686A">
              <w:rPr>
                <w:lang w:val="en-AU"/>
              </w:rPr>
              <w:t>Victorian Melanoma &amp; Clinical Trials Centre</w:t>
            </w:r>
          </w:p>
        </w:tc>
        <w:tc>
          <w:tcPr>
            <w:tcW w:w="0" w:type="auto"/>
          </w:tcPr>
          <w:p w14:paraId="0F4CEA77" w14:textId="77777777" w:rsidR="004A6CE0" w:rsidRPr="0035686A" w:rsidRDefault="004A6CE0" w:rsidP="00F53FFC">
            <w:pPr>
              <w:pStyle w:val="TableCopy"/>
              <w:rPr>
                <w:lang w:val="en-AU"/>
              </w:rPr>
            </w:pPr>
            <w:r w:rsidRPr="0035686A">
              <w:rPr>
                <w:lang w:val="en-AU"/>
              </w:rPr>
              <w:t>90% for construction works</w:t>
            </w:r>
          </w:p>
          <w:p w14:paraId="14CB8371" w14:textId="77777777" w:rsidR="004A6CE0" w:rsidRPr="0035686A" w:rsidRDefault="004A6CE0" w:rsidP="00F53FFC">
            <w:pPr>
              <w:pStyle w:val="TableCopy"/>
              <w:rPr>
                <w:lang w:val="en-AU"/>
              </w:rPr>
            </w:pPr>
            <w:r w:rsidRPr="0035686A">
              <w:rPr>
                <w:lang w:val="en-AU"/>
              </w:rPr>
              <w:t>85% for fitments, fixtures and equipment</w:t>
            </w:r>
          </w:p>
          <w:p w14:paraId="5E7E3FF8" w14:textId="77777777" w:rsidR="004A6CE0" w:rsidRPr="0035686A" w:rsidRDefault="004A6CE0" w:rsidP="00F53FFC">
            <w:pPr>
              <w:pStyle w:val="TableCopy"/>
              <w:rPr>
                <w:lang w:val="en-AU"/>
              </w:rPr>
            </w:pPr>
            <w:r w:rsidRPr="0035686A">
              <w:rPr>
                <w:lang w:val="en-AU"/>
              </w:rPr>
              <w:t>92% for finishes</w:t>
            </w:r>
          </w:p>
          <w:p w14:paraId="2C68F698" w14:textId="77777777" w:rsidR="004A6CE0" w:rsidRPr="0035686A" w:rsidRDefault="004A6CE0" w:rsidP="00F53FFC">
            <w:pPr>
              <w:pStyle w:val="TableCopy"/>
              <w:rPr>
                <w:lang w:val="en-AU"/>
              </w:rPr>
            </w:pPr>
            <w:r w:rsidRPr="0035686A">
              <w:rPr>
                <w:lang w:val="en-AU"/>
              </w:rPr>
              <w:t>96% for design package and early works</w:t>
            </w:r>
          </w:p>
          <w:p w14:paraId="51C8F577" w14:textId="77777777" w:rsidR="004A6CE0" w:rsidRPr="0035686A" w:rsidRDefault="004A6CE0" w:rsidP="00F53FFC">
            <w:pPr>
              <w:pStyle w:val="TableCopy"/>
              <w:rPr>
                <w:lang w:val="en-AU"/>
              </w:rPr>
            </w:pPr>
            <w:r w:rsidRPr="0035686A">
              <w:rPr>
                <w:lang w:val="en-AU"/>
              </w:rPr>
              <w:t>All consultants, including but not limited to architects, designers, engineers and other advisers must preference solutions that maximise the use of local materials, finishes, products, goods and services in construction including fittings, fixtures and equipment wherever possible</w:t>
            </w:r>
          </w:p>
          <w:p w14:paraId="257DC4AD" w14:textId="77777777" w:rsidR="004A6CE0" w:rsidRPr="0035686A" w:rsidRDefault="004A6CE0" w:rsidP="00F53FFC">
            <w:pPr>
              <w:pStyle w:val="TableCopy"/>
              <w:rPr>
                <w:lang w:val="en-AU"/>
              </w:rPr>
            </w:pPr>
            <w:r w:rsidRPr="0035686A">
              <w:rPr>
                <w:lang w:val="en-AU"/>
              </w:rPr>
              <w:t>The respondent must consult with the Australian MedTech Manufacturing Centre to identify opportunities for local businesses to supply the hospital</w:t>
            </w:r>
          </w:p>
        </w:tc>
        <w:tc>
          <w:tcPr>
            <w:tcW w:w="0" w:type="auto"/>
          </w:tcPr>
          <w:p w14:paraId="64EEF0A5" w14:textId="77777777" w:rsidR="004A6CE0" w:rsidRPr="0035686A" w:rsidRDefault="004A6CE0" w:rsidP="00F53FFC">
            <w:pPr>
              <w:pStyle w:val="TableCopy"/>
              <w:rPr>
                <w:lang w:val="en-AU"/>
              </w:rPr>
            </w:pPr>
            <w:r w:rsidRPr="0035686A">
              <w:rPr>
                <w:lang w:val="en-AU"/>
              </w:rPr>
              <w:t>Metro</w:t>
            </w:r>
          </w:p>
        </w:tc>
      </w:tr>
      <w:tr w:rsidR="004A6CE0" w:rsidRPr="0035686A" w14:paraId="1EB28A3A" w14:textId="77777777" w:rsidTr="00646E39">
        <w:trPr>
          <w:cantSplit/>
          <w:trHeight w:val="300"/>
        </w:trPr>
        <w:tc>
          <w:tcPr>
            <w:tcW w:w="0" w:type="auto"/>
          </w:tcPr>
          <w:p w14:paraId="44FFE3B6" w14:textId="77777777" w:rsidR="004A6CE0" w:rsidRPr="0035686A" w:rsidRDefault="004A6CE0" w:rsidP="00F53FFC">
            <w:pPr>
              <w:pStyle w:val="TableCopy"/>
              <w:rPr>
                <w:lang w:val="en-AU"/>
              </w:rPr>
            </w:pPr>
            <w:proofErr w:type="spellStart"/>
            <w:r w:rsidRPr="0035686A">
              <w:rPr>
                <w:lang w:val="en-AU"/>
              </w:rPr>
              <w:lastRenderedPageBreak/>
              <w:t>Waurn</w:t>
            </w:r>
            <w:proofErr w:type="spellEnd"/>
            <w:r w:rsidRPr="0035686A">
              <w:rPr>
                <w:lang w:val="en-AU"/>
              </w:rPr>
              <w:t xml:space="preserve"> Ponds Duplication Stage 2</w:t>
            </w:r>
          </w:p>
        </w:tc>
        <w:tc>
          <w:tcPr>
            <w:tcW w:w="0" w:type="auto"/>
          </w:tcPr>
          <w:p w14:paraId="27CFA5DE" w14:textId="77777777" w:rsidR="004A6CE0" w:rsidRPr="0035686A" w:rsidRDefault="004A6CE0" w:rsidP="00F53FFC">
            <w:pPr>
              <w:pStyle w:val="TableCopy"/>
              <w:rPr>
                <w:lang w:val="en-AU"/>
              </w:rPr>
            </w:pPr>
            <w:r w:rsidRPr="0035686A">
              <w:rPr>
                <w:lang w:val="en-AU"/>
              </w:rPr>
              <w:t>97% minimum local content for the project</w:t>
            </w:r>
          </w:p>
          <w:p w14:paraId="641B0CF0" w14:textId="77777777" w:rsidR="004A6CE0" w:rsidRPr="0035686A" w:rsidRDefault="004A6CE0" w:rsidP="00F53FFC">
            <w:pPr>
              <w:pStyle w:val="TableCopy"/>
              <w:rPr>
                <w:lang w:val="en-AU"/>
              </w:rPr>
            </w:pPr>
            <w:r w:rsidRPr="0035686A">
              <w:rPr>
                <w:lang w:val="en-AU"/>
              </w:rPr>
              <w:t>69% for signalling</w:t>
            </w:r>
          </w:p>
          <w:p w14:paraId="7CCC447A" w14:textId="77777777" w:rsidR="004A6CE0" w:rsidRPr="0035686A" w:rsidRDefault="004A6CE0" w:rsidP="00F53FFC">
            <w:pPr>
              <w:pStyle w:val="TableCopy"/>
              <w:rPr>
                <w:lang w:val="en-AU"/>
              </w:rPr>
            </w:pPr>
            <w:r w:rsidRPr="0035686A">
              <w:rPr>
                <w:lang w:val="en-AU"/>
              </w:rPr>
              <w:t>All consultants, including but not limited to architects, designers, engineers and other advisers must preference solutions that maximise the use of local materials, finishes, products, goods and services in construction including fittings, fixtures and equipment wherever possible</w:t>
            </w:r>
          </w:p>
        </w:tc>
        <w:tc>
          <w:tcPr>
            <w:tcW w:w="0" w:type="auto"/>
          </w:tcPr>
          <w:p w14:paraId="436BEEBC" w14:textId="77777777" w:rsidR="004A6CE0" w:rsidRPr="0035686A" w:rsidRDefault="004A6CE0" w:rsidP="00F53FFC">
            <w:pPr>
              <w:pStyle w:val="TableCopy"/>
              <w:rPr>
                <w:lang w:val="en-AU"/>
              </w:rPr>
            </w:pPr>
            <w:r w:rsidRPr="0035686A">
              <w:rPr>
                <w:lang w:val="en-AU"/>
              </w:rPr>
              <w:t>Regional</w:t>
            </w:r>
          </w:p>
        </w:tc>
      </w:tr>
      <w:tr w:rsidR="004A6CE0" w:rsidRPr="0035686A" w14:paraId="49A5B7D1" w14:textId="77777777" w:rsidTr="00646E39">
        <w:trPr>
          <w:cantSplit/>
          <w:trHeight w:val="300"/>
        </w:trPr>
        <w:tc>
          <w:tcPr>
            <w:tcW w:w="0" w:type="auto"/>
          </w:tcPr>
          <w:p w14:paraId="426D8413" w14:textId="77777777" w:rsidR="004A6CE0" w:rsidRPr="0035686A" w:rsidRDefault="004A6CE0" w:rsidP="00F53FFC">
            <w:pPr>
              <w:pStyle w:val="TableCopy"/>
              <w:rPr>
                <w:lang w:val="en-AU"/>
              </w:rPr>
            </w:pPr>
            <w:r w:rsidRPr="0035686A">
              <w:rPr>
                <w:lang w:val="en-AU"/>
              </w:rPr>
              <w:t xml:space="preserve">Level Crossing Removal Project – Webb Street </w:t>
            </w:r>
          </w:p>
        </w:tc>
        <w:tc>
          <w:tcPr>
            <w:tcW w:w="0" w:type="auto"/>
          </w:tcPr>
          <w:p w14:paraId="7E709ECC" w14:textId="77777777" w:rsidR="004A6CE0" w:rsidRPr="0035686A" w:rsidRDefault="004A6CE0" w:rsidP="00F53FFC">
            <w:pPr>
              <w:pStyle w:val="TableCopy"/>
              <w:rPr>
                <w:lang w:val="en-AU"/>
              </w:rPr>
            </w:pPr>
            <w:r w:rsidRPr="0035686A">
              <w:rPr>
                <w:lang w:val="en-AU"/>
              </w:rPr>
              <w:t>92% minimum local content for the project</w:t>
            </w:r>
          </w:p>
          <w:p w14:paraId="4188E667" w14:textId="77777777" w:rsidR="004A6CE0" w:rsidRPr="0035686A" w:rsidRDefault="004A6CE0" w:rsidP="00F53FFC">
            <w:pPr>
              <w:pStyle w:val="TableCopy"/>
              <w:rPr>
                <w:lang w:val="en-AU"/>
              </w:rPr>
            </w:pPr>
            <w:r w:rsidRPr="0035686A">
              <w:rPr>
                <w:lang w:val="en-AU"/>
              </w:rPr>
              <w:t>100% local steel</w:t>
            </w:r>
          </w:p>
        </w:tc>
        <w:tc>
          <w:tcPr>
            <w:tcW w:w="0" w:type="auto"/>
          </w:tcPr>
          <w:p w14:paraId="3BFBE5A5" w14:textId="77777777" w:rsidR="004A6CE0" w:rsidRPr="0035686A" w:rsidRDefault="004A6CE0" w:rsidP="00F53FFC">
            <w:pPr>
              <w:pStyle w:val="TableCopy"/>
              <w:rPr>
                <w:lang w:val="en-AU"/>
              </w:rPr>
            </w:pPr>
            <w:r w:rsidRPr="0035686A">
              <w:rPr>
                <w:lang w:val="en-AU"/>
              </w:rPr>
              <w:t>Metro</w:t>
            </w:r>
          </w:p>
        </w:tc>
      </w:tr>
      <w:tr w:rsidR="004A6CE0" w:rsidRPr="0035686A" w14:paraId="4814FB42" w14:textId="77777777" w:rsidTr="00646E39">
        <w:trPr>
          <w:cantSplit/>
          <w:trHeight w:val="300"/>
        </w:trPr>
        <w:tc>
          <w:tcPr>
            <w:tcW w:w="0" w:type="auto"/>
          </w:tcPr>
          <w:p w14:paraId="7589B4B3" w14:textId="77777777" w:rsidR="004A6CE0" w:rsidRPr="0035686A" w:rsidRDefault="004A6CE0" w:rsidP="00F53FFC">
            <w:pPr>
              <w:pStyle w:val="TableCopy"/>
              <w:rPr>
                <w:lang w:val="en-AU"/>
              </w:rPr>
            </w:pPr>
            <w:r w:rsidRPr="0035686A">
              <w:rPr>
                <w:lang w:val="en-AU"/>
              </w:rPr>
              <w:t>Werribee Open Range Zoo Expansion</w:t>
            </w:r>
          </w:p>
        </w:tc>
        <w:tc>
          <w:tcPr>
            <w:tcW w:w="0" w:type="auto"/>
          </w:tcPr>
          <w:p w14:paraId="3EE626D2" w14:textId="77777777" w:rsidR="004A6CE0" w:rsidRPr="0035686A" w:rsidRDefault="004A6CE0" w:rsidP="00F53FFC">
            <w:pPr>
              <w:pStyle w:val="TableCopy"/>
              <w:rPr>
                <w:lang w:val="en-AU"/>
              </w:rPr>
            </w:pPr>
            <w:r w:rsidRPr="0035686A">
              <w:rPr>
                <w:lang w:val="en-AU"/>
              </w:rPr>
              <w:t>91% for construction</w:t>
            </w:r>
          </w:p>
          <w:p w14:paraId="1E6C206E" w14:textId="77777777" w:rsidR="004A6CE0" w:rsidRPr="0035686A" w:rsidRDefault="004A6CE0" w:rsidP="00F53FFC">
            <w:pPr>
              <w:pStyle w:val="TableCopy"/>
              <w:rPr>
                <w:lang w:val="en-AU"/>
              </w:rPr>
            </w:pPr>
            <w:r w:rsidRPr="0035686A">
              <w:rPr>
                <w:lang w:val="en-AU"/>
              </w:rPr>
              <w:t>83% furniture, fixtures and equipment</w:t>
            </w:r>
          </w:p>
          <w:p w14:paraId="3524E325" w14:textId="77777777" w:rsidR="004A6CE0" w:rsidRPr="0035686A" w:rsidRDefault="004A6CE0" w:rsidP="00F53FFC">
            <w:pPr>
              <w:pStyle w:val="TableCopy"/>
              <w:rPr>
                <w:lang w:val="en-AU"/>
              </w:rPr>
            </w:pPr>
            <w:r w:rsidRPr="0035686A">
              <w:rPr>
                <w:lang w:val="en-AU"/>
              </w:rPr>
              <w:t>30% for the Sky Safari Gondola equipment</w:t>
            </w:r>
          </w:p>
          <w:p w14:paraId="632ACB58" w14:textId="77777777" w:rsidR="004A6CE0" w:rsidRPr="0035686A" w:rsidRDefault="004A6CE0" w:rsidP="00F53FFC">
            <w:pPr>
              <w:pStyle w:val="TableCopy"/>
              <w:rPr>
                <w:lang w:val="en-AU"/>
              </w:rPr>
            </w:pPr>
            <w:r w:rsidRPr="0035686A">
              <w:rPr>
                <w:lang w:val="en-AU"/>
              </w:rPr>
              <w:t>All consultants including but not limited to architects, designers, engineers, and other advisers must preference solutions that maximise the use of local materials, finishes, products, goods and services in construction including fittings, fixtures and equipment wherever possible</w:t>
            </w:r>
          </w:p>
          <w:p w14:paraId="7BC7E50D" w14:textId="77777777" w:rsidR="004A6CE0" w:rsidRPr="0035686A" w:rsidRDefault="004A6CE0" w:rsidP="00F53FFC">
            <w:pPr>
              <w:pStyle w:val="TableCopy"/>
              <w:rPr>
                <w:lang w:val="en-AU"/>
              </w:rPr>
            </w:pPr>
            <w:r w:rsidRPr="0035686A">
              <w:rPr>
                <w:lang w:val="en-AU"/>
              </w:rPr>
              <w:t>Development Victoria must advise the DJSIR and the ICN Victoria of any proposed significant diversion from the local content of a steel package or any item listed in the successful supplier’s approved LIDP</w:t>
            </w:r>
          </w:p>
        </w:tc>
        <w:tc>
          <w:tcPr>
            <w:tcW w:w="0" w:type="auto"/>
          </w:tcPr>
          <w:p w14:paraId="3EAB2E1E" w14:textId="77777777" w:rsidR="004A6CE0" w:rsidRPr="0035686A" w:rsidRDefault="004A6CE0" w:rsidP="00F53FFC">
            <w:pPr>
              <w:pStyle w:val="TableCopy"/>
              <w:rPr>
                <w:lang w:val="en-AU"/>
              </w:rPr>
            </w:pPr>
            <w:r w:rsidRPr="0035686A">
              <w:rPr>
                <w:lang w:val="en-AU"/>
              </w:rPr>
              <w:t>Metro</w:t>
            </w:r>
          </w:p>
        </w:tc>
      </w:tr>
      <w:tr w:rsidR="004A6CE0" w:rsidRPr="0035686A" w14:paraId="2538A610" w14:textId="77777777" w:rsidTr="00646E39">
        <w:trPr>
          <w:cantSplit/>
          <w:trHeight w:val="300"/>
        </w:trPr>
        <w:tc>
          <w:tcPr>
            <w:tcW w:w="0" w:type="auto"/>
          </w:tcPr>
          <w:p w14:paraId="67F7DBF4" w14:textId="77777777" w:rsidR="004A6CE0" w:rsidRPr="0035686A" w:rsidRDefault="004A6CE0" w:rsidP="00F53FFC">
            <w:pPr>
              <w:pStyle w:val="TableCopy"/>
              <w:rPr>
                <w:lang w:val="en-AU"/>
              </w:rPr>
            </w:pPr>
            <w:r w:rsidRPr="0035686A">
              <w:rPr>
                <w:lang w:val="en-AU"/>
              </w:rPr>
              <w:t xml:space="preserve">Wonthaggi Hospital Expansion </w:t>
            </w:r>
          </w:p>
        </w:tc>
        <w:tc>
          <w:tcPr>
            <w:tcW w:w="0" w:type="auto"/>
          </w:tcPr>
          <w:p w14:paraId="2ABE1CB3" w14:textId="77777777" w:rsidR="004A6CE0" w:rsidRPr="0035686A" w:rsidRDefault="004A6CE0" w:rsidP="00F53FFC">
            <w:pPr>
              <w:pStyle w:val="TableCopy"/>
              <w:rPr>
                <w:lang w:val="en-AU"/>
              </w:rPr>
            </w:pPr>
            <w:r w:rsidRPr="0035686A">
              <w:rPr>
                <w:lang w:val="en-AU"/>
              </w:rPr>
              <w:t>90% minimum local content for the project</w:t>
            </w:r>
          </w:p>
        </w:tc>
        <w:tc>
          <w:tcPr>
            <w:tcW w:w="0" w:type="auto"/>
          </w:tcPr>
          <w:p w14:paraId="5A5FB892" w14:textId="77777777" w:rsidR="004A6CE0" w:rsidRPr="0035686A" w:rsidRDefault="004A6CE0" w:rsidP="00F53FFC">
            <w:pPr>
              <w:pStyle w:val="TableCopy"/>
              <w:rPr>
                <w:lang w:val="en-AU"/>
              </w:rPr>
            </w:pPr>
            <w:r w:rsidRPr="0035686A">
              <w:rPr>
                <w:lang w:val="en-AU"/>
              </w:rPr>
              <w:t>Regional</w:t>
            </w:r>
          </w:p>
        </w:tc>
      </w:tr>
    </w:tbl>
    <w:p w14:paraId="2DEE37D1" w14:textId="77777777" w:rsidR="003723EF" w:rsidRPr="0035686A" w:rsidRDefault="003723EF" w:rsidP="00646E39"/>
    <w:sectPr w:rsidR="003723EF" w:rsidRPr="0035686A" w:rsidSect="001C685F">
      <w:headerReference w:type="even" r:id="rId20"/>
      <w:footerReference w:type="even" r:id="rId21"/>
      <w:headerReference w:type="first" r:id="rId22"/>
      <w:footerReference w:type="first" r:id="rId23"/>
      <w:pgSz w:w="11906" w:h="16838" w:code="9"/>
      <w:pgMar w:top="1134" w:right="1134" w:bottom="1134" w:left="1134"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293C" w14:textId="77777777" w:rsidR="001E1558" w:rsidRDefault="001E1558" w:rsidP="00825B0F">
      <w:pPr>
        <w:spacing w:after="0" w:line="240" w:lineRule="auto"/>
      </w:pPr>
      <w:r>
        <w:separator/>
      </w:r>
    </w:p>
  </w:endnote>
  <w:endnote w:type="continuationSeparator" w:id="0">
    <w:p w14:paraId="3C928185" w14:textId="77777777" w:rsidR="001E1558" w:rsidRDefault="001E1558" w:rsidP="0082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VIC Light">
    <w:panose1 w:val="00000400000000000000"/>
    <w:charset w:val="4D"/>
    <w:family w:val="auto"/>
    <w:notTrueType/>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VIC SemiBold">
    <w:panose1 w:val="00000700000000000000"/>
    <w:charset w:val="4D"/>
    <w:family w:val="auto"/>
    <w:pitch w:val="variable"/>
    <w:sig w:usb0="00000007" w:usb1="00000000" w:usb2="00000000" w:usb3="00000000" w:csb0="00000093" w:csb1="00000000"/>
  </w:font>
  <w:font w:name="VIC Light Italic">
    <w:panose1 w:val="000004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BB50" w14:textId="1C27EFA0" w:rsidR="00825B0F" w:rsidRDefault="00825B0F">
    <w:pPr>
      <w:pStyle w:val="Footer"/>
    </w:pPr>
    <w:r>
      <w:rPr>
        <w:noProof/>
      </w:rPr>
      <mc:AlternateContent>
        <mc:Choice Requires="wps">
          <w:drawing>
            <wp:anchor distT="0" distB="0" distL="0" distR="0" simplePos="0" relativeHeight="251662336" behindDoc="0" locked="0" layoutInCell="1" allowOverlap="1" wp14:anchorId="43209A60" wp14:editId="5D79D21D">
              <wp:simplePos x="635" y="635"/>
              <wp:positionH relativeFrom="column">
                <wp:align>center</wp:align>
              </wp:positionH>
              <wp:positionV relativeFrom="paragraph">
                <wp:posOffset>635</wp:posOffset>
              </wp:positionV>
              <wp:extent cx="443865" cy="443865"/>
              <wp:effectExtent l="0" t="0" r="18415" b="1905"/>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1D45C" w14:textId="39FCA95C" w:rsidR="00825B0F" w:rsidRPr="00825B0F" w:rsidRDefault="00825B0F">
                          <w:pPr>
                            <w:rPr>
                              <w:rFonts w:eastAsia="Arial"/>
                              <w:color w:val="000000"/>
                              <w:szCs w:val="24"/>
                            </w:rPr>
                          </w:pPr>
                          <w:r w:rsidRPr="00825B0F">
                            <w:rPr>
                              <w:rFonts w:eastAsia="Arial"/>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209A60"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FC1D45C" w14:textId="39FCA95C" w:rsidR="00825B0F" w:rsidRPr="00825B0F" w:rsidRDefault="00825B0F">
                    <w:pPr>
                      <w:rPr>
                        <w:rFonts w:eastAsia="Arial"/>
                        <w:color w:val="000000"/>
                        <w:szCs w:val="24"/>
                      </w:rPr>
                    </w:pPr>
                    <w:r w:rsidRPr="00825B0F">
                      <w:rPr>
                        <w:rFonts w:eastAsia="Arial"/>
                        <w:color w:val="000000"/>
                        <w:szCs w:val="24"/>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C345" w14:textId="5E1E5113" w:rsidR="00825B0F" w:rsidRDefault="00825B0F">
    <w:pPr>
      <w:pStyle w:val="Footer"/>
    </w:pPr>
    <w:r>
      <w:rPr>
        <w:noProof/>
      </w:rPr>
      <mc:AlternateContent>
        <mc:Choice Requires="wps">
          <w:drawing>
            <wp:anchor distT="0" distB="0" distL="0" distR="0" simplePos="0" relativeHeight="251661312" behindDoc="0" locked="0" layoutInCell="1" allowOverlap="1" wp14:anchorId="4C192FC7" wp14:editId="26E47DBF">
              <wp:simplePos x="635" y="635"/>
              <wp:positionH relativeFrom="column">
                <wp:align>center</wp:align>
              </wp:positionH>
              <wp:positionV relativeFrom="paragraph">
                <wp:posOffset>635</wp:posOffset>
              </wp:positionV>
              <wp:extent cx="443865" cy="443865"/>
              <wp:effectExtent l="0" t="0" r="18415" b="190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DC55C7" w14:textId="0DD393A7" w:rsidR="00825B0F" w:rsidRPr="00825B0F" w:rsidRDefault="00825B0F">
                          <w:pPr>
                            <w:rPr>
                              <w:rFonts w:eastAsia="Arial"/>
                              <w:color w:val="000000"/>
                              <w:szCs w:val="24"/>
                            </w:rPr>
                          </w:pPr>
                          <w:r w:rsidRPr="00825B0F">
                            <w:rPr>
                              <w:rFonts w:eastAsia="Arial"/>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192FC7" id="_x0000_t202" coordsize="21600,21600" o:spt="202" path="m,l,21600r21600,l21600,xe">
              <v:stroke joinstyle="miter"/>
              <v:path gradientshapeok="t" o:connecttype="rect"/>
            </v:shapetype>
            <v:shape id="Text Box 7" o:spid="_x0000_s1029"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6DC55C7" w14:textId="0DD393A7" w:rsidR="00825B0F" w:rsidRPr="00825B0F" w:rsidRDefault="00825B0F">
                    <w:pPr>
                      <w:rPr>
                        <w:rFonts w:eastAsia="Arial"/>
                        <w:color w:val="000000"/>
                        <w:szCs w:val="24"/>
                      </w:rPr>
                    </w:pPr>
                    <w:r w:rsidRPr="00825B0F">
                      <w:rPr>
                        <w:rFonts w:eastAsia="Arial"/>
                        <w:color w:val="000000"/>
                        <w:szCs w:val="24"/>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3DD0" w14:textId="77777777" w:rsidR="001E1558" w:rsidRDefault="001E1558" w:rsidP="00825D2E">
      <w:pPr>
        <w:spacing w:before="240" w:after="0" w:line="240" w:lineRule="auto"/>
      </w:pPr>
      <w:r>
        <w:separator/>
      </w:r>
    </w:p>
  </w:footnote>
  <w:footnote w:type="continuationSeparator" w:id="0">
    <w:p w14:paraId="3698AA3F" w14:textId="77777777" w:rsidR="001E1558" w:rsidRDefault="001E1558" w:rsidP="00825B0F">
      <w:pPr>
        <w:spacing w:after="0" w:line="240" w:lineRule="auto"/>
      </w:pPr>
      <w:r>
        <w:continuationSeparator/>
      </w:r>
    </w:p>
  </w:footnote>
  <w:footnote w:id="1">
    <w:p w14:paraId="19E97304" w14:textId="790E7D34" w:rsidR="00BC2965" w:rsidRPr="00B041B6" w:rsidRDefault="00BC2965" w:rsidP="009E0094">
      <w:pPr>
        <w:pStyle w:val="FootnoteText"/>
      </w:pPr>
      <w:r>
        <w:rPr>
          <w:rStyle w:val="FootnoteReference"/>
        </w:rPr>
        <w:footnoteRef/>
      </w:r>
      <w:r>
        <w:t xml:space="preserve"> </w:t>
      </w:r>
      <w:r w:rsidRPr="00B041B6">
        <w:t>One project was re-scoped during the 2023-24 financial year. However, the total number and value of strategic projects in that financial year remained unchanged to maintain consistency across years.</w:t>
      </w:r>
    </w:p>
  </w:footnote>
  <w:footnote w:id="2">
    <w:p w14:paraId="1FD40521" w14:textId="1380D703" w:rsidR="00F97BCE" w:rsidRDefault="00F97BCE">
      <w:pPr>
        <w:pStyle w:val="FootnoteText"/>
      </w:pPr>
      <w:r>
        <w:rPr>
          <w:rStyle w:val="FootnoteReference"/>
        </w:rPr>
        <w:footnoteRef/>
      </w:r>
      <w:r>
        <w:t xml:space="preserve"> </w:t>
      </w:r>
      <w:r w:rsidRPr="00F97BCE">
        <w:t>Ongoing enhancements to the LJF data collection framework have improved reporting capabilities, facilitating more precise and timely data capture across each reporting cycle. While LIDP commitments have not yet achieved full alignment with ministerial requirements, measurable progress continues to be made in narrowing the gap.</w:t>
      </w:r>
    </w:p>
  </w:footnote>
  <w:footnote w:id="3">
    <w:p w14:paraId="49A391AE" w14:textId="257DF031" w:rsidR="00F43CBE" w:rsidRPr="00F43CBE" w:rsidRDefault="00F43CBE" w:rsidP="009E0094">
      <w:pPr>
        <w:pStyle w:val="FootnoteText"/>
        <w:rPr>
          <w:lang w:val="en-US"/>
        </w:rPr>
      </w:pPr>
      <w:r>
        <w:rPr>
          <w:rStyle w:val="FootnoteReference"/>
        </w:rPr>
        <w:footnoteRef/>
      </w:r>
      <w:r>
        <w:t xml:space="preserve"> </w:t>
      </w:r>
      <w:r w:rsidR="00AD4988">
        <w:t xml:space="preserve">MPSG commitments and outcomes are reported separately to the annual report and include </w:t>
      </w:r>
      <w:r w:rsidR="00AD4988" w:rsidRPr="00B041B6">
        <w:t>pre</w:t>
      </w:r>
      <w:r w:rsidR="00B041B6" w:rsidRPr="00B041B6">
        <w:t>-</w:t>
      </w:r>
      <w:r w:rsidR="00AD4988" w:rsidRPr="00B041B6">
        <w:t>award</w:t>
      </w:r>
      <w:r w:rsidR="00AD4988">
        <w:t xml:space="preserve">, commenced, </w:t>
      </w:r>
      <w:r w:rsidR="00AD4988" w:rsidRPr="009E0094">
        <w:t>ongoing</w:t>
      </w:r>
      <w:r w:rsidR="00AD4988">
        <w:t xml:space="preserve"> and completed projects. </w:t>
      </w:r>
    </w:p>
  </w:footnote>
  <w:footnote w:id="4">
    <w:p w14:paraId="6B8954FF" w14:textId="2ED9A149" w:rsidR="00414250" w:rsidRPr="009E0094" w:rsidRDefault="00414250" w:rsidP="009E0094">
      <w:pPr>
        <w:pStyle w:val="FootnoteText"/>
      </w:pPr>
      <w:r w:rsidRPr="009E0094">
        <w:rPr>
          <w:rStyle w:val="FootnoteReference"/>
          <w:vertAlign w:val="baseline"/>
        </w:rPr>
        <w:footnoteRef/>
      </w:r>
      <w:r w:rsidRPr="009E0094">
        <w:t xml:space="preserve"> </w:t>
      </w:r>
      <w:r w:rsidR="00AD4988" w:rsidRPr="009E0094">
        <w:t xml:space="preserve">The region type (metro, regional or statewide) was not available for 2 projects. These 2 projects account for 84 jobs for </w:t>
      </w:r>
      <w:r w:rsidR="00AD4988" w:rsidRPr="009E0094">
        <w:t>ATCs and 0.1 million hours worked by ATCs.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EAC7" w14:textId="370FB234" w:rsidR="00825B0F" w:rsidRDefault="00825B0F">
    <w:pPr>
      <w:pStyle w:val="Header"/>
    </w:pPr>
    <w:r>
      <w:rPr>
        <w:noProof/>
      </w:rPr>
      <mc:AlternateContent>
        <mc:Choice Requires="wps">
          <w:drawing>
            <wp:anchor distT="0" distB="0" distL="0" distR="0" simplePos="0" relativeHeight="251659264" behindDoc="0" locked="0" layoutInCell="1" allowOverlap="1" wp14:anchorId="70345625" wp14:editId="2A979631">
              <wp:simplePos x="635" y="635"/>
              <wp:positionH relativeFrom="column">
                <wp:align>center</wp:align>
              </wp:positionH>
              <wp:positionV relativeFrom="paragraph">
                <wp:posOffset>635</wp:posOffset>
              </wp:positionV>
              <wp:extent cx="443865" cy="443865"/>
              <wp:effectExtent l="0" t="0" r="18415" b="190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BC132" w14:textId="020F85CB" w:rsidR="00825B0F" w:rsidRPr="00825B0F" w:rsidRDefault="00825B0F">
                          <w:pPr>
                            <w:rPr>
                              <w:rFonts w:eastAsia="Arial"/>
                              <w:color w:val="000000"/>
                              <w:szCs w:val="24"/>
                            </w:rPr>
                          </w:pPr>
                          <w:r w:rsidRPr="00825B0F">
                            <w:rPr>
                              <w:rFonts w:eastAsia="Arial"/>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345625"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35BC132" w14:textId="020F85CB" w:rsidR="00825B0F" w:rsidRPr="00825B0F" w:rsidRDefault="00825B0F">
                    <w:pPr>
                      <w:rPr>
                        <w:rFonts w:eastAsia="Arial"/>
                        <w:color w:val="000000"/>
                        <w:szCs w:val="24"/>
                      </w:rPr>
                    </w:pPr>
                    <w:r w:rsidRPr="00825B0F">
                      <w:rPr>
                        <w:rFonts w:eastAsia="Arial"/>
                        <w:color w:val="000000"/>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B2C6" w14:textId="52B28FCD" w:rsidR="00825B0F" w:rsidRDefault="00825B0F">
    <w:pPr>
      <w:pStyle w:val="Header"/>
    </w:pPr>
    <w:r>
      <w:rPr>
        <w:noProof/>
      </w:rPr>
      <mc:AlternateContent>
        <mc:Choice Requires="wps">
          <w:drawing>
            <wp:anchor distT="0" distB="0" distL="0" distR="0" simplePos="0" relativeHeight="251658240" behindDoc="0" locked="0" layoutInCell="1" allowOverlap="1" wp14:anchorId="274398A5" wp14:editId="44AC7004">
              <wp:simplePos x="635" y="635"/>
              <wp:positionH relativeFrom="column">
                <wp:align>center</wp:align>
              </wp:positionH>
              <wp:positionV relativeFrom="paragraph">
                <wp:posOffset>635</wp:posOffset>
              </wp:positionV>
              <wp:extent cx="443865" cy="443865"/>
              <wp:effectExtent l="0" t="0" r="18415" b="190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E2A7A" w14:textId="59306236" w:rsidR="00825B0F" w:rsidRPr="00825B0F" w:rsidRDefault="00825B0F">
                          <w:pPr>
                            <w:rPr>
                              <w:rFonts w:eastAsia="Arial"/>
                              <w:color w:val="000000"/>
                              <w:szCs w:val="24"/>
                            </w:rPr>
                          </w:pPr>
                          <w:r w:rsidRPr="00825B0F">
                            <w:rPr>
                              <w:rFonts w:eastAsia="Arial"/>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4398A5"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E7E2A7A" w14:textId="59306236" w:rsidR="00825B0F" w:rsidRPr="00825B0F" w:rsidRDefault="00825B0F">
                    <w:pPr>
                      <w:rPr>
                        <w:rFonts w:eastAsia="Arial"/>
                        <w:color w:val="000000"/>
                        <w:szCs w:val="24"/>
                      </w:rPr>
                    </w:pPr>
                    <w:r w:rsidRPr="00825B0F">
                      <w:rPr>
                        <w:rFonts w:eastAsia="Arial"/>
                        <w:color w:val="000000"/>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277B"/>
    <w:multiLevelType w:val="hybridMultilevel"/>
    <w:tmpl w:val="7D2A40B6"/>
    <w:lvl w:ilvl="0" w:tplc="F66AFD0A">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F6C8A"/>
    <w:multiLevelType w:val="hybridMultilevel"/>
    <w:tmpl w:val="38EC2832"/>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A7FBA"/>
    <w:multiLevelType w:val="hybridMultilevel"/>
    <w:tmpl w:val="D240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27018"/>
    <w:multiLevelType w:val="hybridMultilevel"/>
    <w:tmpl w:val="9C003E5C"/>
    <w:lvl w:ilvl="0" w:tplc="6A8E31B6">
      <w:start w:val="1"/>
      <w:numFmt w:val="bullet"/>
      <w:pStyle w:val="Bullet"/>
      <w:lvlText w:val=""/>
      <w:lvlJc w:val="left"/>
      <w:pPr>
        <w:ind w:left="51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923BA"/>
    <w:multiLevelType w:val="multilevel"/>
    <w:tmpl w:val="F88EF09C"/>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num w:numId="1" w16cid:durableId="1389303514">
    <w:abstractNumId w:val="4"/>
  </w:num>
  <w:num w:numId="2" w16cid:durableId="1722559726">
    <w:abstractNumId w:val="2"/>
  </w:num>
  <w:num w:numId="3" w16cid:durableId="958535664">
    <w:abstractNumId w:val="4"/>
  </w:num>
  <w:num w:numId="4" w16cid:durableId="1125613260">
    <w:abstractNumId w:val="1"/>
  </w:num>
  <w:num w:numId="5" w16cid:durableId="1220282343">
    <w:abstractNumId w:val="6"/>
  </w:num>
  <w:num w:numId="6" w16cid:durableId="1303926600">
    <w:abstractNumId w:val="0"/>
  </w:num>
  <w:num w:numId="7" w16cid:durableId="1657488813">
    <w:abstractNumId w:val="5"/>
  </w:num>
  <w:num w:numId="8" w16cid:durableId="26118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6F"/>
    <w:rsid w:val="0005248C"/>
    <w:rsid w:val="00062B5D"/>
    <w:rsid w:val="00092931"/>
    <w:rsid w:val="000A0D95"/>
    <w:rsid w:val="000A73D7"/>
    <w:rsid w:val="000B686F"/>
    <w:rsid w:val="000C1F1A"/>
    <w:rsid w:val="000C67DA"/>
    <w:rsid w:val="000E14D1"/>
    <w:rsid w:val="000E25BC"/>
    <w:rsid w:val="000E5FD9"/>
    <w:rsid w:val="000F5B64"/>
    <w:rsid w:val="000F7AD5"/>
    <w:rsid w:val="00100555"/>
    <w:rsid w:val="001242DF"/>
    <w:rsid w:val="00126805"/>
    <w:rsid w:val="00134DDF"/>
    <w:rsid w:val="00136845"/>
    <w:rsid w:val="00142F93"/>
    <w:rsid w:val="00145C6B"/>
    <w:rsid w:val="001466C1"/>
    <w:rsid w:val="00151E14"/>
    <w:rsid w:val="00165EB2"/>
    <w:rsid w:val="00183C23"/>
    <w:rsid w:val="00184CBA"/>
    <w:rsid w:val="001869BB"/>
    <w:rsid w:val="0019050A"/>
    <w:rsid w:val="001A18EB"/>
    <w:rsid w:val="001C685F"/>
    <w:rsid w:val="001C7CA5"/>
    <w:rsid w:val="001D71CA"/>
    <w:rsid w:val="001D7FB4"/>
    <w:rsid w:val="001E1558"/>
    <w:rsid w:val="001F0EEA"/>
    <w:rsid w:val="00241319"/>
    <w:rsid w:val="002663B4"/>
    <w:rsid w:val="00276789"/>
    <w:rsid w:val="00281E86"/>
    <w:rsid w:val="002C469D"/>
    <w:rsid w:val="002C5D79"/>
    <w:rsid w:val="003059AB"/>
    <w:rsid w:val="003131C1"/>
    <w:rsid w:val="00322DE1"/>
    <w:rsid w:val="0035686A"/>
    <w:rsid w:val="00367D6E"/>
    <w:rsid w:val="003723EF"/>
    <w:rsid w:val="00390F5C"/>
    <w:rsid w:val="003A4772"/>
    <w:rsid w:val="003C2BC6"/>
    <w:rsid w:val="003C3569"/>
    <w:rsid w:val="003D1247"/>
    <w:rsid w:val="003D130A"/>
    <w:rsid w:val="003E1A85"/>
    <w:rsid w:val="004071D5"/>
    <w:rsid w:val="00414250"/>
    <w:rsid w:val="00426C60"/>
    <w:rsid w:val="004576C5"/>
    <w:rsid w:val="0046427A"/>
    <w:rsid w:val="004A3182"/>
    <w:rsid w:val="004A6CE0"/>
    <w:rsid w:val="004B09F2"/>
    <w:rsid w:val="004E109C"/>
    <w:rsid w:val="00507EFF"/>
    <w:rsid w:val="0053646C"/>
    <w:rsid w:val="00561B9E"/>
    <w:rsid w:val="00565EF7"/>
    <w:rsid w:val="0058012C"/>
    <w:rsid w:val="005836E5"/>
    <w:rsid w:val="005A19A7"/>
    <w:rsid w:val="005A3BA1"/>
    <w:rsid w:val="005A405F"/>
    <w:rsid w:val="005F5C60"/>
    <w:rsid w:val="00610226"/>
    <w:rsid w:val="00612F0E"/>
    <w:rsid w:val="00617A3D"/>
    <w:rsid w:val="00646E39"/>
    <w:rsid w:val="0069791D"/>
    <w:rsid w:val="00697E92"/>
    <w:rsid w:val="006B33F1"/>
    <w:rsid w:val="006C6D96"/>
    <w:rsid w:val="006F3DF2"/>
    <w:rsid w:val="007164F7"/>
    <w:rsid w:val="00742AF4"/>
    <w:rsid w:val="00751D94"/>
    <w:rsid w:val="0075486A"/>
    <w:rsid w:val="007A3673"/>
    <w:rsid w:val="007A63AB"/>
    <w:rsid w:val="007C3917"/>
    <w:rsid w:val="007C4E9B"/>
    <w:rsid w:val="007C7515"/>
    <w:rsid w:val="007F229B"/>
    <w:rsid w:val="007F271D"/>
    <w:rsid w:val="007F2CCD"/>
    <w:rsid w:val="008036E6"/>
    <w:rsid w:val="008101AC"/>
    <w:rsid w:val="00810FC3"/>
    <w:rsid w:val="00812143"/>
    <w:rsid w:val="00822889"/>
    <w:rsid w:val="0082325A"/>
    <w:rsid w:val="00825B0F"/>
    <w:rsid w:val="00825D2E"/>
    <w:rsid w:val="00831A4C"/>
    <w:rsid w:val="00841EDC"/>
    <w:rsid w:val="0085477F"/>
    <w:rsid w:val="00861D50"/>
    <w:rsid w:val="008675B5"/>
    <w:rsid w:val="008A79C8"/>
    <w:rsid w:val="009042AC"/>
    <w:rsid w:val="009107BD"/>
    <w:rsid w:val="00926565"/>
    <w:rsid w:val="00932B1E"/>
    <w:rsid w:val="0094258A"/>
    <w:rsid w:val="00947461"/>
    <w:rsid w:val="00950625"/>
    <w:rsid w:val="009614B7"/>
    <w:rsid w:val="00984E54"/>
    <w:rsid w:val="009952E3"/>
    <w:rsid w:val="009A354E"/>
    <w:rsid w:val="009A49F1"/>
    <w:rsid w:val="009C17F6"/>
    <w:rsid w:val="009C5933"/>
    <w:rsid w:val="009D08E3"/>
    <w:rsid w:val="009E0094"/>
    <w:rsid w:val="009E0ED3"/>
    <w:rsid w:val="009E12D8"/>
    <w:rsid w:val="009E3221"/>
    <w:rsid w:val="009E524A"/>
    <w:rsid w:val="009E7304"/>
    <w:rsid w:val="009F2793"/>
    <w:rsid w:val="009F38C5"/>
    <w:rsid w:val="009F7137"/>
    <w:rsid w:val="009F7A37"/>
    <w:rsid w:val="00A40A32"/>
    <w:rsid w:val="00A51EBF"/>
    <w:rsid w:val="00A93BAF"/>
    <w:rsid w:val="00A9400C"/>
    <w:rsid w:val="00AC7CB3"/>
    <w:rsid w:val="00AD4988"/>
    <w:rsid w:val="00AF2917"/>
    <w:rsid w:val="00B020AD"/>
    <w:rsid w:val="00B041B6"/>
    <w:rsid w:val="00B0565B"/>
    <w:rsid w:val="00B13D2E"/>
    <w:rsid w:val="00B158A3"/>
    <w:rsid w:val="00B44842"/>
    <w:rsid w:val="00B459B4"/>
    <w:rsid w:val="00B67F56"/>
    <w:rsid w:val="00B775B5"/>
    <w:rsid w:val="00B94EED"/>
    <w:rsid w:val="00BA1218"/>
    <w:rsid w:val="00BA28C9"/>
    <w:rsid w:val="00BA59A6"/>
    <w:rsid w:val="00BC12CA"/>
    <w:rsid w:val="00BC2965"/>
    <w:rsid w:val="00BF4BA1"/>
    <w:rsid w:val="00C103D2"/>
    <w:rsid w:val="00C26740"/>
    <w:rsid w:val="00C378A1"/>
    <w:rsid w:val="00C47F5B"/>
    <w:rsid w:val="00C575A9"/>
    <w:rsid w:val="00C73CF1"/>
    <w:rsid w:val="00C74CDD"/>
    <w:rsid w:val="00C75BED"/>
    <w:rsid w:val="00CA3019"/>
    <w:rsid w:val="00CC493F"/>
    <w:rsid w:val="00CE265A"/>
    <w:rsid w:val="00CE2DBF"/>
    <w:rsid w:val="00CE3236"/>
    <w:rsid w:val="00CE7327"/>
    <w:rsid w:val="00CF7A6F"/>
    <w:rsid w:val="00CF7EE1"/>
    <w:rsid w:val="00D06756"/>
    <w:rsid w:val="00D10DEE"/>
    <w:rsid w:val="00D24BDA"/>
    <w:rsid w:val="00D42F40"/>
    <w:rsid w:val="00D43861"/>
    <w:rsid w:val="00D75B40"/>
    <w:rsid w:val="00D85080"/>
    <w:rsid w:val="00D9566B"/>
    <w:rsid w:val="00D979D8"/>
    <w:rsid w:val="00DA4427"/>
    <w:rsid w:val="00DB2354"/>
    <w:rsid w:val="00DB7084"/>
    <w:rsid w:val="00DC3970"/>
    <w:rsid w:val="00DC4D4A"/>
    <w:rsid w:val="00DC6F30"/>
    <w:rsid w:val="00DE035F"/>
    <w:rsid w:val="00DE6A72"/>
    <w:rsid w:val="00DF693E"/>
    <w:rsid w:val="00E20FA2"/>
    <w:rsid w:val="00E21E44"/>
    <w:rsid w:val="00E37E60"/>
    <w:rsid w:val="00E4361A"/>
    <w:rsid w:val="00E620EE"/>
    <w:rsid w:val="00E62210"/>
    <w:rsid w:val="00E66B29"/>
    <w:rsid w:val="00E856EF"/>
    <w:rsid w:val="00EA09AE"/>
    <w:rsid w:val="00EB3D04"/>
    <w:rsid w:val="00EF1E98"/>
    <w:rsid w:val="00F12EDA"/>
    <w:rsid w:val="00F17607"/>
    <w:rsid w:val="00F43CBE"/>
    <w:rsid w:val="00F53FFC"/>
    <w:rsid w:val="00F57879"/>
    <w:rsid w:val="00F77C72"/>
    <w:rsid w:val="00F97BCE"/>
    <w:rsid w:val="00FC66D7"/>
    <w:rsid w:val="00FD0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48BEF"/>
  <w14:defaultImageDpi w14:val="0"/>
  <w15:docId w15:val="{CCCEEF50-F4B7-46B9-B3FA-6BC49E14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EF"/>
    <w:pPr>
      <w:suppressAutoHyphens/>
      <w:spacing w:after="280" w:line="276" w:lineRule="auto"/>
    </w:pPr>
    <w:rPr>
      <w:rFonts w:ascii="Arial" w:eastAsia="MS Mincho" w:hAnsi="Arial" w:cs="Arial"/>
      <w:sz w:val="24"/>
      <w:szCs w:val="32"/>
      <w:lang w:eastAsia="en-US"/>
    </w:rPr>
  </w:style>
  <w:style w:type="paragraph" w:styleId="Heading1">
    <w:name w:val="heading 1"/>
    <w:basedOn w:val="Normal"/>
    <w:next w:val="Normal"/>
    <w:link w:val="Heading1Char"/>
    <w:uiPriority w:val="9"/>
    <w:qFormat/>
    <w:rsid w:val="00BC12CA"/>
    <w:pPr>
      <w:keepNext/>
      <w:keepLines/>
      <w:pageBreakBefore/>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9E524A"/>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E524A"/>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9E524A"/>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9E524A"/>
    <w:pPr>
      <w:numPr>
        <w:numId w:val="4"/>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9E524A"/>
    <w:p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984E54"/>
    <w:pPr>
      <w:keepNext/>
      <w:keepLines/>
      <w:suppressAutoHyphens w:val="0"/>
      <w:spacing w:before="40" w:after="0" w:line="240" w:lineRule="auto"/>
      <w:ind w:left="1296" w:hanging="1296"/>
      <w:outlineLvl w:val="6"/>
    </w:pPr>
    <w:rPr>
      <w:rFonts w:asciiTheme="majorHAnsi" w:eastAsiaTheme="majorEastAsia" w:hAnsiTheme="majorHAnsi" w:cstheme="majorBidi"/>
      <w:i/>
      <w:iCs/>
      <w:color w:val="1F3763" w:themeColor="accent1" w:themeShade="7F"/>
      <w:spacing w:val="-4"/>
      <w:sz w:val="20"/>
      <w:szCs w:val="24"/>
    </w:rPr>
  </w:style>
  <w:style w:type="paragraph" w:styleId="Heading8">
    <w:name w:val="heading 8"/>
    <w:basedOn w:val="Normal"/>
    <w:next w:val="Normal"/>
    <w:link w:val="Heading8Char"/>
    <w:uiPriority w:val="9"/>
    <w:semiHidden/>
    <w:unhideWhenUsed/>
    <w:qFormat/>
    <w:rsid w:val="00984E54"/>
    <w:pPr>
      <w:keepNext/>
      <w:keepLines/>
      <w:suppressAutoHyphens w:val="0"/>
      <w:spacing w:before="40" w:after="0" w:line="240" w:lineRule="auto"/>
      <w:ind w:left="1440" w:hanging="1440"/>
      <w:outlineLvl w:val="7"/>
    </w:pPr>
    <w:rPr>
      <w:rFonts w:asciiTheme="majorHAnsi" w:eastAsiaTheme="majorEastAsia" w:hAnsiTheme="majorHAnsi" w:cstheme="majorBidi"/>
      <w:color w:val="272727" w:themeColor="text1" w:themeTint="D8"/>
      <w:spacing w:val="-4"/>
      <w:sz w:val="21"/>
      <w:szCs w:val="21"/>
    </w:rPr>
  </w:style>
  <w:style w:type="paragraph" w:styleId="Heading9">
    <w:name w:val="heading 9"/>
    <w:basedOn w:val="Normal"/>
    <w:next w:val="Normal"/>
    <w:link w:val="Heading9Char"/>
    <w:uiPriority w:val="9"/>
    <w:semiHidden/>
    <w:unhideWhenUsed/>
    <w:qFormat/>
    <w:rsid w:val="00984E54"/>
    <w:pPr>
      <w:keepNext/>
      <w:keepLines/>
      <w:suppressAutoHyphens w:val="0"/>
      <w:spacing w:before="40" w:after="0" w:line="240" w:lineRule="auto"/>
      <w:ind w:left="1584" w:hanging="1584"/>
      <w:outlineLvl w:val="8"/>
    </w:pPr>
    <w:rPr>
      <w:rFonts w:asciiTheme="majorHAnsi" w:eastAsiaTheme="majorEastAsia" w:hAnsiTheme="majorHAnsi" w:cstheme="majorBidi"/>
      <w:i/>
      <w:iCs/>
      <w:color w:val="272727" w:themeColor="text1" w:themeTint="D8"/>
      <w:spacing w:val="-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bleBody">
    <w:name w:val="*Table Body"/>
    <w:basedOn w:val="NoParagraphStyle"/>
    <w:uiPriority w:val="99"/>
    <w:pPr>
      <w:suppressAutoHyphens/>
      <w:spacing w:after="113" w:line="190" w:lineRule="atLeast"/>
    </w:pPr>
    <w:rPr>
      <w:rFonts w:ascii="VIC Light" w:hAnsi="VIC Light" w:cs="VIC Light"/>
      <w:sz w:val="17"/>
      <w:szCs w:val="17"/>
      <w:lang w:val="en-GB"/>
    </w:rPr>
  </w:style>
  <w:style w:type="paragraph" w:customStyle="1" w:styleId="Footnote">
    <w:name w:val="*Footnote"/>
    <w:basedOn w:val="TableBody"/>
    <w:uiPriority w:val="99"/>
    <w:pPr>
      <w:spacing w:line="170" w:lineRule="atLeast"/>
      <w:ind w:left="227" w:hanging="227"/>
    </w:pPr>
    <w:rPr>
      <w:sz w:val="14"/>
      <w:szCs w:val="14"/>
    </w:rPr>
  </w:style>
  <w:style w:type="paragraph" w:customStyle="1" w:styleId="Caption">
    <w:name w:val="*Caption"/>
    <w:basedOn w:val="Footnote"/>
    <w:uiPriority w:val="99"/>
    <w:pPr>
      <w:spacing w:after="57" w:line="288" w:lineRule="auto"/>
      <w:ind w:left="0" w:firstLine="0"/>
    </w:pPr>
    <w:rPr>
      <w:rFonts w:ascii="VIC" w:hAnsi="VIC" w:cs="VIC"/>
      <w:color w:val="FFFFFF"/>
    </w:rPr>
  </w:style>
  <w:style w:type="paragraph" w:customStyle="1" w:styleId="CaptionHeading">
    <w:name w:val="*Caption Heading"/>
    <w:basedOn w:val="Caption"/>
    <w:uiPriority w:val="99"/>
    <w:rPr>
      <w:rFonts w:ascii="VIC Medium" w:hAnsi="VIC Medium" w:cs="VIC Medium"/>
      <w:sz w:val="15"/>
      <w:szCs w:val="15"/>
    </w:rPr>
  </w:style>
  <w:style w:type="paragraph" w:customStyle="1" w:styleId="Bodycopy">
    <w:name w:val="*Bodycopy"/>
    <w:basedOn w:val="NoParagraphStyle"/>
    <w:uiPriority w:val="99"/>
    <w:pPr>
      <w:keepLines/>
      <w:suppressAutoHyphens/>
      <w:spacing w:after="170" w:line="240" w:lineRule="atLeast"/>
    </w:pPr>
    <w:rPr>
      <w:rFonts w:ascii="VIC Light" w:hAnsi="VIC Light" w:cs="VIC Light"/>
      <w:spacing w:val="-1"/>
      <w:sz w:val="18"/>
      <w:szCs w:val="18"/>
      <w:lang w:val="en-GB"/>
    </w:rPr>
  </w:style>
  <w:style w:type="paragraph" w:customStyle="1" w:styleId="BulletL1">
    <w:name w:val="*Bullet L1"/>
    <w:basedOn w:val="NoParagraphStyle"/>
    <w:uiPriority w:val="99"/>
    <w:pPr>
      <w:suppressAutoHyphens/>
      <w:spacing w:after="227" w:line="240" w:lineRule="atLeast"/>
      <w:ind w:left="283" w:hanging="283"/>
    </w:pPr>
    <w:rPr>
      <w:rFonts w:ascii="VIC Light" w:hAnsi="VIC Light" w:cs="VIC Light"/>
      <w:sz w:val="18"/>
      <w:szCs w:val="18"/>
      <w:lang w:val="en-GB"/>
    </w:rPr>
  </w:style>
  <w:style w:type="paragraph" w:customStyle="1" w:styleId="CaseStudyH1">
    <w:name w:val="*Case Study H1"/>
    <w:basedOn w:val="Normal"/>
    <w:uiPriority w:val="99"/>
    <w:rsid w:val="008036E6"/>
    <w:pPr>
      <w:keepNext/>
      <w:keepLines/>
      <w:widowControl w:val="0"/>
      <w:autoSpaceDE w:val="0"/>
      <w:autoSpaceDN w:val="0"/>
      <w:adjustRightInd w:val="0"/>
      <w:spacing w:after="0" w:line="288" w:lineRule="auto"/>
      <w:textAlignment w:val="center"/>
    </w:pPr>
    <w:rPr>
      <w:rFonts w:ascii="VIC Medium" w:eastAsiaTheme="minorEastAsia" w:hAnsi="VIC Medium" w:cs="VIC Medium"/>
      <w:b/>
      <w:bCs/>
      <w:caps/>
      <w:color w:val="FFFFFF"/>
      <w:sz w:val="18"/>
      <w:szCs w:val="18"/>
      <w:lang w:val="en-GB" w:eastAsia="en-AU"/>
    </w:rPr>
  </w:style>
  <w:style w:type="paragraph" w:customStyle="1" w:styleId="CaseStudyH2">
    <w:name w:val="*Case Study H2"/>
    <w:basedOn w:val="Normal"/>
    <w:uiPriority w:val="99"/>
    <w:rsid w:val="008036E6"/>
    <w:pPr>
      <w:keepNext/>
      <w:keepLines/>
      <w:widowControl w:val="0"/>
      <w:autoSpaceDE w:val="0"/>
      <w:autoSpaceDN w:val="0"/>
      <w:adjustRightInd w:val="0"/>
      <w:spacing w:before="57" w:after="113" w:line="288" w:lineRule="auto"/>
      <w:textAlignment w:val="center"/>
    </w:pPr>
    <w:rPr>
      <w:rFonts w:ascii="VIC SemiBold" w:eastAsiaTheme="minorEastAsia" w:hAnsi="VIC SemiBold" w:cs="VIC SemiBold"/>
      <w:b/>
      <w:bCs/>
      <w:color w:val="FFFFFF"/>
      <w:szCs w:val="24"/>
      <w:lang w:val="en-GB" w:eastAsia="en-AU"/>
    </w:rPr>
  </w:style>
  <w:style w:type="paragraph" w:customStyle="1" w:styleId="BasicParagraph">
    <w:name w:val="[Basic Paragraph]"/>
    <w:basedOn w:val="NoParagraphStyle"/>
    <w:uiPriority w:val="99"/>
    <w:pPr>
      <w:suppressAutoHyphens/>
    </w:pPr>
    <w:rPr>
      <w:rFonts w:ascii="VIC Light" w:hAnsi="VIC Light" w:cs="VIC Light"/>
      <w:lang w:val="en-GB"/>
    </w:rPr>
  </w:style>
  <w:style w:type="character" w:customStyle="1" w:styleId="Italic">
    <w:name w:val="Italic"/>
    <w:uiPriority w:val="99"/>
    <w:rPr>
      <w:rFonts w:ascii="VIC Light Italic" w:hAnsi="VIC Light Italic" w:cs="VIC Light Italic"/>
      <w:i/>
      <w:iCs/>
    </w:rPr>
  </w:style>
  <w:style w:type="character" w:styleId="Hyperlink">
    <w:name w:val="Hyperlink"/>
    <w:uiPriority w:val="99"/>
    <w:unhideWhenUsed/>
    <w:rsid w:val="009E524A"/>
    <w:rPr>
      <w:rFonts w:ascii="Arial" w:hAnsi="Arial"/>
      <w:color w:val="0000FF"/>
      <w:u w:val="single"/>
    </w:rPr>
  </w:style>
  <w:style w:type="character" w:customStyle="1" w:styleId="Semibold">
    <w:name w:val="Semibold"/>
    <w:uiPriority w:val="99"/>
    <w:rPr>
      <w:rFonts w:ascii="VIC SemiBold" w:hAnsi="VIC SemiBold" w:cs="VIC SemiBold"/>
      <w:b/>
      <w:bCs/>
    </w:rPr>
  </w:style>
  <w:style w:type="character" w:customStyle="1" w:styleId="Body">
    <w:name w:val="Body"/>
    <w:uiPriority w:val="99"/>
    <w:rPr>
      <w:rFonts w:ascii="VIC Light" w:hAnsi="VIC Light" w:cs="VIC Light"/>
      <w:color w:val="000000"/>
      <w:sz w:val="18"/>
      <w:szCs w:val="18"/>
      <w:vertAlign w:val="baseline"/>
    </w:rPr>
  </w:style>
  <w:style w:type="paragraph" w:customStyle="1" w:styleId="Bullet">
    <w:name w:val="Bullet"/>
    <w:basedOn w:val="Normal"/>
    <w:qFormat/>
    <w:rsid w:val="00CA3019"/>
    <w:pPr>
      <w:numPr>
        <w:numId w:val="3"/>
      </w:numPr>
      <w:spacing w:after="140"/>
      <w:ind w:left="284" w:hanging="284"/>
    </w:pPr>
  </w:style>
  <w:style w:type="paragraph" w:customStyle="1" w:styleId="Bullet2">
    <w:name w:val="Bullet 2"/>
    <w:basedOn w:val="Bullet"/>
    <w:qFormat/>
    <w:rsid w:val="009E524A"/>
    <w:pPr>
      <w:numPr>
        <w:numId w:val="2"/>
      </w:numPr>
    </w:pPr>
  </w:style>
  <w:style w:type="paragraph" w:customStyle="1" w:styleId="Bulletlast">
    <w:name w:val="Bullet last"/>
    <w:basedOn w:val="Bullet"/>
    <w:qFormat/>
    <w:rsid w:val="009E524A"/>
    <w:pPr>
      <w:spacing w:after="280"/>
    </w:pPr>
  </w:style>
  <w:style w:type="paragraph" w:customStyle="1" w:styleId="Default">
    <w:name w:val="Default"/>
    <w:rsid w:val="009E524A"/>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FollowedHyperlink">
    <w:name w:val="FollowedHyperlink"/>
    <w:uiPriority w:val="99"/>
    <w:semiHidden/>
    <w:unhideWhenUsed/>
    <w:rsid w:val="009E524A"/>
    <w:rPr>
      <w:color w:val="800080"/>
      <w:u w:val="single"/>
    </w:rPr>
  </w:style>
  <w:style w:type="paragraph" w:styleId="Footer">
    <w:name w:val="footer"/>
    <w:basedOn w:val="Normal"/>
    <w:link w:val="FooterChar"/>
    <w:uiPriority w:val="99"/>
    <w:unhideWhenUsed/>
    <w:rsid w:val="009E524A"/>
    <w:pPr>
      <w:tabs>
        <w:tab w:val="center" w:pos="4320"/>
        <w:tab w:val="right" w:pos="9639"/>
      </w:tabs>
      <w:spacing w:after="0" w:line="200" w:lineRule="atLeast"/>
    </w:pPr>
    <w:rPr>
      <w:sz w:val="16"/>
    </w:rPr>
  </w:style>
  <w:style w:type="character" w:customStyle="1" w:styleId="FooterChar">
    <w:name w:val="Footer Char"/>
    <w:link w:val="Footer"/>
    <w:uiPriority w:val="99"/>
    <w:rsid w:val="009E524A"/>
    <w:rPr>
      <w:rFonts w:ascii="Arial" w:eastAsia="MS Mincho" w:hAnsi="Arial" w:cs="Arial"/>
      <w:sz w:val="16"/>
      <w:szCs w:val="32"/>
      <w:lang w:eastAsia="en-US"/>
    </w:rPr>
  </w:style>
  <w:style w:type="character" w:styleId="FootnoteReference">
    <w:name w:val="footnote reference"/>
    <w:uiPriority w:val="99"/>
    <w:unhideWhenUsed/>
    <w:rsid w:val="009E524A"/>
    <w:rPr>
      <w:rFonts w:ascii="Arial" w:hAnsi="Arial"/>
      <w:vertAlign w:val="superscript"/>
    </w:rPr>
  </w:style>
  <w:style w:type="paragraph" w:styleId="FootnoteText">
    <w:name w:val="footnote text"/>
    <w:basedOn w:val="Normal"/>
    <w:link w:val="FootnoteTextChar"/>
    <w:uiPriority w:val="99"/>
    <w:unhideWhenUsed/>
    <w:rsid w:val="009E0094"/>
    <w:pPr>
      <w:spacing w:after="60"/>
      <w:ind w:left="227" w:hanging="227"/>
    </w:pPr>
    <w:rPr>
      <w:sz w:val="20"/>
    </w:rPr>
  </w:style>
  <w:style w:type="character" w:customStyle="1" w:styleId="FootnoteTextChar">
    <w:name w:val="Footnote Text Char"/>
    <w:link w:val="FootnoteText"/>
    <w:uiPriority w:val="99"/>
    <w:rsid w:val="009E0094"/>
    <w:rPr>
      <w:rFonts w:ascii="Arial" w:eastAsia="MS Mincho" w:hAnsi="Arial" w:cs="Arial"/>
      <w:sz w:val="20"/>
      <w:szCs w:val="32"/>
      <w:lang w:eastAsia="en-US"/>
    </w:rPr>
  </w:style>
  <w:style w:type="paragraph" w:styleId="Header">
    <w:name w:val="header"/>
    <w:basedOn w:val="Normal"/>
    <w:link w:val="HeaderChar"/>
    <w:uiPriority w:val="99"/>
    <w:unhideWhenUsed/>
    <w:rsid w:val="009E524A"/>
    <w:pPr>
      <w:tabs>
        <w:tab w:val="center" w:pos="4320"/>
        <w:tab w:val="right" w:pos="8640"/>
      </w:tabs>
    </w:pPr>
  </w:style>
  <w:style w:type="character" w:customStyle="1" w:styleId="HeaderChar">
    <w:name w:val="Header Char"/>
    <w:link w:val="Header"/>
    <w:uiPriority w:val="99"/>
    <w:rsid w:val="009E524A"/>
    <w:rPr>
      <w:rFonts w:ascii="Arial" w:eastAsia="MS Mincho" w:hAnsi="Arial" w:cs="Arial"/>
      <w:sz w:val="24"/>
      <w:szCs w:val="32"/>
      <w:lang w:eastAsia="en-US"/>
    </w:rPr>
  </w:style>
  <w:style w:type="character" w:customStyle="1" w:styleId="Heading1Char">
    <w:name w:val="Heading 1 Char"/>
    <w:link w:val="Heading1"/>
    <w:uiPriority w:val="9"/>
    <w:rsid w:val="00BC12CA"/>
    <w:rPr>
      <w:rFonts w:ascii="Arial" w:eastAsia="MS Gothic" w:hAnsi="Arial" w:cs="Times New Roman"/>
      <w:b/>
      <w:bCs/>
      <w:sz w:val="36"/>
      <w:szCs w:val="32"/>
      <w:lang w:eastAsia="en-US"/>
    </w:rPr>
  </w:style>
  <w:style w:type="character" w:customStyle="1" w:styleId="Heading2Char">
    <w:name w:val="Heading 2 Char"/>
    <w:link w:val="Heading2"/>
    <w:uiPriority w:val="9"/>
    <w:rsid w:val="009E524A"/>
    <w:rPr>
      <w:rFonts w:ascii="Arial" w:eastAsia="MS Gothic" w:hAnsi="Arial" w:cs="Times New Roman"/>
      <w:b/>
      <w:bCs/>
      <w:sz w:val="32"/>
      <w:szCs w:val="26"/>
      <w:lang w:eastAsia="en-US"/>
    </w:rPr>
  </w:style>
  <w:style w:type="character" w:customStyle="1" w:styleId="Heading3Char">
    <w:name w:val="Heading 3 Char"/>
    <w:link w:val="Heading3"/>
    <w:uiPriority w:val="9"/>
    <w:rsid w:val="009E524A"/>
    <w:rPr>
      <w:rFonts w:ascii="Arial" w:eastAsia="MS Gothic" w:hAnsi="Arial" w:cs="Arial"/>
      <w:b/>
      <w:bCs/>
      <w:sz w:val="28"/>
      <w:szCs w:val="32"/>
      <w:lang w:eastAsia="en-US"/>
    </w:rPr>
  </w:style>
  <w:style w:type="character" w:customStyle="1" w:styleId="Heading4Char">
    <w:name w:val="Heading 4 Char"/>
    <w:link w:val="Heading4"/>
    <w:uiPriority w:val="9"/>
    <w:rsid w:val="009E524A"/>
    <w:rPr>
      <w:rFonts w:ascii="Arial" w:eastAsia="MS Gothic" w:hAnsi="Arial" w:cs="Arial"/>
      <w:b/>
      <w:bCs/>
      <w:iCs/>
      <w:sz w:val="24"/>
      <w:szCs w:val="32"/>
      <w:lang w:eastAsia="en-US"/>
    </w:rPr>
  </w:style>
  <w:style w:type="character" w:customStyle="1" w:styleId="Heading5Char">
    <w:name w:val="Heading 5 Char"/>
    <w:link w:val="Heading5"/>
    <w:uiPriority w:val="9"/>
    <w:rsid w:val="009E524A"/>
    <w:rPr>
      <w:rFonts w:ascii="Arial" w:eastAsia="MS Mincho" w:hAnsi="Arial" w:cs="Times New Roman"/>
      <w:b/>
      <w:bCs/>
      <w:iCs/>
      <w:sz w:val="24"/>
      <w:szCs w:val="26"/>
      <w:lang w:eastAsia="en-US"/>
    </w:rPr>
  </w:style>
  <w:style w:type="character" w:customStyle="1" w:styleId="Heading6Char">
    <w:name w:val="Heading 6 Char"/>
    <w:link w:val="Heading6"/>
    <w:uiPriority w:val="9"/>
    <w:rsid w:val="009E524A"/>
    <w:rPr>
      <w:rFonts w:ascii="Arial" w:eastAsia="Times New Roman" w:hAnsi="Arial" w:cs="Times New Roman"/>
      <w:b/>
      <w:bCs/>
      <w:sz w:val="18"/>
      <w:lang w:eastAsia="en-US"/>
    </w:rPr>
  </w:style>
  <w:style w:type="character" w:styleId="IntenseEmphasis">
    <w:name w:val="Intense Emphasis"/>
    <w:uiPriority w:val="21"/>
    <w:qFormat/>
    <w:rsid w:val="009E524A"/>
    <w:rPr>
      <w:rFonts w:ascii="Arial" w:hAnsi="Arial"/>
      <w:i/>
      <w:iCs/>
      <w:color w:val="5B9BD5"/>
    </w:rPr>
  </w:style>
  <w:style w:type="character" w:styleId="IntenseReference">
    <w:name w:val="Intense Reference"/>
    <w:uiPriority w:val="32"/>
    <w:qFormat/>
    <w:rsid w:val="009E524A"/>
    <w:rPr>
      <w:rFonts w:ascii="Arial" w:hAnsi="Arial"/>
      <w:b/>
      <w:bCs/>
      <w:smallCaps/>
      <w:color w:val="5B9BD5"/>
      <w:spacing w:val="5"/>
    </w:rPr>
  </w:style>
  <w:style w:type="paragraph" w:styleId="ListParagraph">
    <w:name w:val="List Paragraph"/>
    <w:basedOn w:val="Normal"/>
    <w:uiPriority w:val="34"/>
    <w:qFormat/>
    <w:rsid w:val="009E524A"/>
    <w:pPr>
      <w:numPr>
        <w:numId w:val="5"/>
      </w:numPr>
      <w:tabs>
        <w:tab w:val="left" w:pos="2180"/>
        <w:tab w:val="left" w:pos="2181"/>
      </w:tabs>
      <w:spacing w:after="140"/>
    </w:pPr>
    <w:rPr>
      <w:rFonts w:eastAsia="Times New Roman"/>
      <w:lang w:eastAsia="en-GB"/>
    </w:rPr>
  </w:style>
  <w:style w:type="paragraph" w:styleId="NormalWeb">
    <w:name w:val="Normal (Web)"/>
    <w:basedOn w:val="Normal"/>
    <w:uiPriority w:val="99"/>
    <w:semiHidden/>
    <w:unhideWhenUsed/>
    <w:rsid w:val="009E524A"/>
    <w:pPr>
      <w:spacing w:before="100" w:beforeAutospacing="1" w:after="100" w:afterAutospacing="1"/>
    </w:pPr>
    <w:rPr>
      <w:rFonts w:ascii="Times New Roman" w:eastAsia="Times New Roman" w:hAnsi="Times New Roman" w:cs="Times New Roman"/>
      <w:lang w:eastAsia="en-GB"/>
    </w:rPr>
  </w:style>
  <w:style w:type="paragraph" w:customStyle="1" w:styleId="Normalbeforebullets">
    <w:name w:val="Normal before bullets"/>
    <w:basedOn w:val="Normal"/>
    <w:qFormat/>
    <w:rsid w:val="009E524A"/>
    <w:pPr>
      <w:keepNext/>
      <w:spacing w:after="140"/>
    </w:pPr>
  </w:style>
  <w:style w:type="character" w:styleId="PageNumber">
    <w:name w:val="page number"/>
    <w:uiPriority w:val="99"/>
    <w:semiHidden/>
    <w:unhideWhenUsed/>
    <w:rsid w:val="009E524A"/>
  </w:style>
  <w:style w:type="paragraph" w:styleId="Subtitle">
    <w:name w:val="Subtitle"/>
    <w:basedOn w:val="Normal"/>
    <w:next w:val="Normal"/>
    <w:link w:val="SubtitleChar"/>
    <w:uiPriority w:val="11"/>
    <w:qFormat/>
    <w:rsid w:val="009E524A"/>
    <w:pPr>
      <w:spacing w:after="240"/>
      <w:outlineLvl w:val="1"/>
    </w:pPr>
    <w:rPr>
      <w:rFonts w:eastAsia="Times New Roman" w:cs="Times New Roman"/>
      <w:sz w:val="28"/>
      <w:szCs w:val="36"/>
    </w:rPr>
  </w:style>
  <w:style w:type="character" w:customStyle="1" w:styleId="SubtitleChar">
    <w:name w:val="Subtitle Char"/>
    <w:link w:val="Subtitle"/>
    <w:uiPriority w:val="11"/>
    <w:rsid w:val="009E524A"/>
    <w:rPr>
      <w:rFonts w:ascii="Arial" w:eastAsia="Times New Roman" w:hAnsi="Arial" w:cs="Times New Roman"/>
      <w:sz w:val="28"/>
      <w:szCs w:val="36"/>
      <w:lang w:eastAsia="en-US"/>
    </w:rPr>
  </w:style>
  <w:style w:type="paragraph" w:customStyle="1" w:styleId="TableCopy">
    <w:name w:val="Table Copy"/>
    <w:basedOn w:val="Normal"/>
    <w:qFormat/>
    <w:rsid w:val="009E524A"/>
    <w:pPr>
      <w:spacing w:after="140"/>
    </w:pPr>
  </w:style>
  <w:style w:type="paragraph" w:customStyle="1" w:styleId="TableBullet">
    <w:name w:val="Table Bullet"/>
    <w:basedOn w:val="TableCopy"/>
    <w:qFormat/>
    <w:rsid w:val="009E524A"/>
    <w:pPr>
      <w:numPr>
        <w:numId w:val="6"/>
      </w:numPr>
      <w:spacing w:before="60" w:after="60"/>
    </w:pPr>
    <w:rPr>
      <w:szCs w:val="22"/>
    </w:rPr>
  </w:style>
  <w:style w:type="paragraph" w:customStyle="1" w:styleId="TableHeading">
    <w:name w:val="Table Heading"/>
    <w:basedOn w:val="Normal"/>
    <w:qFormat/>
    <w:rsid w:val="009E524A"/>
    <w:pPr>
      <w:keepNext/>
      <w:spacing w:after="60"/>
    </w:pPr>
    <w:rPr>
      <w:b/>
      <w:lang w:eastAsia="en-GB"/>
    </w:rPr>
  </w:style>
  <w:style w:type="paragraph" w:customStyle="1" w:styleId="TableColumnHeading">
    <w:name w:val="Table Column Heading"/>
    <w:basedOn w:val="TableHeading"/>
    <w:qFormat/>
    <w:rsid w:val="009E524A"/>
    <w:pPr>
      <w:spacing w:before="80" w:after="80"/>
    </w:pPr>
    <w:rPr>
      <w:szCs w:val="36"/>
      <w:lang w:val="en-GB"/>
    </w:rPr>
  </w:style>
  <w:style w:type="table" w:styleId="TableGrid">
    <w:name w:val="Table Grid"/>
    <w:basedOn w:val="TableNormal"/>
    <w:uiPriority w:val="59"/>
    <w:rsid w:val="009E524A"/>
    <w:pPr>
      <w:spacing w:after="0" w:line="240" w:lineRule="auto"/>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9E524A"/>
    <w:pPr>
      <w:widowControl w:val="0"/>
      <w:autoSpaceDE w:val="0"/>
      <w:autoSpaceDN w:val="0"/>
      <w:spacing w:after="0" w:line="240" w:lineRule="auto"/>
    </w:pPr>
    <w:rPr>
      <w:rFonts w:eastAsiaTheme="minorHAnsi"/>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Paragraph">
    <w:name w:val="Table Paragraph"/>
    <w:basedOn w:val="Normal"/>
    <w:uiPriority w:val="1"/>
    <w:qFormat/>
    <w:rsid w:val="009E524A"/>
    <w:pPr>
      <w:spacing w:after="140"/>
    </w:pPr>
    <w:rPr>
      <w:rFonts w:eastAsia="Arial"/>
      <w:szCs w:val="22"/>
      <w:lang w:eastAsia="en-GB"/>
    </w:rPr>
  </w:style>
  <w:style w:type="paragraph" w:styleId="Title">
    <w:name w:val="Title"/>
    <w:basedOn w:val="Normal"/>
    <w:next w:val="Normal"/>
    <w:link w:val="TitleChar"/>
    <w:uiPriority w:val="10"/>
    <w:qFormat/>
    <w:rsid w:val="009E524A"/>
    <w:pPr>
      <w:spacing w:after="240" w:line="240" w:lineRule="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E524A"/>
    <w:rPr>
      <w:rFonts w:asciiTheme="majorHAnsi" w:eastAsiaTheme="majorEastAsia" w:hAnsiTheme="majorHAnsi" w:cstheme="majorBidi"/>
      <w:spacing w:val="-10"/>
      <w:kern w:val="28"/>
      <w:sz w:val="56"/>
      <w:szCs w:val="56"/>
      <w:lang w:val="en-US" w:eastAsia="en-US"/>
    </w:rPr>
  </w:style>
  <w:style w:type="paragraph" w:styleId="TOC1">
    <w:name w:val="toc 1"/>
    <w:basedOn w:val="Normal"/>
    <w:next w:val="Normal"/>
    <w:autoRedefine/>
    <w:uiPriority w:val="39"/>
    <w:unhideWhenUsed/>
    <w:rsid w:val="009F7A37"/>
    <w:pPr>
      <w:tabs>
        <w:tab w:val="left" w:pos="440"/>
        <w:tab w:val="right" w:leader="dot" w:pos="9628"/>
      </w:tabs>
      <w:spacing w:before="240" w:after="0"/>
    </w:pPr>
    <w:rPr>
      <w:b/>
    </w:rPr>
  </w:style>
  <w:style w:type="paragraph" w:styleId="TOC2">
    <w:name w:val="toc 2"/>
    <w:basedOn w:val="Normal"/>
    <w:next w:val="Normal"/>
    <w:autoRedefine/>
    <w:uiPriority w:val="39"/>
    <w:unhideWhenUsed/>
    <w:rsid w:val="009F7A37"/>
    <w:pPr>
      <w:tabs>
        <w:tab w:val="left" w:pos="1000"/>
        <w:tab w:val="right" w:leader="dot" w:pos="9628"/>
      </w:tabs>
      <w:spacing w:after="0"/>
      <w:ind w:left="442"/>
    </w:pPr>
    <w:rPr>
      <w:szCs w:val="22"/>
    </w:rPr>
  </w:style>
  <w:style w:type="paragraph" w:styleId="TOC4">
    <w:name w:val="toc 4"/>
    <w:basedOn w:val="Normal"/>
    <w:next w:val="Normal"/>
    <w:autoRedefine/>
    <w:uiPriority w:val="39"/>
    <w:semiHidden/>
    <w:unhideWhenUsed/>
    <w:rsid w:val="009E524A"/>
    <w:pPr>
      <w:spacing w:after="0"/>
      <w:ind w:left="600"/>
    </w:pPr>
    <w:rPr>
      <w:rFonts w:ascii="Cambria" w:hAnsi="Cambria"/>
      <w:szCs w:val="20"/>
    </w:rPr>
  </w:style>
  <w:style w:type="paragraph" w:styleId="TOC5">
    <w:name w:val="toc 5"/>
    <w:basedOn w:val="Normal"/>
    <w:next w:val="Normal"/>
    <w:autoRedefine/>
    <w:uiPriority w:val="39"/>
    <w:semiHidden/>
    <w:unhideWhenUsed/>
    <w:rsid w:val="009E524A"/>
    <w:pPr>
      <w:spacing w:after="0"/>
      <w:ind w:left="800"/>
    </w:pPr>
    <w:rPr>
      <w:rFonts w:ascii="Cambria" w:hAnsi="Cambria"/>
      <w:szCs w:val="20"/>
    </w:rPr>
  </w:style>
  <w:style w:type="paragraph" w:styleId="TOC6">
    <w:name w:val="toc 6"/>
    <w:basedOn w:val="Normal"/>
    <w:next w:val="Normal"/>
    <w:autoRedefine/>
    <w:uiPriority w:val="39"/>
    <w:semiHidden/>
    <w:unhideWhenUsed/>
    <w:rsid w:val="009E524A"/>
    <w:pPr>
      <w:spacing w:after="0"/>
      <w:ind w:left="1000"/>
    </w:pPr>
    <w:rPr>
      <w:rFonts w:ascii="Cambria" w:hAnsi="Cambria"/>
      <w:szCs w:val="20"/>
    </w:rPr>
  </w:style>
  <w:style w:type="paragraph" w:styleId="TOC7">
    <w:name w:val="toc 7"/>
    <w:basedOn w:val="Normal"/>
    <w:next w:val="Normal"/>
    <w:autoRedefine/>
    <w:uiPriority w:val="39"/>
    <w:semiHidden/>
    <w:unhideWhenUsed/>
    <w:rsid w:val="009E524A"/>
    <w:pPr>
      <w:spacing w:after="0"/>
      <w:ind w:left="1200"/>
    </w:pPr>
    <w:rPr>
      <w:rFonts w:ascii="Cambria" w:hAnsi="Cambria"/>
      <w:szCs w:val="20"/>
    </w:rPr>
  </w:style>
  <w:style w:type="paragraph" w:styleId="TOC8">
    <w:name w:val="toc 8"/>
    <w:basedOn w:val="Normal"/>
    <w:next w:val="Normal"/>
    <w:autoRedefine/>
    <w:uiPriority w:val="39"/>
    <w:semiHidden/>
    <w:unhideWhenUsed/>
    <w:rsid w:val="009E524A"/>
    <w:pPr>
      <w:spacing w:after="0"/>
      <w:ind w:left="1400"/>
    </w:pPr>
    <w:rPr>
      <w:rFonts w:ascii="Cambria" w:hAnsi="Cambria"/>
      <w:szCs w:val="20"/>
    </w:rPr>
  </w:style>
  <w:style w:type="paragraph" w:styleId="TOC9">
    <w:name w:val="toc 9"/>
    <w:basedOn w:val="Normal"/>
    <w:next w:val="Normal"/>
    <w:autoRedefine/>
    <w:uiPriority w:val="39"/>
    <w:semiHidden/>
    <w:unhideWhenUsed/>
    <w:rsid w:val="009E524A"/>
    <w:pPr>
      <w:spacing w:after="0"/>
      <w:ind w:left="1600"/>
    </w:pPr>
    <w:rPr>
      <w:rFonts w:ascii="Cambria" w:hAnsi="Cambria"/>
      <w:szCs w:val="20"/>
    </w:rPr>
  </w:style>
  <w:style w:type="paragraph" w:styleId="TOCHeading">
    <w:name w:val="TOC Heading"/>
    <w:basedOn w:val="Heading1"/>
    <w:next w:val="Normal"/>
    <w:uiPriority w:val="39"/>
    <w:unhideWhenUsed/>
    <w:qFormat/>
    <w:rsid w:val="009E524A"/>
    <w:pPr>
      <w:spacing w:line="360" w:lineRule="auto"/>
      <w:outlineLvl w:val="9"/>
    </w:pPr>
    <w:rPr>
      <w:sz w:val="32"/>
      <w:szCs w:val="28"/>
    </w:rPr>
  </w:style>
  <w:style w:type="paragraph" w:customStyle="1" w:styleId="Heading1-numbered">
    <w:name w:val="Heading 1 - numbered"/>
    <w:basedOn w:val="Heading1"/>
    <w:qFormat/>
    <w:rsid w:val="00E37E60"/>
    <w:pPr>
      <w:numPr>
        <w:numId w:val="7"/>
      </w:numPr>
    </w:pPr>
  </w:style>
  <w:style w:type="paragraph" w:customStyle="1" w:styleId="Heading2-numbered">
    <w:name w:val="Heading 2 - numbered"/>
    <w:basedOn w:val="Heading2"/>
    <w:qFormat/>
    <w:rsid w:val="000F5B64"/>
    <w:pPr>
      <w:numPr>
        <w:ilvl w:val="1"/>
        <w:numId w:val="7"/>
      </w:numPr>
    </w:pPr>
  </w:style>
  <w:style w:type="character" w:styleId="UnresolvedMention">
    <w:name w:val="Unresolved Mention"/>
    <w:basedOn w:val="DefaultParagraphFont"/>
    <w:uiPriority w:val="99"/>
    <w:semiHidden/>
    <w:unhideWhenUsed/>
    <w:rsid w:val="00D24BDA"/>
    <w:rPr>
      <w:color w:val="605E5C"/>
      <w:shd w:val="clear" w:color="auto" w:fill="E1DFDD"/>
    </w:rPr>
  </w:style>
  <w:style w:type="character" w:customStyle="1" w:styleId="Heading7Char">
    <w:name w:val="Heading 7 Char"/>
    <w:basedOn w:val="DefaultParagraphFont"/>
    <w:link w:val="Heading7"/>
    <w:uiPriority w:val="9"/>
    <w:semiHidden/>
    <w:rsid w:val="00984E54"/>
    <w:rPr>
      <w:rFonts w:asciiTheme="majorHAnsi" w:eastAsiaTheme="majorEastAsia" w:hAnsiTheme="majorHAnsi" w:cstheme="majorBidi"/>
      <w:i/>
      <w:iCs/>
      <w:color w:val="1F3763" w:themeColor="accent1" w:themeShade="7F"/>
      <w:spacing w:val="-4"/>
      <w:sz w:val="20"/>
      <w:szCs w:val="24"/>
      <w:lang w:eastAsia="en-US"/>
    </w:rPr>
  </w:style>
  <w:style w:type="character" w:customStyle="1" w:styleId="Heading8Char">
    <w:name w:val="Heading 8 Char"/>
    <w:basedOn w:val="DefaultParagraphFont"/>
    <w:link w:val="Heading8"/>
    <w:uiPriority w:val="9"/>
    <w:semiHidden/>
    <w:rsid w:val="00984E54"/>
    <w:rPr>
      <w:rFonts w:asciiTheme="majorHAnsi" w:eastAsiaTheme="majorEastAsia" w:hAnsiTheme="majorHAnsi" w:cstheme="majorBidi"/>
      <w:color w:val="272727" w:themeColor="text1" w:themeTint="D8"/>
      <w:spacing w:val="-4"/>
      <w:sz w:val="21"/>
      <w:szCs w:val="21"/>
      <w:lang w:eastAsia="en-US"/>
    </w:rPr>
  </w:style>
  <w:style w:type="character" w:customStyle="1" w:styleId="Heading9Char">
    <w:name w:val="Heading 9 Char"/>
    <w:basedOn w:val="DefaultParagraphFont"/>
    <w:link w:val="Heading9"/>
    <w:uiPriority w:val="9"/>
    <w:semiHidden/>
    <w:rsid w:val="00984E54"/>
    <w:rPr>
      <w:rFonts w:asciiTheme="majorHAnsi" w:eastAsiaTheme="majorEastAsia" w:hAnsiTheme="majorHAnsi" w:cstheme="majorBidi"/>
      <w:i/>
      <w:iCs/>
      <w:color w:val="272727" w:themeColor="text1" w:themeTint="D8"/>
      <w:spacing w:val="-4"/>
      <w:sz w:val="21"/>
      <w:szCs w:val="21"/>
      <w:lang w:eastAsia="en-US"/>
    </w:rPr>
  </w:style>
  <w:style w:type="table" w:styleId="PlainTable2">
    <w:name w:val="Plain Table 2"/>
    <w:basedOn w:val="TableNormal"/>
    <w:uiPriority w:val="42"/>
    <w:rsid w:val="005836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eativecommons.org/licenses/by/3.0/au/"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ocaljobsfirst.vic.gov.au/strategic-projects/li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ocaljobsfirs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4c05e2b47d4d55b679748030686eb994">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b68bf8f244ca16a2d9f79bf470cddfc9"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e98561-183e-4de5-80c3-a793f40b4ede" xsi:nil="true"/>
    <lcf76f155ced4ddcb4097134ff3c332f xmlns="bd07834f-d95b-4883-aa18-4cf54a60a803">
      <Terms xmlns="http://schemas.microsoft.com/office/infopath/2007/PartnerControls"/>
    </lcf76f155ced4ddcb4097134ff3c332f>
    <pfeg xmlns="bd07834f-d95b-4883-aa18-4cf54a60a803" xsi:nil="true"/>
    <test xmlns="bd07834f-d95b-4883-aa18-4cf54a60a803" xsi:nil="true"/>
  </documentManagement>
</p:properties>
</file>

<file path=customXml/itemProps1.xml><?xml version="1.0" encoding="utf-8"?>
<ds:datastoreItem xmlns:ds="http://schemas.openxmlformats.org/officeDocument/2006/customXml" ds:itemID="{3C50ED81-663D-4E0A-A2D5-203ECAB41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3C3F5-8CE2-4C7E-A5BC-CD3CB926D041}">
  <ds:schemaRefs>
    <ds:schemaRef ds:uri="http://schemas.openxmlformats.org/officeDocument/2006/bibliography"/>
  </ds:schemaRefs>
</ds:datastoreItem>
</file>

<file path=customXml/itemProps3.xml><?xml version="1.0" encoding="utf-8"?>
<ds:datastoreItem xmlns:ds="http://schemas.openxmlformats.org/officeDocument/2006/customXml" ds:itemID="{3F0A52AE-B61C-4FD5-84F9-C859D9C7DB54}">
  <ds:schemaRefs>
    <ds:schemaRef ds:uri="http://schemas.microsoft.com/sharepoint/v3/contenttype/forms"/>
  </ds:schemaRefs>
</ds:datastoreItem>
</file>

<file path=customXml/itemProps4.xml><?xml version="1.0" encoding="utf-8"?>
<ds:datastoreItem xmlns:ds="http://schemas.openxmlformats.org/officeDocument/2006/customXml" ds:itemID="{39F59EDC-429F-460D-B9A6-A854789107B1}">
  <ds:schemaRefs>
    <ds:schemaRef ds:uri="http://schemas.microsoft.com/office/2006/metadata/properties"/>
    <ds:schemaRef ds:uri="http://purl.org/dc/terms/"/>
    <ds:schemaRef ds:uri="32e98561-183e-4de5-80c3-a793f40b4ede"/>
    <ds:schemaRef ds:uri="http://schemas.microsoft.com/office/2006/documentManagement/types"/>
    <ds:schemaRef ds:uri="http://purl.org/dc/elements/1.1/"/>
    <ds:schemaRef ds:uri="bd07834f-d95b-4883-aa18-4cf54a60a80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11157</Words>
  <Characters>51659</Characters>
  <Application>Microsoft Office Word</Application>
  <DocSecurity>0</DocSecurity>
  <Lines>6457</Lines>
  <Paragraphs>1794</Paragraphs>
  <ScaleCrop>false</ScaleCrop>
  <HeadingPairs>
    <vt:vector size="2" baseType="variant">
      <vt:variant>
        <vt:lpstr>Title</vt:lpstr>
      </vt:variant>
      <vt:variant>
        <vt:i4>1</vt:i4>
      </vt:variant>
    </vt:vector>
  </HeadingPairs>
  <TitlesOfParts>
    <vt:vector size="1" baseType="lpstr">
      <vt:lpstr>Local Jobs First Annual Report 2022–23</vt:lpstr>
    </vt:vector>
  </TitlesOfParts>
  <Company/>
  <LinksUpToDate>false</LinksUpToDate>
  <CharactersWithSpaces>61022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First Annual Report 2022–23</dc:title>
  <dc:subject/>
  <dc:creator>Samaa Kirby</dc:creator>
  <cp:keywords/>
  <dc:description/>
  <cp:lastModifiedBy>Steve F Kozel (DJSIR)</cp:lastModifiedBy>
  <cp:revision>2</cp:revision>
  <dcterms:created xsi:type="dcterms:W3CDTF">2025-11-24T04:44:00Z</dcterms:created>
  <dcterms:modified xsi:type="dcterms:W3CDTF">2025-11-24T04:44:00Z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0x010100332B5021F6FA5748BD595AC6B2FEC278</vt:lpwstr>
  </property>
  <property fmtid="{D5CDD505-2E9C-101B-9397-08002B2CF9AE}" pid="3" name="ClassificationContentMarkingHeaderShapeIds">
    <vt:lpwstr>1,5,6</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7,8,9</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2023-12-05T22:16:35Z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a6d1056e-c40c-4940-ada4-be715a252bbf</vt:lpwstr>
  </property>
  <property fmtid="{D5CDD505-2E9C-101B-9397-08002B2CF9AE}" pid="15" name="MSIP_Label_d00a4df9-c942-4b09-b23a-6c1023f6de27_ContentBits">
    <vt:lpwstr>3</vt:lpwstr>
  </property>
  <property fmtid="{D5CDD505-2E9C-101B-9397-08002B2CF9AE}" pid="16" name="MediaServiceImageTags">
    <vt:lpwstr/>
  </property>
  <property fmtid="{D5CDD505-2E9C-101B-9397-08002B2CF9AE}" pid="17" name="DEDJTRSection">
    <vt:lpwstr/>
  </property>
  <property fmtid="{D5CDD505-2E9C-101B-9397-08002B2CF9AE}" pid="18" name="DEDJTRGroup">
    <vt:lpwstr/>
  </property>
  <property fmtid="{D5CDD505-2E9C-101B-9397-08002B2CF9AE}" pid="19" name="DEDJTRSecurityClassification">
    <vt:lpwstr/>
  </property>
  <property fmtid="{D5CDD505-2E9C-101B-9397-08002B2CF9AE}" pid="20" name="DEDJTRDivision">
    <vt:lpwstr/>
  </property>
  <property fmtid="{D5CDD505-2E9C-101B-9397-08002B2CF9AE}" pid="21" name="DEDJTRBranch">
    <vt:lpwstr/>
  </property>
</Properties>
</file>